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2E4057"/>
          <w:sz w:val="28"/>
          <w:szCs w:val="28"/>
        </w:rPr>
        <w:t xml:space="preserve">WISING INTELLIGENCE</w:t>
      </w:r>
    </w:p>
    <w:p>
      <w:pPr>
        <w:spacing w:after="80"/>
      </w:pPr>
      <w:r>
        <w:rPr>
          <w:rFonts w:ascii="Arial" w:cs="Arial" w:eastAsia="Arial" w:hAnsi="Arial"/>
          <w:color w:val="555555"/>
          <w:sz w:val="24"/>
          <w:szCs w:val="24"/>
        </w:rPr>
        <w:t xml:space="preserve">NRI Tax Engine Specification — Module 6</w:t>
      </w:r>
    </w:p>
    <w:p>
      <w:pPr>
        <w:spacing w:after="480"/>
      </w:pPr>
      <w:r>
        <w:rPr>
          <w:rFonts w:ascii="Arial" w:cs="Arial" w:eastAsia="Arial" w:hAnsi="Arial"/>
          <w:b/>
          <w:bCs/>
          <w:color w:val="2E4057"/>
          <w:sz w:val="40"/>
          <w:szCs w:val="40"/>
        </w:rPr>
        <w:t xml:space="preserve">Foreign Tax Credit (FTC) — Rule 128 + Schedule FA / FSI / 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WISING-NRI-TAX-006</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Version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Sarthak — CA, CEO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Consumer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 — 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 — Requires CA sign-off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March 2026</w:t>
            </w:r>
          </w:p>
        </w:tc>
      </w:tr>
    </w:tbl>
    <w:p>
      <w:pPr>
        <w:spacing w:before="80" w:after="80"/>
        <w:ind w:left="200" w:right="200"/>
        <w:shd w:val="clear" w:fill="FFF3CD"/>
      </w:pPr>
      <w:r>
        <w:rPr>
          <w:rFonts w:ascii="Arial" w:hAnsi="Arial"/>
          <w:b/>
          <w:color w:val="7A5C00"/>
          <w:sz w:val="18"/>
        </w:rPr>
        <w:t xml:space="preserve">Build Step 20 | NRI COMPLIANCE  </w:t>
      </w:r>
      <w:r>
        <w:rPr>
          <w:rFonts w:ascii="Arial" w:hAnsi="Arial"/>
          <w:color w:val="7A5C00"/>
          <w:sz w:val="18"/>
        </w:rPr>
        <w:t xml:space="preserve">Read first: GTI Assembly (DOM-05) + NRI-01 DTAA + DOM-11 ITR Schedules  ||  This unlocks: FTC, Form 67 deadline, Schedule FA/FSI/TR in CA export</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0: Purpose</w:t>
      </w:r>
    </w:p>
    <w:p>
      <w:pPr>
        <w:spacing w:after="120"/>
      </w:pPr>
      <w:r>
        <w:rPr>
          <w:rFonts w:ascii="Arial" w:cs="Arial" w:eastAsia="Arial" w:hAnsi="Arial"/>
          <w:sz w:val="20"/>
          <w:szCs w:val="20"/>
        </w:rPr>
        <w:t xml:space="preserve">This module specifies the Foreign Tax Credit computation for NRIs and returning NRIs (RNOR/ROR) who have paid taxes abroad on income also taxable in India. FTC prevents double taxation where DTAA does not provide complete relief. It also specifies the ITR Schedule FA (foreign assets), FSI (foreign source income), and TR (tax relief) filing requirements.</w:t>
      </w:r>
    </w:p>
    <w:p>
      <w:pPr>
        <w:shd w:fill="FFE8E8" w:val="clear"/>
        <w:spacing w:before="120" w:after="120"/>
        <w:ind w:left="360" w:right="360"/>
      </w:pPr>
      <w:r>
        <w:rPr>
          <w:rFonts w:ascii="Arial" w:cs="Arial" w:eastAsia="Arial" w:hAnsi="Arial"/>
          <w:b/>
          <w:bCs/>
          <w:color w:val="8B0000"/>
          <w:sz w:val="20"/>
          <w:szCs w:val="20"/>
        </w:rPr>
        <w:t xml:space="preserve">🚫 Critical  </w:t>
      </w:r>
      <w:r>
        <w:rPr>
          <w:rFonts w:ascii="Arial" w:cs="Arial" w:eastAsia="Arial" w:hAnsi="Arial"/>
          <w:color w:val="8B0000"/>
          <w:sz w:val="20"/>
          <w:szCs w:val="20"/>
        </w:rPr>
        <w:t xml:space="preserve">Form 67 must be filed BEFORE the due date of ITR filing (31 July for individuals) to claim FTC. Filing Form 67 after the ITR due date results in denial of FTC — even if the ITR itself is filed on time. This is a critical procedural trap that must be surfaced to users.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1: FTC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Residential Status</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FTC Eligible?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On What Income?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s.90/s.91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India-taxable income on which foreign tax also paid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DTAA Article on credit or s.91 unilateral relief</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RNOR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Income taxable in both India and foreign country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Foreign income NOT taxable in India (outside India, not business-controlled) → no FTC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all foreign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Global income taxable in India and abroad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relevant for returning NRIs with foreign portfolio income</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2: FTC Computation Logic (Rule 128)</w:t>
      </w:r>
    </w:p>
    <w:p>
      <w:pPr>
        <w:spacing w:before="60" w:after="60"/>
        <w:ind w:left="360"/>
      </w:pPr>
      <w:r>
        <w:rPr>
          <w:rFonts w:ascii="Courier New" w:cs="Courier New" w:eastAsia="Courier New" w:hAnsi="Courier New"/>
          <w:color w:val="1a1a2e"/>
          <w:sz w:val="18"/>
          <w:szCs w:val="18"/>
        </w:rPr>
        <w:t xml:space="preserve">FUNCTION compute_ftc(income_source_country, foreign_income_inr, foreign_tax_paid_inr,</w:t>
      </w:r>
    </w:p>
    <w:p>
      <w:pPr>
        <w:spacing w:before="60" w:after="60"/>
        <w:ind w:left="360"/>
      </w:pPr>
      <w:r>
        <w:rPr>
          <w:rFonts w:ascii="Courier New" w:cs="Courier New" w:eastAsia="Courier New" w:hAnsi="Courier New"/>
          <w:color w:val="1a1a2e"/>
          <w:sz w:val="18"/>
          <w:szCs w:val="18"/>
        </w:rPr>
        <w:t xml:space="preserve">                     india_taxable_income, total_india_gross_tax):</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Step 1: India tax attributable to this foreign income</w:t>
      </w:r>
    </w:p>
    <w:p>
      <w:pPr>
        <w:spacing w:before="60" w:after="60"/>
        <w:ind w:left="360"/>
      </w:pPr>
      <w:r>
        <w:rPr>
          <w:rFonts w:ascii="Courier New" w:cs="Courier New" w:eastAsia="Courier New" w:hAnsi="Courier New"/>
          <w:color w:val="1a1a2e"/>
          <w:sz w:val="18"/>
          <w:szCs w:val="18"/>
        </w:rPr>
        <w:t xml:space="preserve">  average_india_rate = total_india_gross_tax / india_taxable_income</w:t>
      </w:r>
    </w:p>
    <w:p>
      <w:pPr>
        <w:spacing w:before="60" w:after="60"/>
        <w:ind w:left="360"/>
      </w:pPr>
      <w:r>
        <w:rPr>
          <w:rFonts w:ascii="Courier New" w:cs="Courier New" w:eastAsia="Courier New" w:hAnsi="Courier New"/>
          <w:color w:val="1a1a2e"/>
          <w:sz w:val="18"/>
          <w:szCs w:val="18"/>
        </w:rPr>
        <w:t xml:space="preserve">  india_tax_on_foreign_income = foreign_income_inr * average_india_rate</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Step 2: FTC cap = lower of foreign tax or India tax on that income</w:t>
      </w:r>
    </w:p>
    <w:p>
      <w:pPr>
        <w:spacing w:before="60" w:after="60"/>
        <w:ind w:left="360"/>
      </w:pPr>
      <w:r>
        <w:rPr>
          <w:rFonts w:ascii="Courier New" w:cs="Courier New" w:eastAsia="Courier New" w:hAnsi="Courier New"/>
          <w:color w:val="1a1a2e"/>
          <w:sz w:val="18"/>
          <w:szCs w:val="18"/>
        </w:rPr>
        <w:t xml:space="preserve">  ftc = MIN(foreign_tax_paid_inr, india_tax_on_foreign_income)</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Step 3: Per-country, per-head of income computation</w:t>
      </w:r>
    </w:p>
    <w:p>
      <w:pPr>
        <w:spacing w:before="60" w:after="60"/>
        <w:ind w:left="360"/>
      </w:pPr>
      <w:r>
        <w:rPr>
          <w:rFonts w:ascii="Courier New" w:cs="Courier New" w:eastAsia="Courier New" w:hAnsi="Courier New"/>
          <w:color w:val="1a1a2e"/>
          <w:sz w:val="18"/>
          <w:szCs w:val="18"/>
        </w:rPr>
        <w:t xml:space="preserve">  // Cannot aggregate FTC across countries or across income heads</w:t>
      </w:r>
    </w:p>
    <w:p>
      <w:pPr>
        <w:spacing w:before="60" w:after="60"/>
        <w:ind w:left="360"/>
      </w:pPr>
      <w:r>
        <w:rPr>
          <w:rFonts w:ascii="Courier New" w:cs="Courier New" w:eastAsia="Courier New" w:hAnsi="Courier New"/>
          <w:color w:val="1a1a2e"/>
          <w:sz w:val="18"/>
          <w:szCs w:val="18"/>
        </w:rPr>
        <w:t xml:space="preserve">  // US salary FTC cannot offset India tax on UK dividend income</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Step 4: Compute net India tax</w:t>
      </w:r>
    </w:p>
    <w:p>
      <w:pPr>
        <w:spacing w:before="60" w:after="60"/>
        <w:ind w:left="360"/>
      </w:pPr>
      <w:r>
        <w:rPr>
          <w:rFonts w:ascii="Courier New" w:cs="Courier New" w:eastAsia="Courier New" w:hAnsi="Courier New"/>
          <w:color w:val="1a1a2e"/>
          <w:sz w:val="18"/>
          <w:szCs w:val="18"/>
        </w:rPr>
        <w:t xml:space="preserve">  net_india_tax = total_india_gross_tax - SUM(all_ftc_credits)</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RETURN { ftc, net_india_tax, form_67_required: TRUE }</w:t>
      </w:r>
    </w:p>
    <w:p>
      <w:pPr>
        <w:spacing w:after="120"/>
      </w:pPr>
      <w:r>
        <w:t xml:space="preserve"/>
      </w:r>
    </w:p>
    <w:p>
      <w:pPr>
        <w:pStyle w:val="Heading2"/>
        <w:spacing w:before="240" w:after="120"/>
      </w:pPr>
      <w:r>
        <w:rPr>
          <w:rFonts w:ascii="Arial" w:cs="Arial" w:eastAsia="Arial" w:hAnsi="Arial"/>
          <w:b/>
          <w:bCs/>
          <w:color w:val="2E4057"/>
          <w:sz w:val="26"/>
          <w:szCs w:val="26"/>
        </w:rPr>
        <w:t xml:space="preserve">2.1 FTC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Restriction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Rule 128 Provision</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Engine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Per-country basis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FTC computed separately for each country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pool India tax and FTC across jurisdictions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Per-head of income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FTC on salary income cannot reduce India tax on capital gains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Match income type from foreign to India 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Cannot exceed India tax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FTC ≤ India tax attributable to that foreign income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MIN(foreign_tax, india_tax_on_that_income)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 must be paid, not accrued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Only actually paid foreign taxes qualify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Evidence required: foreign tax return + payment certificate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 tax must be of similar nature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Income tax or withholding tax — not VAT, GST, social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Filter: only direct taxes qualify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 67 deadline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Filed by ITR due date (31 July)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Alert 45 days before ITR due date: 'File Form 67 to protect FTC claim'</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3: Schedule FA — Foreign Assets Disclosure</w:t>
      </w:r>
    </w:p>
    <w:p>
      <w:pPr>
        <w:spacing w:after="120"/>
      </w:pPr>
      <w:r>
        <w:rPr>
          <w:rFonts w:ascii="Arial" w:cs="Arial" w:eastAsia="Arial" w:hAnsi="Arial"/>
          <w:sz w:val="20"/>
          <w:szCs w:val="20"/>
        </w:rPr>
        <w:t xml:space="preserve">Schedule FA in ITR-2/ITR-3 requires disclosure of all foreign assets held by an Indian tax resident (ROR and RNOR) at any time during the Tax Year. NRs are not required to file Schedule FA. Failure to disclose attracts penalty of ₹10 lakh per year under s.43 of the Black Money Act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Schedule FA Category</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What to Disclose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Wising Data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 A — Bank accounts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foreign bank accounts (account number, bank name, country, balance as on 31 Dec of that 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User-linked foreign bank accounts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Part B — Financial interests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Shareholding in foreign companies, interest in foreign partnerships/LLPs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User's foreign equity portfolio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 C — Immovable property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 immovable property owned or beneficial interest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attestation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Part D — Signing authority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Accounts where user has signing authority even if not beneficial owner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User attestation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 E — Trusts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Trusts settled/beneficiary of outside India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attestation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Part F — Any other capital asset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Any foreign asset not in above categories</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User attestation</w:t>
            </w:r>
          </w:p>
        </w:tc>
      </w:tr>
    </w:tbl>
    <w:p>
      <w:pPr>
        <w:shd w:fill="FFF3CD" w:val="clear"/>
        <w:spacing w:before="120" w:after="120"/>
        <w:ind w:left="360" w:right="360"/>
      </w:pPr>
      <w:r>
        <w:rPr>
          <w:rFonts w:ascii="Arial" w:cs="Arial" w:eastAsia="Arial" w:hAnsi="Arial"/>
          <w:b/>
          <w:bCs/>
          <w:color w:val="7A5C00"/>
          <w:sz w:val="20"/>
          <w:szCs w:val="20"/>
        </w:rPr>
        <w:t xml:space="preserve">⚠ Warning  </w:t>
      </w:r>
      <w:r>
        <w:rPr>
          <w:rFonts w:ascii="Arial" w:cs="Arial" w:eastAsia="Arial" w:hAnsi="Arial"/>
          <w:color w:val="7A5C00"/>
          <w:sz w:val="20"/>
          <w:szCs w:val="20"/>
        </w:rPr>
        <w:t xml:space="preserve">The 31 December balance date is for CRS/FATCA reporting alignment. Wising must capture foreign account balances as on 31 December of the TY, not as on 31 March. This is a specific data requirement for Schedule FA.</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4: Schedule FSI — Foreign Source Income</w:t>
      </w:r>
    </w:p>
    <w:p>
      <w:pPr>
        <w:spacing w:after="120"/>
      </w:pPr>
      <w:r>
        <w:rPr>
          <w:rFonts w:ascii="Arial" w:cs="Arial" w:eastAsia="Arial" w:hAnsi="Arial"/>
          <w:sz w:val="20"/>
          <w:szCs w:val="20"/>
        </w:rPr>
        <w:t xml:space="preserve">Schedule FSI in ITR-2/ITR-3 requires disclosure of income from foreign sources (relevant for ROR taxpayers). This schedule feeds into Schedule TR (tax relief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FSI Column</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Data Required</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Wising Computation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Country of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code of country from which income received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user's foreign account / investment records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Income head (India classification)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Salary / Capital Gains / Other Sources etc.</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Map foreign income to India income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Income amount (INR)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Converted at RBI reference rate on date of receipt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RBI rate on income receipt date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Foreign tax paid (INR equivalent)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 withheld / paid in that country</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From foreign tax statement / Form W-2 / P60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 payable in India (before FTC)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India tax computed on that income using average 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Output from FTC computation above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FTC 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MIN(foreign tax, India tax) per Rule 128</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Output from FTC computation</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5: Schedule TR — Tax Relief Claim</w:t>
      </w:r>
    </w:p>
    <w:p>
      <w:pPr>
        <w:spacing w:after="120"/>
      </w:pPr>
      <w:r>
        <w:rPr>
          <w:rFonts w:ascii="Arial" w:cs="Arial" w:eastAsia="Arial" w:hAnsi="Arial"/>
          <w:sz w:val="20"/>
          <w:szCs w:val="20"/>
        </w:rPr>
        <w:t xml:space="preserve">Schedule TR is where the FTC is actually claimed. It pulls from Schedule FSI and maps to DTAA articles or s.91 unilateral relief.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TR Row</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Engine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Country of tax payment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From FSI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Article of DTAA</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Relevant DTAA article number for credit relief</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From Module 1 DTAA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of IT 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s.90 (DTAA) or s.91 (no DTAA)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Based on treaty existence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 relief claimed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FTC amount being claimed</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Output of Rule 128 computation</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6: Black Money Act 2015 — Interaction</w:t>
      </w:r>
    </w:p>
    <w:p>
      <w:pPr>
        <w:spacing w:after="120"/>
      </w:pPr>
      <w:r>
        <w:rPr>
          <w:rFonts w:ascii="Arial" w:cs="Arial" w:eastAsia="Arial" w:hAnsi="Arial"/>
          <w:sz w:val="20"/>
          <w:szCs w:val="20"/>
        </w:rPr>
        <w:t xml:space="preserve">The Black Money (Undisclosed Foreign Income and Assets) and Imposition of Tax Act 2015 imposes a 30% flat tax plus 90% penalty (effectively 120% of the asset value) on undisclosed foreign assets. This applies to ROR and RNOR taxpayers who fail to disclose foreign assets in Schedule FA.</w:t>
      </w:r>
    </w:p>
    <w:p>
      <w:pPr>
        <w:shd w:fill="FFE8E8" w:val="clear"/>
        <w:spacing w:before="120" w:after="120"/>
        <w:ind w:left="360" w:right="360"/>
      </w:pPr>
      <w:r>
        <w:rPr>
          <w:rFonts w:ascii="Arial" w:cs="Arial" w:eastAsia="Arial" w:hAnsi="Arial"/>
          <w:b/>
          <w:bCs/>
          <w:color w:val="8B0000"/>
          <w:sz w:val="20"/>
          <w:szCs w:val="20"/>
        </w:rPr>
        <w:t xml:space="preserve">🚫 Critical  </w:t>
      </w:r>
      <w:r>
        <w:rPr>
          <w:rFonts w:ascii="Arial" w:cs="Arial" w:eastAsia="Arial" w:hAnsi="Arial"/>
          <w:color w:val="8B0000"/>
          <w:sz w:val="20"/>
          <w:szCs w:val="20"/>
        </w:rPr>
        <w:t xml:space="preserve">Wising must proactively prompt RNOR and ROR users to complete Schedule FA. Specifically: any user who transitioned from NR to RNOR must understand that they are now required to disclose foreign assets. The first year of RNOR is typically when users are unaware of this obligation. Build an explicit onboarding alert for status-change events.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7: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29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FTC computation engine per Rule 128 — per country, per income 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before ROR/RNOR features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 Form 67 pre-population and deadline alert system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 + Nihal</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Schedule FA data collection interface — 6 categories, 31 Dec balances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Nihal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before CA demo</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 Schedule FSI computation from foreign income records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Schedule TR from FSI + FTC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RBI reference rate API integration for INR conversion of foreign income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 — blocking FSI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status-change onboarding alert: 'You are now RNOR — Schedule FA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Nihal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8</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CA sign-off on FTC computation methodology and Form 67 deadline rule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Sarthak</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bl>
    <w:p>
      <w:pPr>
        <w:spacing w:after="120"/>
      </w:pPr>
      <w:r>
        <w:rPr>
          <w:rFonts w:ascii="Arial" w:cs="Arial" w:eastAsia="Arial" w:hAnsi="Arial"/>
          <w:i/>
          <w:iCs/>
          <w:color w:val="888888"/>
          <w:sz w:val="20"/>
          <w:szCs w:val="20"/>
        </w:rPr>
        <w:t xml:space="preserve">Version 1.0 | March 2026 | Module 6 of 8 — NRI Tax Engine Series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2026-03-16T08:33:18.280Z</dcterms:created>
  <dcterms:modified xsi:type="dcterms:W3CDTF">2026-03-16T08:33:18.280Z</dcterms:modified>
</cp:coreProperties>
</file>

<file path=docProps/custom.xml><?xml version="1.0" encoding="utf-8"?>
<Properties xmlns="http://schemas.openxmlformats.org/officeDocument/2006/custom-properties" xmlns:vt="http://schemas.openxmlformats.org/officeDocument/2006/docPropsVTypes"/>
</file>