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2E4057"/>
          <w:sz w:val="28"/>
          <w:szCs w:val="28"/>
        </w:rPr>
        <w:t xml:space="preserve">WISING INTELLIGENCE</w:t>
      </w:r>
    </w:p>
    <w:p>
      <w:pPr>
        <w:spacing w:after="80"/>
      </w:pPr>
      <w:r>
        <w:rPr>
          <w:rFonts w:ascii="Arial" w:cs="Arial" w:eastAsia="Arial" w:hAnsi="Arial"/>
          <w:color w:val="555555"/>
          <w:sz w:val="24"/>
          <w:szCs w:val="24"/>
        </w:rPr>
        <w:t xml:space="preserve">NRI Tax Engine Specification — Module 7</w:t>
      </w:r>
    </w:p>
    <w:p>
      <w:pPr>
        <w:spacing w:after="480"/>
      </w:pPr>
      <w:r>
        <w:rPr>
          <w:rFonts w:ascii="Arial" w:cs="Arial" w:eastAsia="Arial" w:hAnsi="Arial"/>
          <w:b/>
          <w:bCs/>
          <w:color w:val="2E4057"/>
          <w:sz w:val="40"/>
          <w:szCs w:val="40"/>
        </w:rPr>
        <w:t xml:space="preserve">NRI Deductions, Exemptions, and Regime Selection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WISING-NRI-TAX-007</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Version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Sarthak — CA, CEO</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Consumer</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Devanshu — CTO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DRAFT — Requires CA sign-off</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Date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March 2026</w:t>
            </w:r>
          </w:p>
        </w:tc>
      </w:tr>
    </w:tbl>
    <w:p>
      <w:pPr>
        <w:spacing w:before="80" w:after="80"/>
        <w:ind w:left="200" w:right="200"/>
        <w:shd w:val="clear" w:fill="FFF8E1"/>
      </w:pPr>
      <w:r>
        <w:rPr>
          <w:rFonts w:ascii="Arial" w:hAnsi="Arial"/>
          <w:b/>
          <w:color w:val="7A5C00"/>
          <w:sz w:val="18"/>
        </w:rPr>
        <w:t xml:space="preserve">Build Step 21 | NRI DEDUCTIONS  </w:t>
      </w:r>
      <w:r>
        <w:rPr>
          <w:rFonts w:ascii="Arial" w:hAnsi="Arial"/>
          <w:color w:val="7A5C00"/>
          <w:sz w:val="18"/>
        </w:rPr>
        <w:t xml:space="preserve">Read first: DOM-06 Deductions + Residential Status + GTI Assembly  ||  This unlocks: Filters DOM-06 deductions for NR/RNOR — blocks 80C/80D for NRs</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0: Purpose</w:t>
      </w:r>
    </w:p>
    <w:p>
      <w:pPr>
        <w:spacing w:after="120"/>
      </w:pPr>
      <w:r>
        <w:rPr>
          <w:rFonts w:ascii="Arial" w:cs="Arial" w:eastAsia="Arial" w:hAnsi="Arial"/>
          <w:sz w:val="20"/>
          <w:szCs w:val="20"/>
        </w:rPr>
        <w:t xml:space="preserve">This module specifies which deductions under Chapter VI-A (80C, 80D, etc.) and income exemptions (s.10) are available to NRIs versus residents, and provides the logic for tax regime selection (new vs old) for NRI users. The existing Tax Logic Spec v3 mentions that NRIs cannot use the old regime but does not specify which deductions are available to them.</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1: Tax Regime — NRI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33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Regime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NR Eligible?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RNOR Eligible?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ROR Eligible?</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regime (s.115BAC)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MANDATORY from FY 2023-24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NRs CANNOT choose old regime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Old regime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 — blocked for NRs from FY 2023-24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 — can choose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 — can choose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Wising UI must block old regime for NR users</w:t>
            </w:r>
          </w:p>
        </w:tc>
      </w:tr>
    </w:tbl>
    <w:p>
      <w:pPr>
        <w:shd w:fill="E8F4F8" w:val="clear"/>
        <w:spacing w:before="120" w:after="120"/>
        <w:ind w:left="360" w:right="360"/>
      </w:pPr>
      <w:r>
        <w:rPr>
          <w:rFonts w:ascii="Arial" w:cs="Arial" w:eastAsia="Arial" w:hAnsi="Arial"/>
          <w:b/>
          <w:bCs/>
          <w:color w:val="004D6B"/>
          <w:sz w:val="20"/>
          <w:szCs w:val="20"/>
        </w:rPr>
        <w:t xml:space="preserve">ℹ Note  </w:t>
      </w:r>
      <w:r>
        <w:rPr>
          <w:rFonts w:ascii="Arial" w:cs="Arial" w:eastAsia="Arial" w:hAnsi="Arial"/>
          <w:color w:val="004D6B"/>
          <w:sz w:val="20"/>
          <w:szCs w:val="20"/>
        </w:rPr>
        <w:t xml:space="preserve">RNOR users can elect old or new regime but most Chapter VI-A deductions have little utility since their income base from Indian sources is narrower. Wising should compute both regimes and present the more beneficial one for RNOR users.</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2: Chapter VI-A Deductions — NRI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1200"/>
        <w:gridCol w:w="1200"/>
        <w:gridCol w:w="27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Deduction</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Available to NR?</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Available to RNOR?</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Available to ROR?</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Life Insurance Premium (Indian policy)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if policy on own/spouse/children's life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Premium on foreign life policy: NOT deductible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PPF Contributions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80C</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 — NRIs cannot open/contribute to PPF</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Existing accounts only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NRIs excluded from PPF contributions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ELSS / Equity Linked Savings Scheme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(if eligible to invest)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Some ELSS funds restrict US/CA NRIs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Home Loan Principal Repayment</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80C</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 — if property in India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Foreign property loan: NOT eligible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NSC Certificates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 NRIs cannot invest in NSC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NRIs excluded from small savings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Health Insurance Premium (India policy)</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80D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 — for self/family insured in India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Foreign health insurance: NOT deductible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Health Insurance — parents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if parents are in India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Interest on Education Loan</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80E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 — if loan for Indian education or self/family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Donations (Section 80G)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if institution in India and eligible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Cash donations above ₹2,000: not deductible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Interest on NRE account</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 DEDUCTION — but EXEMPT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s.10(4)(ii)</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s.10(4)(ii)</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Taxable on ROR</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Exempt under s.10, not 80C deduction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Deduction on Salary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(if India salary)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₹75,000 under new regime (FA 2024)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hd w:fill="FFE8E8" w:val="clear"/>
        <w:spacing w:before="120" w:after="120"/>
        <w:ind w:left="360" w:right="360"/>
      </w:pPr>
      <w:r>
        <w:rPr>
          <w:rFonts w:ascii="Arial" w:cs="Arial" w:eastAsia="Arial" w:hAnsi="Arial"/>
          <w:b/>
          <w:bCs/>
          <w:color w:val="8B0000"/>
          <w:sz w:val="20"/>
          <w:szCs w:val="20"/>
        </w:rPr>
        <w:t xml:space="preserve">🚫 Critical  </w:t>
      </w:r>
      <w:r>
        <w:rPr>
          <w:rFonts w:ascii="Arial" w:cs="Arial" w:eastAsia="Arial" w:hAnsi="Arial"/>
          <w:color w:val="8B0000"/>
          <w:sz w:val="20"/>
          <w:szCs w:val="20"/>
        </w:rPr>
        <w:t xml:space="preserve">Critical: All Chapter VI-A deductions (80C, 80D etc.) are DISALLOWED under the new tax regime (s.115BAC). Since NRs are MANDATORY under new regime from FY 2023-24, they CANNOT claim any 80C/80D deductions at all. The only deductions available are standard deduction on salary (₹75,000) and NPS employer contribution.</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3: Section 10 Exemptions Available to NRIs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33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Exemption</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NR Status</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RNOR Status</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NRE account interest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s.10(4)(ii)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EXEMPT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EXEMPT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See Module 3</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FCNR(B) interest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s.10(15)(iv)(fa)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EXEMPT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EXEMPT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See Module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SGB maturity (original allottee)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Schedule II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EXEMPT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EXEMPT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NRIs cannot subscribe at primary — only secondary market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Leave travel allowance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s.10(5)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NOT AVAILABLE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If employed in India: YES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LTA requires actual India travel; NRs abroad cannot claim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HRA (House Rent Allowance)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s.10(13A)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APPLICABLE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Indian employer: 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paying rent in India while NRI: claim HRA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Gratuity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s.10(10)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 — if Indian employer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Cap: ₹20L for non-govt employees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Provident Fund interest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s.10(11)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EPF contributions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Interest exempt up to 9.5% rate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Dividend — IFSC unit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s.10(34A)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EXEMPT if from IFSC</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EXEMPT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GIFT City IFSC dividends</w:t>
            </w:r>
          </w:p>
        </w:tc>
      </w:tr>
    </w:tbl>
    <w:p>
      <w:pPr>
        <w:spacing w:after="120"/>
      </w:pPr>
      <w:r>
        <w:t xml:space="preserve"/>
      </w:r>
    </w:p>
    <w:p>
      <w:pPr>
        <w:pStyle w:val="Heading1"/>
        <w:spacing w:before="320" w:after="160"/>
      </w:pPr>
      <w:r>
        <w:rPr>
          <w:rFonts w:ascii="Arial" w:cs="Arial" w:eastAsia="Arial" w:hAnsi="Arial"/>
          <w:b/>
          <w:bCs/>
          <w:color w:val="2E4057"/>
          <w:sz w:val="32"/>
          <w:szCs w:val="32"/>
        </w:rPr>
        <w:t xml:space="preserve">Section 4: LTCG Exemption (s.198 / ₹1.25L) — NRI Treatment</w:t>
      </w:r>
    </w:p>
    <w:p>
      <w:pPr>
        <w:spacing w:after="120"/>
      </w:pPr>
      <w:r>
        <w:rPr>
          <w:rFonts w:ascii="Arial" w:cs="Arial" w:eastAsia="Arial" w:hAnsi="Arial"/>
          <w:sz w:val="20"/>
          <w:szCs w:val="20"/>
        </w:rPr>
        <w:t xml:space="preserve">The annual ₹1,25,000 LTCG exemption under s.198 applies to NRIs on their Indian equity capital gains. There is no restriction based on residential status for this exemption.</w:t>
      </w:r>
    </w:p>
    <w:p>
      <w:pPr>
        <w:spacing w:before="60" w:after="60"/>
        <w:ind w:left="360"/>
      </w:pPr>
      <w:r>
        <w:rPr>
          <w:rFonts w:ascii="Courier New" w:cs="Courier New" w:eastAsia="Courier New" w:hAnsi="Courier New"/>
          <w:color w:val="1a1a2e"/>
          <w:sz w:val="18"/>
          <w:szCs w:val="18"/>
        </w:rPr>
        <w:t xml:space="preserve">// s.198 LTCG exemption applies equally to NR, RNOR, and ROR</w:t>
      </w:r>
    </w:p>
    <w:p>
      <w:pPr>
        <w:spacing w:before="60" w:after="60"/>
        <w:ind w:left="360"/>
      </w:pPr>
      <w:r>
        <w:rPr>
          <w:rFonts w:ascii="Courier New" w:cs="Courier New" w:eastAsia="Courier New" w:hAnsi="Courier New"/>
          <w:color w:val="1a1a2e"/>
          <w:sz w:val="18"/>
          <w:szCs w:val="18"/>
        </w:rPr>
        <w:t xml:space="preserve">// No residential status restriction</w:t>
      </w:r>
    </w:p>
    <w:p>
      <w:pPr>
        <w:spacing w:before="60" w:after="60"/>
        <w:ind w:left="360"/>
      </w:pPr>
      <w:r>
        <w:rPr>
          <w:rFonts w:ascii="Courier New" w:cs="Courier New" w:eastAsia="Courier New" w:hAnsi="Courier New"/>
          <w:color w:val="1a1a2e"/>
          <w:sz w:val="18"/>
          <w:szCs w:val="18"/>
        </w:rPr>
        <w:t xml:space="preserve">total_ltcg_198 = SUM(all LTCG from listed equity + equity MF)</w:t>
      </w:r>
    </w:p>
    <w:p>
      <w:pPr>
        <w:spacing w:before="60" w:after="60"/>
        <w:ind w:left="360"/>
      </w:pPr>
      <w:r>
        <w:rPr>
          <w:rFonts w:ascii="Courier New" w:cs="Courier New" w:eastAsia="Courier New" w:hAnsi="Courier New"/>
          <w:color w:val="1a1a2e"/>
          <w:sz w:val="18"/>
          <w:szCs w:val="18"/>
        </w:rPr>
        <w:t xml:space="preserve">exemption = MIN(total_ltcg_198, 125000)</w:t>
      </w:r>
    </w:p>
    <w:p>
      <w:pPr>
        <w:spacing w:before="60" w:after="60"/>
        <w:ind w:left="360"/>
      </w:pPr>
      <w:r>
        <w:rPr>
          <w:rFonts w:ascii="Courier New" w:cs="Courier New" w:eastAsia="Courier New" w:hAnsi="Courier New"/>
          <w:color w:val="1a1a2e"/>
          <w:sz w:val="18"/>
          <w:szCs w:val="18"/>
        </w:rPr>
        <w:t xml:space="preserve">taxable_ltcg = MAX(0, total_ltcg_198 - 125000)</w:t>
      </w:r>
    </w:p>
    <w:p>
      <w:pPr>
        <w:spacing w:before="60" w:after="60"/>
        <w:ind w:left="360"/>
      </w:pPr>
      <w:r>
        <w:rPr>
          <w:rFonts w:ascii="Courier New" w:cs="Courier New" w:eastAsia="Courier New" w:hAnsi="Courier New"/>
          <w:color w:val="1a1a2e"/>
          <w:sz w:val="18"/>
          <w:szCs w:val="18"/>
        </w:rPr>
        <w:t xml:space="preserve">// Same logic as Tax Logic Spec v3 Section 5 — confirmed applicable to NRIs</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5: Advance Tax — NRI Rules</w:t>
      </w:r>
    </w:p>
    <w:p>
      <w:pPr>
        <w:spacing w:after="120"/>
      </w:pPr>
      <w:r>
        <w:rPr>
          <w:rFonts w:ascii="Arial" w:cs="Arial" w:eastAsia="Arial" w:hAnsi="Arial"/>
          <w:sz w:val="20"/>
          <w:szCs w:val="20"/>
        </w:rPr>
        <w:t xml:space="preserve">Advance tax applies to NRIs on the same basis as residents — if net tax liability exceeds ₹10,000 after TDS. However, NRIs with income only from investments on which TDS is deducted (NRO interest at 30%, dividend at 20%) may have minimal advance tax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NRI Treatment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Advance tax 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 as residents — ₹10,000 net tax liability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Instalment schedule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Same: 15% by Jun 15, 45% by Sep 15, 75% by Dec 15, 100% by Mar 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TDS offset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TDS deducted at NR rates (30% NRO interest, 20% dividend) offsets advance tax — often eliminates liability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Non-filers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NRIs not required to file ITR if income consists only of investment income with TDS deducted (s.115G Chapter XII-A) — rare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Wising alert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Compute estimated advance tax net of TDS at NR rates. Surface alert if advance tax due &gt; ₹10,000</w:t>
            </w:r>
          </w:p>
        </w:tc>
      </w:tr>
    </w:tbl>
    <w:p>
      <w:pPr>
        <w:spacing w:after="120"/>
      </w:pPr>
      <w:r>
        <w:t xml:space="preserve"/>
      </w:r>
    </w:p>
    <w:p>
      <w:pPr>
        <w:pStyle w:val="Heading1"/>
        <w:spacing w:before="320" w:after="160"/>
      </w:pPr>
      <w:r>
        <w:rPr>
          <w:rFonts w:ascii="Arial" w:cs="Arial" w:eastAsia="Arial" w:hAnsi="Arial"/>
          <w:b/>
          <w:bCs/>
          <w:color w:val="2E4057"/>
          <w:sz w:val="32"/>
          <w:szCs w:val="32"/>
        </w:rPr>
        <w:t xml:space="preserve">Section 6: PAN Requirements and s.206AA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Consequence</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Wising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NRI has PAN — DTAA rate applicable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DTAA rate applies (e.g. 10% on dividends)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Apply DTAA rate as normal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NRI has NO PAN — s.206AA applies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TDS = MAX(DTAA rate, 20%)</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Override: if DTAA rate &lt; 20%, still deduct at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NRI has PAN but not linked to broker/bank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Deductor may apply 20% assuming no PAN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Alert user to link PAN to all Indian financial accounts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NRI applying for PAN for first time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Form 49A online; income tax portal</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Surface link to application in onboarding</w:t>
            </w:r>
          </w:p>
        </w:tc>
      </w:tr>
    </w:tbl>
    <w:p>
      <w:pPr>
        <w:spacing w:after="120"/>
      </w:pPr>
      <w:r>
        <w:t xml:space="preserve"/>
      </w:r>
    </w:p>
    <w:p>
      <w:pPr>
        <w:pStyle w:val="Heading1"/>
        <w:spacing w:before="320" w:after="160"/>
      </w:pPr>
      <w:r>
        <w:rPr>
          <w:rFonts w:ascii="Arial" w:cs="Arial" w:eastAsia="Arial" w:hAnsi="Arial"/>
          <w:b/>
          <w:bCs/>
          <w:color w:val="2E4057"/>
          <w:sz w:val="32"/>
          <w:szCs w:val="32"/>
        </w:rPr>
        <w:t xml:space="preserve">Section 7: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800"/>
        <w:gridCol w:w="2960"/>
      </w:tblGrid>
      <w:tr>
        <w:trPr>
          <w:tblHeader/>
        </w:trPr>
        <w:tc>
          <w:tcPr>
            <w:tcW w:type="dxa" w:w="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Blocking?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deduction availability filter: block 80C/80D for NR (mandatory new regime)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Devanshu</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Build Chapter VI-A filter by residency status and deduction type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Devanshu</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UI: show relevant deductions only based on NR/RNOR/ROR status and income types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Nihal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4</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RNOR: compute both regimes and recommend the beneficial one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Devanshu</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s.206AA: confirm with CA — does 20% floor apply even if DTAA rate is lower?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Sarthak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6</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PAN linking alert: trigger if TDS appears to be applied at higher than DTAA rate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Nihal + Devanshu</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 — Phase 2</w:t>
            </w:r>
          </w:p>
        </w:tc>
      </w:tr>
    </w:tbl>
    <w:p>
      <w:pPr>
        <w:spacing w:after="120"/>
      </w:pPr>
      <w:r>
        <w:rPr>
          <w:rFonts w:ascii="Arial" w:cs="Arial" w:eastAsia="Arial" w:hAnsi="Arial"/>
          <w:i/>
          <w:iCs/>
          <w:color w:val="888888"/>
          <w:sz w:val="20"/>
          <w:szCs w:val="20"/>
        </w:rPr>
        <w:t xml:space="preserve">Version 1.0 | March 2026 | Module 7 of 8 — NRI Tax Engine Series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2026-03-16T08:33:18.290Z</dcterms:created>
  <dcterms:modified xsi:type="dcterms:W3CDTF">2026-03-16T08:33:18.290Z</dcterms:modified>
</cp:coreProperties>
</file>

<file path=docProps/custom.xml><?xml version="1.0" encoding="utf-8"?>
<Properties xmlns="http://schemas.openxmlformats.org/officeDocument/2006/custom-properties" xmlns:vt="http://schemas.openxmlformats.org/officeDocument/2006/docPropsVTypes"/>
</file>