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2E4057"/>
          <w:sz w:val="28"/>
          <w:szCs w:val="28"/>
        </w:rPr>
        <w:t xml:space="preserve">WISING INTELLIGENCE PRIVATE LIMITED</w:t>
      </w:r>
    </w:p>
    <w:p>
      <w:pPr>
        <w:spacing w:after="80"/>
      </w:pPr>
      <w:r>
        <w:rPr>
          <w:rFonts w:ascii="Arial" w:cs="Arial" w:eastAsia="Arial" w:hAnsi="Arial"/>
          <w:color w:val="666666"/>
          <w:sz w:val="22"/>
          <w:szCs w:val="22"/>
        </w:rPr>
        <w:t xml:space="preserve">Tax Engine Specification — Domestic Module 1</w:t>
      </w:r>
    </w:p>
    <w:p>
      <w:pPr>
        <w:spacing w:after="400"/>
      </w:pPr>
      <w:r>
        <w:rPr>
          <w:rFonts w:ascii="Arial" w:cs="Arial" w:eastAsia="Arial" w:hAnsi="Arial"/>
          <w:b/>
          <w:bCs/>
          <w:color w:val="2E4057"/>
          <w:sz w:val="40"/>
          <w:szCs w:val="40"/>
        </w:rPr>
        <w:t xml:space="preserve">Salary Income Computation (s.15–17 ITA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WISING-TAX-DOM-001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Sarthak — CA, CEO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Consumer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Devanshu (CTO) · Nihal (CPO)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 Requires CA sign-off before build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Governing Law</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ITA 2025 s.15–17 · s.115BAC · Finance Act 2024/2025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2026</w:t>
            </w:r>
          </w:p>
        </w:tc>
      </w:tr>
    </w:tbl>
    <w:p>
      <w:pPr>
        <w:spacing w:before="80" w:after="80"/>
        <w:ind w:left="200" w:right="200"/>
        <w:shd w:val="clear" w:fill="F5F1FE"/>
      </w:pPr>
      <w:r>
        <w:rPr>
          <w:rFonts w:ascii="Arial" w:hAnsi="Arial"/>
          <w:b/>
          <w:color w:val="5B35A0"/>
          <w:sz w:val="18"/>
        </w:rPr>
        <w:t xml:space="preserve">Build Step 4 | INCOME HEAD  </w:t>
      </w:r>
      <w:r>
        <w:rPr>
          <w:rFonts w:ascii="Arial" w:hAnsi="Arial"/>
          <w:color w:val="5B35A0"/>
          <w:sz w:val="18"/>
        </w:rPr>
        <w:t xml:space="preserve">Read first: Residential Status Spec v2  ||  This unlocks: Salary component feeds GTI Assembly (DOM-05 Step 10)</w:t>
      </w:r>
    </w:p>
    <w:p>
      <w:pPr>
        <w:spacing w:after="120"/>
      </w:pPr>
      <w:r>
        <w:t xml:space="preserve"/>
      </w:r>
    </w:p>
    <w:p>
      <w:pPr>
        <w:spacing w:before="80" w:after="80"/>
      </w:pPr>
      <w:r>
        <w:rPr>
          <w:rFonts w:ascii="Arial" w:cs="Arial" w:eastAsia="Arial" w:hAnsi="Arial"/>
          <w:b/>
          <w:bCs/>
          <w:sz w:val="18"/>
          <w:szCs w:val="18"/>
        </w:rPr>
        <w:t xml:space="preserve">Scope colour legend:  </w:t>
      </w:r>
      <w:r>
        <w:rPr>
          <w:rFonts w:ascii="Arial" w:cs="Arial" w:eastAsia="Arial" w:hAnsi="Arial"/>
          <w:b/>
          <w:bCs/>
          <w:color w:val="1B4F8A"/>
          <w:sz w:val="18"/>
          <w:szCs w:val="18"/>
        </w:rPr>
        <w:t xml:space="preserve">▌ DOMESTIC </w:t>
      </w:r>
      <w:r>
        <w:rPr>
          <w:rFonts w:ascii="Arial" w:cs="Arial" w:eastAsia="Arial" w:hAnsi="Arial"/>
          <w:sz w:val="18"/>
          <w:szCs w:val="18"/>
        </w:rPr>
        <w:t xml:space="preserve">— applies to Indian residents only    </w:t>
      </w:r>
      <w:r>
        <w:rPr>
          <w:rFonts w:ascii="Arial" w:cs="Arial" w:eastAsia="Arial" w:hAnsi="Arial"/>
          <w:b/>
          <w:bCs/>
          <w:color w:val="6B3FA0"/>
          <w:sz w:val="18"/>
          <w:szCs w:val="18"/>
        </w:rPr>
        <w:t xml:space="preserve">▌ NRI ONLY </w:t>
      </w:r>
      <w:r>
        <w:rPr>
          <w:rFonts w:ascii="Arial" w:cs="Arial" w:eastAsia="Arial" w:hAnsi="Arial"/>
          <w:sz w:val="18"/>
          <w:szCs w:val="18"/>
        </w:rPr>
        <w:t xml:space="preserve">— NR/RNOR specific    </w:t>
      </w:r>
      <w:r>
        <w:rPr>
          <w:rFonts w:ascii="Arial" w:cs="Arial" w:eastAsia="Arial" w:hAnsi="Arial"/>
          <w:b/>
          <w:bCs/>
          <w:color w:val="0F6E56"/>
          <w:sz w:val="18"/>
          <w:szCs w:val="18"/>
        </w:rPr>
        <w:t xml:space="preserve">▌ BOTH </w:t>
      </w:r>
      <w:r>
        <w:rPr>
          <w:rFonts w:ascii="Arial" w:cs="Arial" w:eastAsia="Arial" w:hAnsi="Arial"/>
          <w:sz w:val="18"/>
          <w:szCs w:val="18"/>
        </w:rPr>
        <w:t xml:space="preserve">— applies to all taxpayers</w:t>
      </w:r>
    </w:p>
    <w:p>
      <w:pPr>
        <w:pBdr>
          <w:bottom w:val="single" w:color="2E4057" w:sz="6" w:space="1"/>
        </w:pBdr>
        <w:spacing w:before="200" w:after="200"/>
      </w:pPr>
      <w:r>
        <w:t xml:space="preserve"/>
      </w:r>
    </w:p>
    <w:p>
      <w:pPr>
        <w:pStyle w:val="Heading1"/>
        <w:spacing w:before="320" w:after="160"/>
      </w:pPr>
      <w:r>
        <w:rPr>
          <w:rFonts w:ascii="Arial" w:cs="Arial" w:eastAsia="Arial" w:hAnsi="Arial"/>
          <w:b/>
          <w:bCs/>
          <w:color w:val="2E4057"/>
          <w:sz w:val="32"/>
          <w:szCs w:val="32"/>
        </w:rPr>
        <w:t xml:space="preserve">Section 0: Purpose and Scope</w:t>
      </w:r>
    </w:p>
    <w:p>
      <w:pPr>
        <w:shd w:fill="E8F4F8" w:val="clear"/>
        <w:spacing w:before="100" w:after="100"/>
        <w:ind w:left="360" w:right="360"/>
      </w:pPr>
      <w:r>
        <w:rPr>
          <w:rFonts w:ascii="Arial" w:cs="Arial" w:eastAsia="Arial" w:hAnsi="Arial"/>
          <w:b/>
          <w:bCs/>
          <w:color w:val="004D6B"/>
          <w:sz w:val="20"/>
          <w:szCs w:val="20"/>
        </w:rPr>
        <w:t xml:space="preserve">ℹ Note  </w:t>
      </w:r>
      <w:r>
        <w:rPr>
          <w:rFonts w:ascii="Arial" w:cs="Arial" w:eastAsia="Arial" w:hAnsi="Arial"/>
          <w:color w:val="004D6B"/>
          <w:sz w:val="20"/>
          <w:szCs w:val="20"/>
        </w:rPr>
        <w:t xml:space="preserve">Applies to all users with salary income from an Indian employer or salary for services rendered in India. NRI-specific rules are marked throughout.</w:t>
      </w:r>
    </w:p>
    <w:p>
      <w:pPr>
        <w:spacing w:after="120"/>
      </w:pPr>
      <w:r>
        <w:rPr>
          <w:rFonts w:ascii="Arial" w:cs="Arial" w:eastAsia="Arial" w:hAnsi="Arial"/>
          <w:sz w:val="20"/>
          <w:szCs w:val="20"/>
        </w:rPr>
        <w:t xml:space="preserve">This module specifies the engine logic for computing income from salary under Chapter IV-A of ITA 2025. Salary is the broadest income head — it includes wages, allowances, perquisites, profits in lieu of salary, pension, gratuity, and leave encashment.</w:t>
      </w:r>
    </w:p>
    <w:p>
      <w:pPr>
        <w:spacing w:after="120"/>
      </w:pPr>
      <w:r>
        <w:rPr>
          <w:rFonts w:ascii="Arial" w:cs="Arial" w:eastAsia="Arial" w:hAnsi="Arial"/>
          <w:sz w:val="20"/>
          <w:szCs w:val="20"/>
        </w:rPr>
        <w:t xml:space="preserve">ESOP perquisite computation is partially covered in Tax Logic Spec v4 (Section 3.5). This module covers all remaining salary components and integrates ESOP into the full salary head.</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1: What Constitutes Salary</w:t>
      </w:r>
    </w:p>
    <w:p>
      <w:pPr>
        <w:shd w:fill="E8F4F8" w:val="clear"/>
        <w:spacing w:before="100" w:after="100"/>
        <w:ind w:left="360" w:right="360"/>
      </w:pPr>
      <w:r>
        <w:rPr>
          <w:rFonts w:ascii="Arial" w:cs="Arial" w:eastAsia="Arial" w:hAnsi="Arial"/>
          <w:b/>
          <w:bCs/>
          <w:color w:val="004D6B"/>
          <w:sz w:val="20"/>
          <w:szCs w:val="20"/>
        </w:rPr>
        <w:t xml:space="preserve">ℹ Note  </w:t>
      </w:r>
      <w:r>
        <w:rPr>
          <w:rFonts w:ascii="Arial" w:cs="Arial" w:eastAsia="Arial" w:hAnsi="Arial"/>
          <w:color w:val="004D6B"/>
          <w:sz w:val="20"/>
          <w:szCs w:val="20"/>
        </w:rPr>
        <w:t xml:space="preserve">Salary is taxable on a 'due basis' — when it becomes due, NOT when received. Exception: advance salary is taxed when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43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ITA 2025 Section</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Taxable?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Basic salary / wages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s.15</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fully taxable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Dearness Allowance (DA)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s.15</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fully taxable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House Rent Allowance (HRA)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s.17(2)</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Partially exempt — see Section 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Leave Travel Allowance (LTA)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s.10(5)</w:t>
            </w:r>
          </w:p>
        </w:tc>
        <w:tc>
          <w:tcPr>
            <w:tcW w:type="dxa" w:w="1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B4F8A"/>
                <w:sz w:val="18"/>
                <w:szCs w:val="18"/>
              </w:rPr>
              <w:t xml:space="preserve">DOMESTIC</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up to 2 journeys in 4-year block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Special allowance (uniform, conveyance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s.15</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taxable unless specifically exempt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Perquisites (company car, ESOP, housing)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s.17(2)</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at FMV / rule-based computation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Profits in lieu of salary (golden handshake)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s.17(3)</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taxable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Advance salary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s.15</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in year of receipt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Gratuity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s.10(10)</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up to ₹20L for non-govt; fully exempt for govt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Leave encashment on retirement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s.10(10AA)</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up to ₹25L for non-govt; fully exempt for govt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Pension — commuted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s.10(10A)</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Govt: fully exempt; Non-govt: 1/3 exempt (with gratuity)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Pension — uncommuted (monthly)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s.15</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taxable at slab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VRS compensation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s.10(10C)</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up to ₹5L if PSU/specified employer</w:t>
            </w:r>
          </w:p>
        </w:tc>
      </w:tr>
    </w:tbl>
    <w:p>
      <w:pPr>
        <w:shd w:fill="F0EAF9" w:val="clear"/>
        <w:spacing w:before="100" w:after="100"/>
        <w:ind w:left="360" w:right="360"/>
      </w:pPr>
      <w:r>
        <w:rPr>
          <w:rFonts w:ascii="Arial" w:cs="Arial" w:eastAsia="Arial" w:hAnsi="Arial"/>
          <w:b/>
          <w:bCs/>
          <w:color w:val="6B3FA0"/>
          <w:sz w:val="20"/>
          <w:szCs w:val="20"/>
        </w:rPr>
        <w:t xml:space="preserve">▌ NRI ONLY  </w:t>
      </w:r>
      <w:r>
        <w:rPr>
          <w:rFonts w:ascii="Arial" w:cs="Arial" w:eastAsia="Arial" w:hAnsi="Arial"/>
          <w:color w:val="6B3FA0"/>
          <w:sz w:val="20"/>
          <w:szCs w:val="20"/>
        </w:rPr>
        <w:t xml:space="preserve">LTA for NRIs: Leave Travel Allowance applies only for actual travel within India. NRIs living abroad and visiting India cannot claim LTA even if their Indian employer pays it — they are not 'traveling to work' from a foreign location in the statutory sense.</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2: Standard Deduction</w:t>
      </w:r>
    </w:p>
    <w:p>
      <w:pPr>
        <w:shd w:fill="E8F4F8" w:val="clear"/>
        <w:spacing w:before="100" w:after="100"/>
        <w:ind w:left="360" w:right="360"/>
      </w:pPr>
      <w:r>
        <w:rPr>
          <w:rFonts w:ascii="Arial" w:cs="Arial" w:eastAsia="Arial" w:hAnsi="Arial"/>
          <w:b/>
          <w:bCs/>
          <w:color w:val="004D6B"/>
          <w:sz w:val="20"/>
          <w:szCs w:val="20"/>
        </w:rPr>
        <w:t xml:space="preserve">ℹ Note  </w:t>
      </w:r>
      <w:r>
        <w:rPr>
          <w:rFonts w:ascii="Arial" w:cs="Arial" w:eastAsia="Arial" w:hAnsi="Arial"/>
          <w:color w:val="004D6B"/>
          <w:sz w:val="20"/>
          <w:szCs w:val="20"/>
        </w:rPr>
        <w:t xml:space="preserve">BOTH — applies to all taxpayers (resident and NRI) with salary income from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New Regime (s.115BAC)</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Old Regime</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deduction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₹75,000 (FA 2024 enhanced)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₹50,000</w:t>
            </w:r>
          </w:p>
        </w:tc>
        <w:tc>
          <w:tcPr>
            <w:tcW w:type="dxa" w:w="1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 pension standard deduction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₹25,000 (lower of ₹25K or 1/3 of pension)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₹15,000</w:t>
            </w:r>
          </w:p>
        </w:tc>
        <w:tc>
          <w:tcPr>
            <w:tcW w:type="dxa" w:w="1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Professional tax (s.16(iii))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deductible under new regime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Deductible — actual amount paid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DOMESTIC only (NRIs rarely pay profession tax)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Entertainment allowance (s.16(ii))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available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₹5,000 or 20% of salary or actual — whichever lower; govt employees only</w:t>
            </w:r>
          </w:p>
        </w:tc>
        <w:tc>
          <w:tcPr>
            <w:tcW w:type="dxa" w:w="19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B4F8A"/>
                <w:sz w:val="18"/>
                <w:szCs w:val="18"/>
              </w:rPr>
              <w:t xml:space="preserve">DOMESTIC</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3: HRA Exemption Logic</w:t>
      </w:r>
    </w:p>
    <w:p>
      <w:pPr>
        <w:spacing w:before="180" w:after="80"/>
      </w:pPr>
      <w:r>
        <w:rPr>
          <w:rFonts w:ascii="Arial" w:cs="Arial" w:eastAsia="Arial" w:hAnsi="Arial"/>
          <w:b/>
          <w:bCs/>
          <w:color w:val="048A81"/>
          <w:sz w:val="22"/>
          <w:szCs w:val="22"/>
        </w:rPr>
        <w:t xml:space="preserve">3.1 Eligibility</w:t>
      </w:r>
      <w:r>
        <w:rPr>
          <w:rFonts w:ascii="Arial" w:cs="Arial" w:eastAsia="Arial" w:hAnsi="Arial"/>
          <w:b/>
          <w:bCs/>
          <w:color w:val="0F6E56"/>
          <w:sz w:val="20"/>
          <w:szCs w:val="20"/>
        </w:rPr>
        <w:t xml:space="preserve"> [BOTH]</w:t>
      </w:r>
    </w:p>
    <w:p>
      <w:pPr>
        <w:spacing w:after="120"/>
      </w:pPr>
      <w:r>
        <w:rPr>
          <w:rFonts w:ascii="Arial" w:cs="Arial" w:eastAsia="Arial" w:hAnsi="Arial"/>
          <w:sz w:val="20"/>
          <w:szCs w:val="20"/>
        </w:rPr>
        <w:t xml:space="preserve">HRA exemption is available under s.10(13A) read with Rule 2A. It is available under the OLD regime only — not available under the new regime (s.115BAC).</w:t>
      </w:r>
    </w:p>
    <w:p>
      <w:pPr>
        <w:shd w:fill="F0EAF9" w:val="clear"/>
        <w:spacing w:before="100" w:after="100"/>
        <w:ind w:left="360" w:right="360"/>
      </w:pPr>
      <w:r>
        <w:rPr>
          <w:rFonts w:ascii="Arial" w:cs="Arial" w:eastAsia="Arial" w:hAnsi="Arial"/>
          <w:b/>
          <w:bCs/>
          <w:color w:val="6B3FA0"/>
          <w:sz w:val="20"/>
          <w:szCs w:val="20"/>
        </w:rPr>
        <w:t xml:space="preserve">▌ NRI ONLY  </w:t>
      </w:r>
      <w:r>
        <w:rPr>
          <w:rFonts w:ascii="Arial" w:cs="Arial" w:eastAsia="Arial" w:hAnsi="Arial"/>
          <w:color w:val="6B3FA0"/>
          <w:sz w:val="20"/>
          <w:szCs w:val="20"/>
        </w:rPr>
        <w:t xml:space="preserve">NRIs receiving HRA from an Indian employer for accommodation while working in India can claim HRA exemption if they pay rent. NRIs living abroad cannot claim HRA even if their Indian salary includes an HRA component — there is no rent payment in India.</w:t>
      </w:r>
    </w:p>
    <w:p>
      <w:pPr>
        <w:spacing w:before="40" w:after="40"/>
        <w:ind w:left="360"/>
      </w:pPr>
      <w:r>
        <w:rPr>
          <w:rFonts w:ascii="Courier New" w:cs="Courier New" w:eastAsia="Courier New" w:hAnsi="Courier New"/>
          <w:color w:val="1a1a2e"/>
          <w:sz w:val="18"/>
          <w:szCs w:val="18"/>
        </w:rPr>
        <w:t xml:space="preserve">FUNCTION compute_hra_exemption(basic_da, hra_received, rent_paid, city_type):</w:t>
      </w:r>
    </w:p>
    <w:p>
      <w:pPr>
        <w:spacing w:before="40" w:after="40"/>
        <w:ind w:left="360"/>
      </w:pPr>
      <w:r>
        <w:rPr>
          <w:rFonts w:ascii="Courier New" w:cs="Courier New" w:eastAsia="Courier New" w:hAnsi="Courier New"/>
          <w:color w:val="1a1a2e"/>
          <w:sz w:val="18"/>
          <w:szCs w:val="18"/>
        </w:rPr>
        <w:t xml:space="preserve">  // HRA exempt = minimum of three amounts:</w:t>
      </w:r>
    </w:p>
    <w:p>
      <w:pPr>
        <w:spacing w:before="40" w:after="40"/>
        <w:ind w:left="360"/>
      </w:pPr>
      <w:r>
        <w:rPr>
          <w:rFonts w:ascii="Courier New" w:cs="Courier New" w:eastAsia="Courier New" w:hAnsi="Courier New"/>
          <w:color w:val="1a1a2e"/>
          <w:sz w:val="18"/>
          <w:szCs w:val="18"/>
        </w:rPr>
        <w:t xml:space="preserve">  a = hra_received                           // Actual HRA received</w:t>
      </w:r>
    </w:p>
    <w:p>
      <w:pPr>
        <w:spacing w:before="40" w:after="40"/>
        <w:ind w:left="360"/>
      </w:pPr>
      <w:r>
        <w:rPr>
          <w:rFonts w:ascii="Courier New" w:cs="Courier New" w:eastAsia="Courier New" w:hAnsi="Courier New"/>
          <w:color w:val="1a1a2e"/>
          <w:sz w:val="18"/>
          <w:szCs w:val="18"/>
        </w:rPr>
        <w:t xml:space="preserve">  b = rent_paid - (0.10 * (basic + da))      // Rent paid minus 10% of basic+DA</w:t>
      </w:r>
    </w:p>
    <w:p>
      <w:pPr>
        <w:spacing w:before="40" w:after="40"/>
        <w:ind w:left="360"/>
      </w:pPr>
      <w:r>
        <w:rPr>
          <w:rFonts w:ascii="Courier New" w:cs="Courier New" w:eastAsia="Courier New" w:hAnsi="Courier New"/>
          <w:color w:val="1a1a2e"/>
          <w:sz w:val="18"/>
          <w:szCs w:val="18"/>
        </w:rPr>
        <w:t xml:space="preserve">  c = 0.50 * (basic + da) IF city_type == 'METRO'</w:t>
      </w:r>
    </w:p>
    <w:p>
      <w:pPr>
        <w:spacing w:before="40" w:after="40"/>
        <w:ind w:left="360"/>
      </w:pPr>
      <w:r>
        <w:rPr>
          <w:rFonts w:ascii="Courier New" w:cs="Courier New" w:eastAsia="Courier New" w:hAnsi="Courier New"/>
          <w:color w:val="1a1a2e"/>
          <w:sz w:val="18"/>
          <w:szCs w:val="18"/>
        </w:rPr>
        <w:t xml:space="preserve">      ELSE 0.40 * (basic + da)               // 40% for non-metro</w:t>
      </w:r>
    </w:p>
    <w:p>
      <w:pPr>
        <w:spacing w:before="40" w:after="40"/>
        <w:ind w:left="360"/>
      </w:pPr>
      <w:r>
        <w:rPr>
          <w:rFonts w:ascii="Courier New" w:cs="Courier New" w:eastAsia="Courier New" w:hAnsi="Courier New"/>
          <w:color w:val="1a1a2e"/>
          <w:sz w:val="18"/>
          <w:szCs w:val="18"/>
        </w:rPr>
        <w:t xml:space="preserve">  hra_exempt = MAX(0, MIN(a, b, c))</w:t>
      </w:r>
    </w:p>
    <w:p>
      <w:pPr>
        <w:spacing w:before="40" w:after="40"/>
        <w:ind w:left="360"/>
      </w:pPr>
      <w:r>
        <w:rPr>
          <w:rFonts w:ascii="Courier New" w:cs="Courier New" w:eastAsia="Courier New" w:hAnsi="Courier New"/>
          <w:color w:val="1a1a2e"/>
          <w:sz w:val="18"/>
          <w:szCs w:val="18"/>
        </w:rPr>
        <w:t xml:space="preserve">  // Taxable HRA = hra_received - hra_exempt</w:t>
      </w:r>
    </w:p>
    <w:p>
      <w:pPr>
        <w:spacing w:before="40" w:after="40"/>
        <w:ind w:left="360"/>
      </w:pPr>
      <w:r>
        <w:rPr>
          <w:rFonts w:ascii="Courier New" w:cs="Courier New" w:eastAsia="Courier New" w:hAnsi="Courier New"/>
          <w:color w:val="1a1a2e"/>
          <w:sz w:val="18"/>
          <w:szCs w:val="18"/>
        </w:rPr>
        <w:t xml:space="preserve">  // Metro cities: Mumbai, Delhi, Kolkata, Chennai</w:t>
      </w:r>
    </w:p>
    <w:p>
      <w:pPr>
        <w:spacing w:before="40" w:after="40"/>
        <w:ind w:left="360"/>
      </w:pPr>
      <w:r>
        <w:rPr>
          <w:rFonts w:ascii="Courier New" w:cs="Courier New" w:eastAsia="Courier New" w:hAnsi="Courier New"/>
          <w:color w:val="1a1a2e"/>
          <w:sz w:val="18"/>
          <w:szCs w:val="18"/>
        </w:rPr>
        <w:t xml:space="preserve">  // Note: Bengaluru, Hyderabad, Pune are NOT metros for HRA — use 40%</w:t>
      </w:r>
    </w:p>
    <w:p>
      <w:pPr>
        <w:shd w:fill="FFF3CD" w:val="clear"/>
        <w:spacing w:before="100" w:after="100"/>
        <w:ind w:left="360" w:right="360"/>
      </w:pPr>
      <w:r>
        <w:rPr>
          <w:rFonts w:ascii="Arial" w:cs="Arial" w:eastAsia="Arial" w:hAnsi="Arial"/>
          <w:b/>
          <w:bCs/>
          <w:color w:val="7A5C00"/>
          <w:sz w:val="20"/>
          <w:szCs w:val="20"/>
        </w:rPr>
        <w:t xml:space="preserve">⚠ Warning  </w:t>
      </w:r>
      <w:r>
        <w:rPr>
          <w:rFonts w:ascii="Arial" w:cs="Arial" w:eastAsia="Arial" w:hAnsi="Arial"/>
          <w:color w:val="7A5C00"/>
          <w:sz w:val="20"/>
          <w:szCs w:val="20"/>
        </w:rPr>
        <w:t xml:space="preserve">HRA is NOT available under the new regime (s.115BAC). If the user has opted for new regime, skip HRA computation entirely and add full HRA to taxable salary.</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4: Perquisite Valuation</w:t>
      </w:r>
    </w:p>
    <w:p>
      <w:pPr>
        <w:spacing w:before="180" w:after="80"/>
      </w:pPr>
      <w:r>
        <w:rPr>
          <w:rFonts w:ascii="Arial" w:cs="Arial" w:eastAsia="Arial" w:hAnsi="Arial"/>
          <w:b/>
          <w:bCs/>
          <w:color w:val="048A81"/>
          <w:sz w:val="22"/>
          <w:szCs w:val="22"/>
        </w:rPr>
        <w:t xml:space="preserve">4.1 Accommodation Perquisite</w:t>
      </w:r>
      <w:r>
        <w:rPr>
          <w:rFonts w:ascii="Arial" w:cs="Arial" w:eastAsia="Arial" w:hAnsi="Arial"/>
          <w:b/>
          <w:bCs/>
          <w:color w:val="0F6E56"/>
          <w:sz w:val="20"/>
          <w:szCs w:val="20"/>
        </w:rPr>
        <w:t xml:space="preserv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Accommodation Type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Valuation Method</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Employer-owned (unfurnished)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of salary (metro) or 10% (non-metro)</w:t>
            </w:r>
          </w:p>
        </w:tc>
        <w:tc>
          <w:tcPr>
            <w:tcW w:type="dxa" w:w="2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Employer-leased (unfurnished)</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Lower of: lease rent paid by employer OR 15%/10% of salary</w:t>
            </w:r>
          </w:p>
        </w:tc>
        <w:tc>
          <w:tcPr>
            <w:tcW w:type="dxa" w:w="2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Furnished — add furniture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Above + 10% p.a. of furniture cost (or actual hire charge)</w:t>
            </w:r>
          </w:p>
        </w:tc>
        <w:tc>
          <w:tcPr>
            <w:tcW w:type="dxa" w:w="2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Hotel accommodation &gt; 15 days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24% of salary or hotel bill — whichever lower</w:t>
            </w:r>
          </w:p>
        </w:tc>
        <w:tc>
          <w:tcPr>
            <w:tcW w:type="dxa" w:w="2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Government accommodation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License fee as determined by govt</w:t>
            </w:r>
          </w:p>
        </w:tc>
        <w:tc>
          <w:tcPr>
            <w:tcW w:type="dxa" w:w="2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B4F8A"/>
                <w:sz w:val="18"/>
                <w:szCs w:val="18"/>
              </w:rPr>
              <w:t xml:space="preserve">DOMESTIC</w:t>
            </w:r>
          </w:p>
        </w:tc>
      </w:tr>
    </w:tbl>
    <w:p>
      <w:pPr>
        <w:spacing w:before="180" w:after="80"/>
      </w:pPr>
      <w:r>
        <w:rPr>
          <w:rFonts w:ascii="Arial" w:cs="Arial" w:eastAsia="Arial" w:hAnsi="Arial"/>
          <w:b/>
          <w:bCs/>
          <w:color w:val="048A81"/>
          <w:sz w:val="22"/>
          <w:szCs w:val="22"/>
        </w:rPr>
        <w:t xml:space="preserve">4.2 Car Perquisite</w:t>
      </w:r>
      <w:r>
        <w:rPr>
          <w:rFonts w:ascii="Arial" w:cs="Arial" w:eastAsia="Arial" w:hAnsi="Arial"/>
          <w:b/>
          <w:bCs/>
          <w:color w:val="0F6E56"/>
          <w:sz w:val="20"/>
          <w:szCs w:val="20"/>
        </w:rPr>
        <w:t xml:space="preserv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Taxable Perquisite Value (per month)</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 &lt; 1600cc, employer pays all expenses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₹1,800 + ₹900 driver</w:t>
            </w:r>
          </w:p>
        </w:tc>
        <w:tc>
          <w:tcPr>
            <w:tcW w:type="dxa" w:w="2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Car ≥ 1600cc, employer pays all expenses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₹2,400 + ₹900 driver</w:t>
            </w:r>
          </w:p>
        </w:tc>
        <w:tc>
          <w:tcPr>
            <w:tcW w:type="dxa" w:w="2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 uses own car, employer pays expenses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 expenses minus ₹1,800/₹2,400 + driver</w:t>
            </w:r>
          </w:p>
        </w:tc>
        <w:tc>
          <w:tcPr>
            <w:tcW w:type="dxa" w:w="2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Car for exclusively personal use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actual cost to employer</w:t>
            </w:r>
          </w:p>
        </w:tc>
        <w:tc>
          <w:tcPr>
            <w:tcW w:type="dxa" w:w="2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BOTH</w:t>
            </w:r>
          </w:p>
        </w:tc>
      </w:tr>
    </w:tbl>
    <w:p>
      <w:pPr>
        <w:spacing w:before="180" w:after="80"/>
      </w:pPr>
      <w:r>
        <w:rPr>
          <w:rFonts w:ascii="Arial" w:cs="Arial" w:eastAsia="Arial" w:hAnsi="Arial"/>
          <w:b/>
          <w:bCs/>
          <w:color w:val="048A81"/>
          <w:sz w:val="22"/>
          <w:szCs w:val="22"/>
        </w:rPr>
        <w:t xml:space="preserve">4.3 ESOP Perquisite</w:t>
      </w:r>
      <w:r>
        <w:rPr>
          <w:rFonts w:ascii="Arial" w:cs="Arial" w:eastAsia="Arial" w:hAnsi="Arial"/>
          <w:b/>
          <w:bCs/>
          <w:color w:val="0F6E56"/>
          <w:sz w:val="20"/>
          <w:szCs w:val="20"/>
        </w:rPr>
        <w:t xml:space="preserve"> [BOTH]</w:t>
      </w:r>
    </w:p>
    <w:p>
      <w:pPr>
        <w:spacing w:after="120"/>
      </w:pPr>
      <w:r>
        <w:rPr>
          <w:rFonts w:ascii="Arial" w:cs="Arial" w:eastAsia="Arial" w:hAnsi="Arial"/>
          <w:sz w:val="20"/>
          <w:szCs w:val="20"/>
        </w:rPr>
        <w:t xml:space="preserve">Already specced in Tax Logic Spec v4 Section 3.5. Cross-reference: perquisite_value = (FMV_on_exercise - exercise_price) × shares. Add to salary income in year of exercise. Employer deducts TDS on this.</w:t>
      </w:r>
    </w:p>
    <w:p>
      <w:pPr>
        <w:shd w:fill="F0EAF9" w:val="clear"/>
        <w:spacing w:before="100" w:after="100"/>
        <w:ind w:left="360" w:right="360"/>
      </w:pPr>
      <w:r>
        <w:rPr>
          <w:rFonts w:ascii="Arial" w:cs="Arial" w:eastAsia="Arial" w:hAnsi="Arial"/>
          <w:b/>
          <w:bCs/>
          <w:color w:val="6B3FA0"/>
          <w:sz w:val="20"/>
          <w:szCs w:val="20"/>
        </w:rPr>
        <w:t xml:space="preserve">▌ NRI ONLY  </w:t>
      </w:r>
      <w:r>
        <w:rPr>
          <w:rFonts w:ascii="Arial" w:cs="Arial" w:eastAsia="Arial" w:hAnsi="Arial"/>
          <w:color w:val="6B3FA0"/>
          <w:sz w:val="20"/>
          <w:szCs w:val="20"/>
        </w:rPr>
        <w:t xml:space="preserve">NRI ESOP: If NRI exercises ESOP for shares in Indian listed company, employer deducts TDS on perquisite at applicable NRI rates (30% or DTAA rate). The capital gain on subsequent sale follows Module NRI-TAX-002.</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5: Gratuity and Leave Encashment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Payment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Resident ROR</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NRI / RNOR</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Gratuity — govt employee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exempt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Fully exempt (BOTH)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computation needed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Gratuity — non-govt (covered by Act)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lower of actual, 15 days salary × years, ₹20L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18"/>
                <w:szCs w:val="18"/>
              </w:rPr>
              <w:t xml:space="preserve">Same — BOTH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₹20L lifetime cap across all employers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Gratuity — non-govt (not covered)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lower of actual, ½ month salary × years, ₹20L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Same — BOTH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Half-month = monthly salary ÷ 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Leave encashment — on retirement (govt)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exempt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18"/>
                <w:szCs w:val="18"/>
              </w:rPr>
              <w:t xml:space="preserve">Fully exempt (BOTH)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Leave encashment — on retirement (non-govt)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 up to ₹25L (FA 2023)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Same — BOTH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₹25L lifetime limit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Leave encashment — during service (any)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taxable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18"/>
                <w:szCs w:val="18"/>
              </w:rPr>
              <w:t xml:space="preserve">Fully taxable (BOTH)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exemption — add to salary</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6: TDS on Salary (s.192)</w:t>
      </w:r>
    </w:p>
    <w:p>
      <w:pPr>
        <w:shd w:fill="E8F4F8" w:val="clear"/>
        <w:spacing w:before="100" w:after="100"/>
        <w:ind w:left="360" w:right="360"/>
      </w:pPr>
      <w:r>
        <w:rPr>
          <w:rFonts w:ascii="Arial" w:cs="Arial" w:eastAsia="Arial" w:hAnsi="Arial"/>
          <w:b/>
          <w:bCs/>
          <w:color w:val="004D6B"/>
          <w:sz w:val="20"/>
          <w:szCs w:val="20"/>
        </w:rPr>
        <w:t xml:space="preserve">ℹ Note  </w:t>
      </w:r>
      <w:r>
        <w:rPr>
          <w:rFonts w:ascii="Arial" w:cs="Arial" w:eastAsia="Arial" w:hAnsi="Arial"/>
          <w:color w:val="004D6B"/>
          <w:sz w:val="20"/>
          <w:szCs w:val="20"/>
        </w:rPr>
        <w:t xml:space="preserve">BOTH — TDS on salary applies whether the employee is resident or NRI, as long as salary is from an Indian employer or for services rendered in India.</w:t>
      </w:r>
    </w:p>
    <w:p>
      <w:pPr>
        <w:spacing w:before="40" w:after="40"/>
        <w:ind w:left="360"/>
      </w:pPr>
      <w:r>
        <w:rPr>
          <w:rFonts w:ascii="Courier New" w:cs="Courier New" w:eastAsia="Courier New" w:hAnsi="Courier New"/>
          <w:color w:val="1a1a2e"/>
          <w:sz w:val="18"/>
          <w:szCs w:val="18"/>
        </w:rPr>
        <w:t xml:space="preserve">FUNCTION compute_salary_tds(estimated_annual_salary, residential_status, tax_regime):</w:t>
      </w:r>
    </w:p>
    <w:p>
      <w:pPr>
        <w:spacing w:before="40" w:after="40"/>
        <w:ind w:left="360"/>
      </w:pPr>
      <w:r>
        <w:rPr>
          <w:rFonts w:ascii="Courier New" w:cs="Courier New" w:eastAsia="Courier New" w:hAnsi="Courier New"/>
          <w:color w:val="1a1a2e"/>
          <w:sz w:val="18"/>
          <w:szCs w:val="18"/>
        </w:rPr>
        <w:t xml:space="preserve">  // Step 1: Compute estimated annual taxable salary</w:t>
      </w:r>
    </w:p>
    <w:p>
      <w:pPr>
        <w:spacing w:before="40" w:after="40"/>
        <w:ind w:left="360"/>
      </w:pPr>
      <w:r>
        <w:rPr>
          <w:rFonts w:ascii="Courier New" w:cs="Courier New" w:eastAsia="Courier New" w:hAnsi="Courier New"/>
          <w:color w:val="1a1a2e"/>
          <w:sz w:val="18"/>
          <w:szCs w:val="18"/>
        </w:rPr>
        <w:t xml:space="preserve">  gross_salary = sum(all salary components)</w:t>
      </w:r>
    </w:p>
    <w:p>
      <w:pPr>
        <w:spacing w:before="40" w:after="40"/>
        <w:ind w:left="360"/>
      </w:pPr>
      <w:r>
        <w:rPr>
          <w:rFonts w:ascii="Courier New" w:cs="Courier New" w:eastAsia="Courier New" w:hAnsi="Courier New"/>
          <w:color w:val="1a1a2e"/>
          <w:sz w:val="18"/>
          <w:szCs w:val="18"/>
        </w:rPr>
        <w:t xml:space="preserve">  exempt_components = hra_exempt + lta_exempt + gratuity_exempt + std_deduction</w:t>
      </w:r>
    </w:p>
    <w:p>
      <w:pPr>
        <w:spacing w:before="40" w:after="40"/>
        <w:ind w:left="360"/>
      </w:pPr>
      <w:r>
        <w:rPr>
          <w:rFonts w:ascii="Courier New" w:cs="Courier New" w:eastAsia="Courier New" w:hAnsi="Courier New"/>
          <w:color w:val="1a1a2e"/>
          <w:sz w:val="18"/>
          <w:szCs w:val="18"/>
        </w:rPr>
        <w:t xml:space="preserve">  taxable_salary = gross_salary - exempt_components</w:t>
      </w:r>
    </w:p>
    <w:p>
      <w:pPr>
        <w:spacing w:before="40" w:after="40"/>
        <w:ind w:left="360"/>
      </w:pPr>
      <w:r>
        <w:rPr>
          <w:rFonts w:ascii="Courier New" w:cs="Courier New" w:eastAsia="Courier New" w:hAnsi="Courier New"/>
          <w:color w:val="1a1a2e"/>
          <w:sz w:val="18"/>
          <w:szCs w:val="18"/>
        </w:rPr>
        <w:t xml:space="preserve"/>
      </w:r>
    </w:p>
    <w:p>
      <w:pPr>
        <w:spacing w:before="40" w:after="40"/>
        <w:ind w:left="360"/>
      </w:pPr>
      <w:r>
        <w:rPr>
          <w:rFonts w:ascii="Courier New" w:cs="Courier New" w:eastAsia="Courier New" w:hAnsi="Courier New"/>
          <w:color w:val="1a1a2e"/>
          <w:sz w:val="18"/>
          <w:szCs w:val="18"/>
        </w:rPr>
        <w:t xml:space="preserve">  // Step 2: Compute tax on taxable salary</w:t>
      </w:r>
    </w:p>
    <w:p>
      <w:pPr>
        <w:spacing w:before="40" w:after="40"/>
        <w:ind w:left="360"/>
      </w:pPr>
      <w:r>
        <w:rPr>
          <w:rFonts w:ascii="Courier New" w:cs="Courier New" w:eastAsia="Courier New" w:hAnsi="Courier New"/>
          <w:color w:val="1a1a2e"/>
          <w:sz w:val="18"/>
          <w:szCs w:val="18"/>
        </w:rPr>
        <w:t xml:space="preserve">  // (Employer uses new regime by default unless employee opts out)</w:t>
      </w:r>
    </w:p>
    <w:p>
      <w:pPr>
        <w:spacing w:before="40" w:after="40"/>
        <w:ind w:left="360"/>
      </w:pPr>
      <w:r>
        <w:rPr>
          <w:rFonts w:ascii="Courier New" w:cs="Courier New" w:eastAsia="Courier New" w:hAnsi="Courier New"/>
          <w:color w:val="1a1a2e"/>
          <w:sz w:val="18"/>
          <w:szCs w:val="18"/>
        </w:rPr>
        <w:t xml:space="preserve">  tax_on_salary = compute_slab_tax(taxable_salary, tax_regime, residential_status)</w:t>
      </w:r>
    </w:p>
    <w:p>
      <w:pPr>
        <w:spacing w:before="40" w:after="40"/>
        <w:ind w:left="360"/>
      </w:pPr>
      <w:r>
        <w:rPr>
          <w:rFonts w:ascii="Courier New" w:cs="Courier New" w:eastAsia="Courier New" w:hAnsi="Courier New"/>
          <w:color w:val="1a1a2e"/>
          <w:sz w:val="18"/>
          <w:szCs w:val="18"/>
        </w:rPr>
        <w:t xml:space="preserve"/>
      </w:r>
    </w:p>
    <w:p>
      <w:pPr>
        <w:spacing w:before="40" w:after="40"/>
        <w:ind w:left="360"/>
      </w:pPr>
      <w:r>
        <w:rPr>
          <w:rFonts w:ascii="Courier New" w:cs="Courier New" w:eastAsia="Courier New" w:hAnsi="Courier New"/>
          <w:color w:val="1a1a2e"/>
          <w:sz w:val="18"/>
          <w:szCs w:val="18"/>
        </w:rPr>
        <w:t xml:space="preserve">  // Step 3: Monthly TDS = annual tax / 12</w:t>
      </w:r>
    </w:p>
    <w:p>
      <w:pPr>
        <w:spacing w:before="40" w:after="40"/>
        <w:ind w:left="360"/>
      </w:pPr>
      <w:r>
        <w:rPr>
          <w:rFonts w:ascii="Courier New" w:cs="Courier New" w:eastAsia="Courier New" w:hAnsi="Courier New"/>
          <w:color w:val="1a1a2e"/>
          <w:sz w:val="18"/>
          <w:szCs w:val="18"/>
        </w:rPr>
        <w:t xml:space="preserve">  monthly_tds = tax_on_salary / 12</w:t>
      </w:r>
    </w:p>
    <w:p>
      <w:pPr>
        <w:spacing w:before="40" w:after="40"/>
        <w:ind w:left="360"/>
      </w:pPr>
      <w:r>
        <w:rPr>
          <w:rFonts w:ascii="Courier New" w:cs="Courier New" w:eastAsia="Courier New" w:hAnsi="Courier New"/>
          <w:color w:val="1a1a2e"/>
          <w:sz w:val="18"/>
          <w:szCs w:val="18"/>
        </w:rPr>
        <w:t xml:space="preserve">  // Employer adjusts TDS each month as components change</w:t>
      </w:r>
    </w:p>
    <w:p>
      <w:pPr>
        <w:shd w:fill="F0EAF9" w:val="clear"/>
        <w:spacing w:before="100" w:after="100"/>
        <w:ind w:left="360" w:right="360"/>
      </w:pPr>
      <w:r>
        <w:rPr>
          <w:rFonts w:ascii="Arial" w:cs="Arial" w:eastAsia="Arial" w:hAnsi="Arial"/>
          <w:b/>
          <w:bCs/>
          <w:color w:val="6B3FA0"/>
          <w:sz w:val="20"/>
          <w:szCs w:val="20"/>
        </w:rPr>
        <w:t xml:space="preserve">▌ NRI ONLY  </w:t>
      </w:r>
      <w:r>
        <w:rPr>
          <w:rFonts w:ascii="Arial" w:cs="Arial" w:eastAsia="Arial" w:hAnsi="Arial"/>
          <w:color w:val="6B3FA0"/>
          <w:sz w:val="20"/>
          <w:szCs w:val="20"/>
        </w:rPr>
        <w:t xml:space="preserve">NRI employee: TDS rate may differ. If employee is NRI and salary is for services rendered partly in India, partly abroad — apportion accordingly. Salary for services outside India is NOT taxable for NRs. Employer must deduct TDS only on India-attributable portion.</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7: Pension and Retirement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Income Type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Resident ROR Treatment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NRI / RNOR Treatment</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Key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Indian employer pension (monthly)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at slab — add to salary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BOTH — taxable as salary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 commuted portion exempt if non-govt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 Social Security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(global income for ROR)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18"/>
                <w:szCs w:val="18"/>
              </w:rPr>
              <w:t xml:space="preserve">EXEMPT under India-US DTAA Art.20 for NR/RNOR</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 RNOR planning opportunity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 401(k) / IRA withdrawals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(global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NOT TAXABLE during RNOR period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Return to India BEFORE withdrawals begin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UK State Pension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(global income)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18"/>
                <w:szCs w:val="18"/>
              </w:rPr>
              <w:t xml:space="preserve">Treaty analysis — generally not taxable during RNOR</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India-UK DTAA Art.17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EPF withdrawal — after 5 years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BOTH — exempt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PF exemption — both 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EPF withdrawal — before 5 years service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Taxable; TDS applies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18"/>
                <w:szCs w:val="18"/>
              </w:rPr>
              <w:t xml:space="preserve">BOTH — taxable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TDS @ 10% if PAN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NPS — partial withdrawal (60% lump 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 exempt on retirement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BOTH — same rule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 compulsory annuity — taxed on receipt</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296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 sign-off on perquisite valuation rules (accommodation, car)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Sarthak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 confirm: gratuity ₹20L and leave encashment ₹25L lifetime caps — verify ITA 2025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Sarthak</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salary income head in GTI assembly (Module D5)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Devanshu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HRA city classification DB: metro vs non-metro — maintain list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ESOP perquisite — cross-link with Tax Logic v4 Section 3.5 in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Devanshu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NRI salary apportionment: India-attributable vs foreign portion logic</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 Phase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 SS / 401k RNOR planning alerts — integrate with return-timing module (NRI-008)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Nihal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 Phase 2</w:t>
            </w:r>
          </w:p>
        </w:tc>
      </w:tr>
    </w:tbl>
    <w:p>
      <w:pPr>
        <w:spacing w:after="120"/>
      </w:pPr>
      <w:r>
        <w:rPr>
          <w:rFonts w:ascii="Arial" w:cs="Arial" w:eastAsia="Arial" w:hAnsi="Arial"/>
          <w:i/>
          <w:iCs/>
          <w:color w:val="888888"/>
          <w:sz w:val="20"/>
          <w:szCs w:val="20"/>
        </w:rPr>
        <w:t xml:space="preserve">Version 1.0 | March 2026 | WISING-TAX-DOM-001</w:t>
      </w:r>
    </w:p>
    <w:p>
      <w:pPr>
        <w:spacing w:before="100" w:after="100"/>
        <w:ind w:left="360" w:right="360"/>
        <w:shd w:val="clear" w:fill="E1F5EE"/>
      </w:pPr>
      <w:r>
        <w:rPr>
          <w:rFonts w:ascii="Arial" w:hAnsi="Arial"/>
          <w:b/>
          <w:color w:val="0F6E56"/>
          <w:sz w:val="20"/>
        </w:rPr>
        <w:t xml:space="preserve">▌ BOTH  </w:t>
      </w:r>
      <w:r>
        <w:rPr>
          <w:rFonts w:ascii="Arial" w:hAnsi="Arial"/>
          <w:color w:val="0F6E56"/>
          <w:sz w:val="20"/>
        </w:rPr>
        <w:t xml:space="preserve">Leave encashment ₹25 lakh exemption cap (enhanced by Finance Act 2023 from ₹3L). This is also a LIFETIME cap — aggregate across all employers. Track cumulative leave encashment exemption claimed by the user. Leave encashment received DURING service (not on retirement) is fully taxable — no exemption.</w:t>
      </w:r>
    </w:p>
    <w:p>
      <w:pPr>
        <w:spacing w:before="40" w:after="40"/>
        <w:ind w:left="360"/>
      </w:pPr>
      <w:r>
        <w:rPr>
          <w:rFonts w:ascii="Courier New" w:hAnsi="Courier New"/>
          <w:color w:val="1a1a2e"/>
          <w:sz w:val="18"/>
        </w:rPr>
        <w:t xml:space="preserve">FUNCTION compute_leave_encashment_exemption(amount, on_retirement, prior_leave_exempt_claimed):</w:t>
      </w:r>
    </w:p>
    <w:p>
      <w:pPr>
        <w:spacing w:before="40" w:after="40"/>
        <w:ind w:left="360"/>
      </w:pPr>
      <w:r>
        <w:rPr>
          <w:rFonts w:ascii="Courier New" w:hAnsi="Courier New"/>
          <w:color w:val="1a1a2e"/>
          <w:sz w:val="18"/>
        </w:rPr>
        <w:t xml:space="preserve">  IF NOT on_retirement: RETURN { exempt: 0, taxable: amount }  // During service: fully taxable</w:t>
      </w:r>
    </w:p>
    <w:p>
      <w:pPr>
        <w:spacing w:before="40" w:after="40"/>
        <w:ind w:left="360"/>
      </w:pPr>
      <w:r>
        <w:rPr>
          <w:rFonts w:ascii="Courier New" w:hAnsi="Courier New"/>
          <w:color w:val="1a1a2e"/>
          <w:sz w:val="18"/>
        </w:rPr>
        <w:t xml:space="preserve">  lifetime_cap = 2500000  // ₹25,00,000 (FA 2023 enhanced cap)</w:t>
      </w:r>
    </w:p>
    <w:p>
      <w:pPr>
        <w:spacing w:before="40" w:after="40"/>
        <w:ind w:left="360"/>
      </w:pPr>
      <w:r>
        <w:rPr>
          <w:rFonts w:ascii="Courier New" w:hAnsi="Courier New"/>
          <w:color w:val="1a1a2e"/>
          <w:sz w:val="18"/>
        </w:rPr>
        <w:t xml:space="preserve">  available = MAX(0, lifetime_cap - prior_leave_exempt_claimed)</w:t>
      </w:r>
    </w:p>
    <w:p>
      <w:pPr>
        <w:spacing w:before="40" w:after="40"/>
        <w:ind w:left="360"/>
      </w:pPr>
      <w:r>
        <w:rPr>
          <w:rFonts w:ascii="Courier New" w:hAnsi="Courier New"/>
          <w:color w:val="1a1a2e"/>
          <w:sz w:val="18"/>
        </w:rPr>
        <w:t xml:space="preserve">  exempt = MIN(amount / 3, available)  // 1/3 of leave salary OR actual, whichever lower for non-govt</w:t>
      </w:r>
    </w:p>
    <w:p>
      <w:pPr>
        <w:spacing w:before="40" w:after="40"/>
        <w:ind w:left="360"/>
      </w:pPr>
      <w:r>
        <w:rPr>
          <w:rFonts w:ascii="Courier New" w:hAnsi="Courier New"/>
          <w:color w:val="1a1a2e"/>
          <w:sz w:val="18"/>
        </w:rPr>
        <w:t xml:space="preserve">  // Govt employees: fully exempt up to ₹25L — no 1/3 restriction</w:t>
      </w:r>
    </w:p>
    <w:p>
      <w:pPr>
        <w:spacing w:before="40" w:after="40"/>
        <w:ind w:left="360"/>
      </w:pPr>
      <w:r>
        <w:rPr>
          <w:rFonts w:ascii="Courier New" w:hAnsi="Courier New"/>
          <w:color w:val="1a1a2e"/>
          <w:sz w:val="18"/>
        </w:rPr>
        <w:t xml:space="preserve">  RETURN { exempt, taxable: amount - exempt }</w:t>
      </w:r>
    </w:p>
    <w:p>
      <w:pPr>
        <w:spacing w:after="120"/>
      </w:pPr>
      <w:r>
        <w:rPr>
          <w:rFonts w:ascii="Arial" w:hAnsi="Arial"/>
          <w:sz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2026-03-16T09:00:00.718Z</dcterms:created>
  <dcterms:modified xsi:type="dcterms:W3CDTF">2026-03-16T09:00:00.719Z</dcterms:modified>
</cp:coreProperties>
</file>

<file path=docProps/custom.xml><?xml version="1.0" encoding="utf-8"?>
<Properties xmlns="http://schemas.openxmlformats.org/officeDocument/2006/custom-properties" xmlns:vt="http://schemas.openxmlformats.org/officeDocument/2006/docPropsVTypes"/>
</file>