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F3864"/>
          <w:sz w:val="56"/>
          <w:szCs w:val="56"/>
        </w:rPr>
        <w:t xml:space="preserve">WISING INTELLIGENCE</w:t>
      </w:r>
    </w:p>
    <w:p>
      <w:pPr>
        <w:spacing w:after="80" w:before="0"/>
        <w:jc w:val="center"/>
      </w:pPr>
      <w:r>
        <w:rPr>
          <w:rFonts w:ascii="Arial" w:cs="Arial" w:eastAsia="Arial" w:hAnsi="Arial"/>
          <w:color w:val="2E75B6"/>
          <w:sz w:val="26"/>
          <w:szCs w:val="26"/>
        </w:rPr>
        <w:t xml:space="preserve">Tax Logic Specification  —  Series DOM</w:t>
      </w:r>
    </w:p>
    <w:p>
      <w:pPr>
        <w:shd w:fill="2E75B6" w:val="clear"/>
        <w:spacing w:after="120" w:before="120"/>
        <w:jc w:val="center"/>
      </w:pPr>
      <w:r>
        <w:rPr>
          <w:rFonts w:ascii="Arial" w:cs="Arial" w:eastAsia="Arial" w:hAnsi="Arial"/>
          <w:b/>
          <w:bCs/>
          <w:color w:val="FFFFFF"/>
          <w:sz w:val="34"/>
          <w:szCs w:val="34"/>
        </w:rPr>
        <w:t xml:space="preserve">DOM_Tax_03  |  Profits &amp; Gains of Business or Profession (PGBP)  +  F&amp;O Derivatives</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Field</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Document ID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DOM_Tax_03_Business_FnO</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Income Head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Profits &amp; Gains of Business or Profession — s.28 to s.44 ITA 1961</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Scope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Domestic Resident Individual Taxpayer</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Assessment Year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AY 2025-26 (FY 2024-25) — Finance Act 2024</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Spec Version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v2.0 — Comprehensive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Author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Sarthak Ahuja, CA — Wising Intelligence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Related Specs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DOM_Tax_01_Salary | DOM_Tax_02_HouseProperty | DOM_Tax_04_CapGains | DOM_Tax_05_OtherSources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ITR Forms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ITR-3 (regular business/F&amp;O) | ITR-4 Sugam (presumptive only)</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SCOPE BOUNDARY</w:t>
            </w:r>
          </w:p>
          <w:p>
            <w:pPr>
              <w:spacing w:after="20" w:before="0"/>
            </w:pPr>
            <w:r>
              <w:rPr>
                <w:rFonts w:ascii="Arial" w:cs="Arial" w:eastAsia="Arial" w:hAnsi="Arial"/>
                <w:sz w:val="19"/>
                <w:szCs w:val="19"/>
              </w:rPr>
              <w:t xml:space="preserve">Applies to DOMESTIC RESIDENT INDIVIDUAL taxpayers only.</w:t>
            </w:r>
          </w:p>
          <w:p>
            <w:pPr>
              <w:spacing w:after="20" w:before="0"/>
            </w:pPr>
            <w:r>
              <w:rPr>
                <w:rFonts w:ascii="Arial" w:cs="Arial" w:eastAsia="Arial" w:hAnsi="Arial"/>
                <w:sz w:val="19"/>
                <w:szCs w:val="19"/>
              </w:rPr>
              <w:t xml:space="preserve">NRI business income: refer NRI spec series.</w:t>
            </w:r>
          </w:p>
          <w:p>
            <w:pPr>
              <w:spacing w:after="20" w:before="0"/>
            </w:pPr>
            <w:r>
              <w:rPr>
                <w:rFonts w:ascii="Arial" w:cs="Arial" w:eastAsia="Arial" w:hAnsi="Arial"/>
                <w:sz w:val="19"/>
                <w:szCs w:val="19"/>
              </w:rPr>
              <w:t xml:space="preserve">Company / LLP / Partnership firm taxation: out of scope for all DOM_ specs.</w:t>
            </w:r>
          </w:p>
          <w:p>
            <w:pPr>
              <w:spacing w:after="20" w:before="0"/>
            </w:pPr>
            <w:r>
              <w:rPr>
                <w:rFonts w:ascii="Arial" w:cs="Arial" w:eastAsia="Arial" w:hAnsi="Arial"/>
                <w:sz w:val="19"/>
                <w:szCs w:val="19"/>
              </w:rPr>
              <w:t xml:space="preserve">Crypto / VDA income: routed to VDA module (s.115BBH overrides PGBP — see Section 13).</w:t>
            </w:r>
          </w:p>
          <w:p>
            <w:pPr>
              <w:spacing w:after="20" w:before="0"/>
            </w:pPr>
            <w:r>
              <w:rPr>
                <w:rFonts w:ascii="Arial" w:cs="Arial" w:eastAsia="Arial" w:hAnsi="Arial"/>
                <w:sz w:val="19"/>
                <w:szCs w:val="19"/>
              </w:rPr>
              <w:t xml:space="preserve">Non-resident presumptive schemes (s.44B, s.44BB, s.44BBA, s.44BBB): out of scope — flagged in Section 14.</w:t>
            </w:r>
          </w:p>
        </w:tc>
      </w:tr>
    </w:tbl>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Contents</w:t>
      </w:r>
    </w:p>
    <w:p>
      <w:pPr>
        <w:spacing w:after="30" w:before="30"/>
        <w:ind w:left="360"/>
      </w:pPr>
      <w:r>
        <w:rPr>
          <w:rFonts w:ascii="Arial" w:cs="Arial" w:eastAsia="Arial" w:hAnsi="Arial"/>
          <w:color w:val="2E75B6"/>
          <w:sz w:val="19"/>
          <w:szCs w:val="19"/>
        </w:rPr>
        <w:t xml:space="preserve">Section 1   —  Classification and Chargeability (s.28)</w:t>
      </w:r>
    </w:p>
    <w:p>
      <w:pPr>
        <w:spacing w:after="30" w:before="30"/>
        <w:ind w:left="360"/>
      </w:pPr>
      <w:r>
        <w:rPr>
          <w:rFonts w:ascii="Arial" w:cs="Arial" w:eastAsia="Arial" w:hAnsi="Arial"/>
          <w:color w:val="2E75B6"/>
          <w:sz w:val="19"/>
          <w:szCs w:val="19"/>
        </w:rPr>
        <w:t xml:space="preserve">Section 2   —  Presumptive Taxation: s.44AD — Small Business</w:t>
      </w:r>
    </w:p>
    <w:p>
      <w:pPr>
        <w:spacing w:after="30" w:before="30"/>
        <w:ind w:left="360"/>
      </w:pPr>
      <w:r>
        <w:rPr>
          <w:rFonts w:ascii="Arial" w:cs="Arial" w:eastAsia="Arial" w:hAnsi="Arial"/>
          <w:color w:val="2E75B6"/>
          <w:sz w:val="19"/>
          <w:szCs w:val="19"/>
        </w:rPr>
        <w:t xml:space="preserve">Section 3   —  Presumptive Taxation: s.44ADA — Professionals</w:t>
      </w:r>
    </w:p>
    <w:p>
      <w:pPr>
        <w:spacing w:after="30" w:before="30"/>
        <w:ind w:left="360"/>
      </w:pPr>
      <w:r>
        <w:rPr>
          <w:rFonts w:ascii="Arial" w:cs="Arial" w:eastAsia="Arial" w:hAnsi="Arial"/>
          <w:color w:val="2E75B6"/>
          <w:sz w:val="19"/>
          <w:szCs w:val="19"/>
        </w:rPr>
        <w:t xml:space="preserve">Section 4   —  Presumptive Taxation: s.44AE — Goods Transport</w:t>
      </w:r>
    </w:p>
    <w:p>
      <w:pPr>
        <w:spacing w:after="30" w:before="30"/>
        <w:ind w:left="360"/>
      </w:pPr>
      <w:r>
        <w:rPr>
          <w:rFonts w:ascii="Arial" w:cs="Arial" w:eastAsia="Arial" w:hAnsi="Arial"/>
          <w:color w:val="2E75B6"/>
          <w:sz w:val="19"/>
          <w:szCs w:val="19"/>
        </w:rPr>
        <w:t xml:space="preserve">Section 5   —  Speculative Business Income — Intraday Equity (s.43(5))</w:t>
      </w:r>
    </w:p>
    <w:p>
      <w:pPr>
        <w:spacing w:after="30" w:before="30"/>
        <w:ind w:left="360"/>
      </w:pPr>
      <w:r>
        <w:rPr>
          <w:rFonts w:ascii="Arial" w:cs="Arial" w:eastAsia="Arial" w:hAnsi="Arial"/>
          <w:color w:val="2E75B6"/>
          <w:sz w:val="19"/>
          <w:szCs w:val="19"/>
        </w:rPr>
        <w:t xml:space="preserve">Section 6   —  F&amp;O Non-Speculative Business Income (s.43(5) proviso d)</w:t>
      </w:r>
    </w:p>
    <w:p>
      <w:pPr>
        <w:spacing w:after="30" w:before="30"/>
        <w:ind w:left="360"/>
      </w:pPr>
      <w:r>
        <w:rPr>
          <w:rFonts w:ascii="Arial" w:cs="Arial" w:eastAsia="Arial" w:hAnsi="Arial"/>
          <w:color w:val="2E75B6"/>
          <w:sz w:val="19"/>
          <w:szCs w:val="19"/>
        </w:rPr>
        <w:t xml:space="preserve">Section 7   —  Regular Business Computation: Specific Deductions s.30–s.36</w:t>
      </w:r>
    </w:p>
    <w:p>
      <w:pPr>
        <w:spacing w:after="30" w:before="30"/>
        <w:ind w:left="360"/>
      </w:pPr>
      <w:r>
        <w:rPr>
          <w:rFonts w:ascii="Arial" w:cs="Arial" w:eastAsia="Arial" w:hAnsi="Arial"/>
          <w:color w:val="2E75B6"/>
          <w:sz w:val="19"/>
          <w:szCs w:val="19"/>
        </w:rPr>
        <w:t xml:space="preserve">Section 8   —  Depreciation: s.32, s.32AC, s.32AD</w:t>
      </w:r>
    </w:p>
    <w:p>
      <w:pPr>
        <w:spacing w:after="30" w:before="30"/>
        <w:ind w:left="360"/>
      </w:pPr>
      <w:r>
        <w:rPr>
          <w:rFonts w:ascii="Arial" w:cs="Arial" w:eastAsia="Arial" w:hAnsi="Arial"/>
          <w:color w:val="2E75B6"/>
          <w:sz w:val="19"/>
          <w:szCs w:val="19"/>
        </w:rPr>
        <w:t xml:space="preserve">Section 9   —  General Deduction s.37(1) and Disallowances s.40–s.40A</w:t>
      </w:r>
    </w:p>
    <w:p>
      <w:pPr>
        <w:spacing w:after="30" w:before="30"/>
        <w:ind w:left="360"/>
      </w:pPr>
      <w:r>
        <w:rPr>
          <w:rFonts w:ascii="Arial" w:cs="Arial" w:eastAsia="Arial" w:hAnsi="Arial"/>
          <w:color w:val="2E75B6"/>
          <w:sz w:val="19"/>
          <w:szCs w:val="19"/>
        </w:rPr>
        <w:t xml:space="preserve">Section 10  —  s.43B: Actual Payment Rule</w:t>
      </w:r>
    </w:p>
    <w:p>
      <w:pPr>
        <w:spacing w:after="30" w:before="30"/>
        <w:ind w:left="360"/>
      </w:pPr>
      <w:r>
        <w:rPr>
          <w:rFonts w:ascii="Arial" w:cs="Arial" w:eastAsia="Arial" w:hAnsi="Arial"/>
          <w:color w:val="2E75B6"/>
          <w:sz w:val="19"/>
          <w:szCs w:val="19"/>
        </w:rPr>
        <w:t xml:space="preserve">Section 11  —  Special Computations: s.41, s.43CA, Closing Stock</w:t>
      </w:r>
    </w:p>
    <w:p>
      <w:pPr>
        <w:spacing w:after="30" w:before="30"/>
        <w:ind w:left="360"/>
      </w:pPr>
      <w:r>
        <w:rPr>
          <w:rFonts w:ascii="Arial" w:cs="Arial" w:eastAsia="Arial" w:hAnsi="Arial"/>
          <w:color w:val="2E75B6"/>
          <w:sz w:val="19"/>
          <w:szCs w:val="19"/>
        </w:rPr>
        <w:t xml:space="preserve">Section 12  —  Loss Set-Off and Carry Forward: s.72, s.73, s.74</w:t>
      </w:r>
    </w:p>
    <w:p>
      <w:pPr>
        <w:spacing w:after="30" w:before="30"/>
        <w:ind w:left="360"/>
      </w:pPr>
      <w:r>
        <w:rPr>
          <w:rFonts w:ascii="Arial" w:cs="Arial" w:eastAsia="Arial" w:hAnsi="Arial"/>
          <w:color w:val="2E75B6"/>
          <w:sz w:val="19"/>
          <w:szCs w:val="19"/>
        </w:rPr>
        <w:t xml:space="preserve">Section 13  —  AMT (Alternative Minimum Tax): s.115JC</w:t>
      </w:r>
    </w:p>
    <w:p>
      <w:pPr>
        <w:spacing w:after="30" w:before="30"/>
        <w:ind w:left="360"/>
      </w:pPr>
      <w:r>
        <w:rPr>
          <w:rFonts w:ascii="Arial" w:cs="Arial" w:eastAsia="Arial" w:hAnsi="Arial"/>
          <w:color w:val="2E75B6"/>
          <w:sz w:val="19"/>
          <w:szCs w:val="19"/>
        </w:rPr>
        <w:t xml:space="preserve">Section 14  —  Chapter VI-A Deductions Available to Business Taxpayers</w:t>
      </w:r>
    </w:p>
    <w:p>
      <w:pPr>
        <w:spacing w:after="30" w:before="30"/>
        <w:ind w:left="360"/>
      </w:pPr>
      <w:r>
        <w:rPr>
          <w:rFonts w:ascii="Arial" w:cs="Arial" w:eastAsia="Arial" w:hAnsi="Arial"/>
          <w:color w:val="2E75B6"/>
          <w:sz w:val="19"/>
          <w:szCs w:val="19"/>
        </w:rPr>
        <w:t xml:space="preserve">Section 15  —  Tax Audit: s.44AB</w:t>
      </w:r>
    </w:p>
    <w:p>
      <w:pPr>
        <w:spacing w:after="30" w:before="30"/>
        <w:ind w:left="360"/>
      </w:pPr>
      <w:r>
        <w:rPr>
          <w:rFonts w:ascii="Arial" w:cs="Arial" w:eastAsia="Arial" w:hAnsi="Arial"/>
          <w:color w:val="2E75B6"/>
          <w:sz w:val="19"/>
          <w:szCs w:val="19"/>
        </w:rPr>
        <w:t xml:space="preserve">Section 16  —  Advance Tax, TDS, and Interest Provisions</w:t>
      </w:r>
    </w:p>
    <w:p>
      <w:pPr>
        <w:spacing w:after="30" w:before="30"/>
        <w:ind w:left="360"/>
      </w:pPr>
      <w:r>
        <w:rPr>
          <w:rFonts w:ascii="Arial" w:cs="Arial" w:eastAsia="Arial" w:hAnsi="Arial"/>
          <w:color w:val="2E75B6"/>
          <w:sz w:val="19"/>
          <w:szCs w:val="19"/>
        </w:rPr>
        <w:t xml:space="preserve">Section 17  —  Return Filing: ITR Form, Due Dates, Belated Return</w:t>
      </w:r>
    </w:p>
    <w:p>
      <w:pPr>
        <w:spacing w:after="30" w:before="30"/>
        <w:ind w:left="360"/>
      </w:pPr>
      <w:r>
        <w:rPr>
          <w:rFonts w:ascii="Arial" w:cs="Arial" w:eastAsia="Arial" w:hAnsi="Arial"/>
          <w:color w:val="2E75B6"/>
          <w:sz w:val="19"/>
          <w:szCs w:val="19"/>
        </w:rPr>
        <w:t xml:space="preserve">Section 18  —  Special Topics and Edge Cases</w:t>
      </w:r>
    </w:p>
    <w:p>
      <w:pPr>
        <w:spacing w:after="30" w:before="30"/>
        <w:ind w:left="360"/>
      </w:pPr>
      <w:r>
        <w:rPr>
          <w:rFonts w:ascii="Arial" w:cs="Arial" w:eastAsia="Arial" w:hAnsi="Arial"/>
          <w:color w:val="2E75B6"/>
          <w:sz w:val="19"/>
          <w:szCs w:val="19"/>
        </w:rPr>
        <w:t xml:space="preserve">Section 19  —  Engine Computation Flow and CA Dashboard Flags</w:t>
      </w:r>
    </w:p>
    <w:p>
      <w:pPr>
        <w:spacing w:after="30" w:before="30"/>
        <w:ind w:left="360"/>
      </w:pPr>
      <w:r>
        <w:rPr>
          <w:rFonts w:ascii="Arial" w:cs="Arial" w:eastAsia="Arial" w:hAnsi="Arial"/>
          <w:color w:val="2E75B6"/>
          <w:sz w:val="19"/>
          <w:szCs w:val="19"/>
        </w:rPr>
        <w:t xml:space="preserve">Section 20  —  Statutory Reference Table</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1  —  Classification and Chargeability (s.28)</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1.1  Incomes Chargeable Under s.28</w:t>
      </w:r>
    </w:p>
    <w:p>
      <w:pPr>
        <w:spacing w:after="50" w:before="50"/>
      </w:pPr>
      <w:r>
        <w:rPr>
          <w:rFonts w:ascii="Arial" w:cs="Arial" w:eastAsia="Arial" w:hAnsi="Arial"/>
          <w:sz w:val="20"/>
          <w:szCs w:val="20"/>
        </w:rPr>
        <w:t xml:space="preserve">The following are charged to income tax under the head Profits &amp; Gains of Business or Profession:</w:t>
      </w:r>
    </w:p>
    <w:p>
      <w:pPr>
        <w:pStyle w:val="ListParagraph"/>
        <w:numPr>
          <w:ilvl w:val="0"/>
          <w:numId w:val="2"/>
        </w:numPr>
        <w:spacing w:after="30" w:before="30"/>
      </w:pPr>
      <w:r>
        <w:rPr>
          <w:rFonts w:ascii="Arial" w:cs="Arial" w:eastAsia="Arial" w:hAnsi="Arial"/>
          <w:sz w:val="20"/>
          <w:szCs w:val="20"/>
        </w:rPr>
        <w:t xml:space="preserve">Profits and gains of any business or profession carried on by the taxpayer at any time during the previous year</w:t>
      </w:r>
    </w:p>
    <w:p>
      <w:pPr>
        <w:pStyle w:val="ListParagraph"/>
        <w:numPr>
          <w:ilvl w:val="0"/>
          <w:numId w:val="2"/>
        </w:numPr>
        <w:spacing w:after="30" w:before="30"/>
      </w:pPr>
      <w:r>
        <w:rPr>
          <w:rFonts w:ascii="Arial" w:cs="Arial" w:eastAsia="Arial" w:hAnsi="Arial"/>
          <w:sz w:val="20"/>
          <w:szCs w:val="20"/>
        </w:rPr>
        <w:t xml:space="preserve">Any compensation or other payment due to or received by any person, by whatever name called, in connection with the termination or modification of management of a company</w:t>
      </w:r>
    </w:p>
    <w:p>
      <w:pPr>
        <w:pStyle w:val="ListParagraph"/>
        <w:numPr>
          <w:ilvl w:val="0"/>
          <w:numId w:val="2"/>
        </w:numPr>
        <w:spacing w:after="30" w:before="30"/>
      </w:pPr>
      <w:r>
        <w:rPr>
          <w:rFonts w:ascii="Arial" w:cs="Arial" w:eastAsia="Arial" w:hAnsi="Arial"/>
          <w:sz w:val="20"/>
          <w:szCs w:val="20"/>
        </w:rPr>
        <w:t xml:space="preserve">Any compensation received in connection with the vesting of the management of any property or business in the Government</w:t>
      </w:r>
    </w:p>
    <w:p>
      <w:pPr>
        <w:pStyle w:val="ListParagraph"/>
        <w:numPr>
          <w:ilvl w:val="0"/>
          <w:numId w:val="2"/>
        </w:numPr>
        <w:spacing w:after="30" w:before="30"/>
      </w:pPr>
      <w:r>
        <w:rPr>
          <w:rFonts w:ascii="Arial" w:cs="Arial" w:eastAsia="Arial" w:hAnsi="Arial"/>
          <w:sz w:val="20"/>
          <w:szCs w:val="20"/>
        </w:rPr>
        <w:t xml:space="preserve">Income from specific export incentives: DEPB (Duty Entitlement Pass Book), Duty Drawback, profits on transfer of import licence, cash assistance received or receivable by any exporter from the Government</w:t>
      </w:r>
    </w:p>
    <w:p>
      <w:pPr>
        <w:pStyle w:val="ListParagraph"/>
        <w:numPr>
          <w:ilvl w:val="0"/>
          <w:numId w:val="2"/>
        </w:numPr>
        <w:spacing w:after="30" w:before="30"/>
      </w:pPr>
      <w:r>
        <w:rPr>
          <w:rFonts w:ascii="Arial" w:cs="Arial" w:eastAsia="Arial" w:hAnsi="Arial"/>
          <w:sz w:val="20"/>
          <w:szCs w:val="20"/>
        </w:rPr>
        <w:t xml:space="preserve">Value of any benefit or perquisite arising from business or exercise of a profession</w:t>
      </w:r>
    </w:p>
    <w:p>
      <w:pPr>
        <w:pStyle w:val="ListParagraph"/>
        <w:numPr>
          <w:ilvl w:val="0"/>
          <w:numId w:val="2"/>
        </w:numPr>
        <w:spacing w:after="30" w:before="30"/>
      </w:pPr>
      <w:r>
        <w:rPr>
          <w:rFonts w:ascii="Arial" w:cs="Arial" w:eastAsia="Arial" w:hAnsi="Arial"/>
          <w:sz w:val="20"/>
          <w:szCs w:val="20"/>
        </w:rPr>
        <w:t xml:space="preserve">Any interest, salary, bonus, commission, or remuneration received by a partner from the firm (only the component that is allowable at the firm level is taxable at partner level)</w:t>
      </w:r>
    </w:p>
    <w:p>
      <w:pPr>
        <w:pStyle w:val="ListParagraph"/>
        <w:numPr>
          <w:ilvl w:val="0"/>
          <w:numId w:val="2"/>
        </w:numPr>
        <w:spacing w:after="30" w:before="30"/>
      </w:pPr>
      <w:r>
        <w:rPr>
          <w:rFonts w:ascii="Arial" w:cs="Arial" w:eastAsia="Arial" w:hAnsi="Arial"/>
          <w:sz w:val="20"/>
          <w:szCs w:val="20"/>
        </w:rPr>
        <w:t xml:space="preserve">Sum received under a Keyman insurance policy including bonus — taxable in the year of receipt</w:t>
      </w:r>
    </w:p>
    <w:p>
      <w:pPr>
        <w:pStyle w:val="ListParagraph"/>
        <w:numPr>
          <w:ilvl w:val="0"/>
          <w:numId w:val="2"/>
        </w:numPr>
        <w:spacing w:after="30" w:before="30"/>
      </w:pPr>
      <w:r>
        <w:rPr>
          <w:rFonts w:ascii="Arial" w:cs="Arial" w:eastAsia="Arial" w:hAnsi="Arial"/>
          <w:sz w:val="20"/>
          <w:szCs w:val="20"/>
        </w:rPr>
        <w:t xml:space="preserve">Amount received on waiver of loan that was previously deducted as an expense under s.36(1)(iii)</w:t>
      </w:r>
    </w:p>
    <w:p>
      <w:pPr>
        <w:pStyle w:val="ListParagraph"/>
        <w:numPr>
          <w:ilvl w:val="0"/>
          <w:numId w:val="2"/>
        </w:numPr>
        <w:spacing w:after="30" w:before="30"/>
      </w:pPr>
      <w:r>
        <w:rPr>
          <w:rFonts w:ascii="Arial" w:cs="Arial" w:eastAsia="Arial" w:hAnsi="Arial"/>
          <w:sz w:val="20"/>
          <w:szCs w:val="20"/>
        </w:rPr>
        <w:t xml:space="preserve">Profits from speculative transactions (bucketed separately — see Section 5)</w:t>
      </w:r>
    </w:p>
    <w:p>
      <w:pPr>
        <w:pStyle w:val="ListParagraph"/>
        <w:numPr>
          <w:ilvl w:val="0"/>
          <w:numId w:val="2"/>
        </w:numPr>
        <w:spacing w:after="30" w:before="30"/>
      </w:pPr>
      <w:r>
        <w:rPr>
          <w:rFonts w:ascii="Arial" w:cs="Arial" w:eastAsia="Arial" w:hAnsi="Arial"/>
          <w:sz w:val="20"/>
          <w:szCs w:val="20"/>
        </w:rPr>
        <w:t xml:space="preserve">Income from F&amp;O derivatives (non-speculative — see Section 6)</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1.2  Classification Decision Tree</w:t>
      </w:r>
    </w:p>
    <w:p>
      <w:pPr>
        <w:spacing w:after="50" w:before="50"/>
      </w:pPr>
      <w:r>
        <w:rPr>
          <w:rFonts w:ascii="Arial" w:cs="Arial" w:eastAsia="Arial" w:hAnsi="Arial"/>
          <w:sz w:val="20"/>
          <w:szCs w:val="20"/>
        </w:rPr>
        <w:t xml:space="preserve">The engine must classify income before computing:</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FUNCTION classify_income(income_event):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income_event.type == VDA_CRYPTO:</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=&gt; route to VDA module (s.115BBH, flat 30%)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PGBP rules do NOT apply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income_event.type == INTRADAY_EQUITY: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=&gt; Section 5 (Speculative Business Income)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income_event.type IN [EQ_FUTURES, EQ_OPTIONS, IDX_FUTURES,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IDX_OPTIONS, CCY_DERIVATIVES, COMM_DERIVATIVES]: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=&gt; Section 6 (F&amp;O Non-Speculative Business Income)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income_event.type == PROFESSIONAL:</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check_presumptive_eligibility(s.44ADA)</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eligible AND opted: =&gt; Section 3</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ELSE: =&gt; Section 7 (Regular Computation)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income_event.type == GOODS_TRANSPORT: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=&gt; Section 4 (s.44AE Presumptive)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income_event.type == SMALL_BUSINESS: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check_presumptive_eligibility(s.44AD)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eligible AND opted: =&gt; Section 2</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ELSE: =&gt; Section 7 (Regular Computation)</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1.3  New Regime One-Way Lock-In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CRITICAL: NEW REGIME LOCK-IN FOR BUSINESS TAXPAYERS</w:t>
            </w:r>
          </w:p>
          <w:p>
            <w:pPr>
              <w:spacing w:after="20" w:before="0"/>
            </w:pPr>
            <w:r>
              <w:rPr>
                <w:rFonts w:ascii="Arial" w:cs="Arial" w:eastAsia="Arial" w:hAnsi="Arial"/>
                <w:sz w:val="19"/>
                <w:szCs w:val="19"/>
              </w:rPr>
              <w:t xml:space="preserve">A taxpayer with business or professional income who opts for the New Tax Regime under s.115BAC is PERMANENTLY locked in.</w:t>
            </w:r>
          </w:p>
          <w:p>
            <w:pPr>
              <w:spacing w:after="20" w:before="0"/>
            </w:pPr>
            <w:r>
              <w:rPr>
                <w:rFonts w:ascii="Arial" w:cs="Arial" w:eastAsia="Arial" w:hAnsi="Arial"/>
                <w:sz w:val="19"/>
                <w:szCs w:val="19"/>
              </w:rPr>
              <w:t xml:space="preserve">They cannot switch back to the Old Regime in any subsequent year so long as they continue to have business income.</w:t>
            </w:r>
          </w:p>
          <w:p>
            <w:pPr>
              <w:spacing w:after="20" w:before="0"/>
            </w:pPr>
            <w:r>
              <w:rPr>
                <w:rFonts w:ascii="Arial" w:cs="Arial" w:eastAsia="Arial" w:hAnsi="Arial"/>
                <w:sz w:val="19"/>
                <w:szCs w:val="19"/>
              </w:rPr>
              <w:t xml:space="preserve">This is unlike salaried taxpayers who may switch each year.</w:t>
            </w:r>
          </w:p>
          <w:p>
            <w:pPr>
              <w:spacing w:after="20" w:before="0"/>
            </w:pPr>
            <w:r>
              <w:rPr>
                <w:rFonts w:ascii="Arial" w:cs="Arial" w:eastAsia="Arial" w:hAnsi="Arial"/>
                <w:sz w:val="19"/>
                <w:szCs w:val="19"/>
              </w:rPr>
              <w:t xml:space="preserve">Engine must display this warning prominently before confirming New Regime selection.</w:t>
            </w:r>
          </w:p>
          <w:p>
            <w:pPr>
              <w:spacing w:after="20" w:before="0"/>
            </w:pPr>
            <w:r>
              <w:rPr>
                <w:rFonts w:ascii="Arial" w:cs="Arial" w:eastAsia="Arial" w:hAnsi="Arial"/>
                <w:sz w:val="19"/>
                <w:szCs w:val="19"/>
              </w:rPr>
              <w:t xml:space="preserve">If taxpayer ceases to have business income in a future year, they may switch back to Old Regime for that year only.</w:t>
            </w:r>
          </w:p>
        </w:tc>
      </w:tr>
    </w:tbl>
    <w:p>
      <w:pPr>
        <w:spacing w:after="30" w:before="30"/>
      </w:pPr>
      <w:r>
        <w:t xml:space="preserve"/>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1.4  Income from Illegal Activities</w:t>
      </w:r>
    </w:p>
    <w:p>
      <w:pPr>
        <w:spacing w:after="50" w:before="50"/>
      </w:pPr>
      <w:r>
        <w:rPr>
          <w:rFonts w:ascii="Arial" w:cs="Arial" w:eastAsia="Arial" w:hAnsi="Arial"/>
          <w:sz w:val="20"/>
          <w:szCs w:val="20"/>
        </w:rPr>
        <w:t xml:space="preserve">Income from illegal business (smuggling, gambling, illegal trade) is still taxable under PGBP. The Supreme Court has held in CIT v Piara Singh (1980) that legality of business is irrelevant — if an activity is a business, its profits are taxable. No deduction is available for expenses of an illegal nature (bribes, penalties). Engine note: income source field should allow "other business" to capture this. No special computation — slab rate applies.</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2  —  Presumptive Taxation: s.44AD (Small Business)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2.1  Eligibility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Condition</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Requirement</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Eligible Assessee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Resident Individual, Resident HUF, Resident Partnership Firm (NOT LLP, NOT company)</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Eligible Business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Any business except: transport (s.44AE), agency business, earning commission or brokerage income, profession notified under s.44ADA</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Turnover Threshold — Cash</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gross turnover or receipts &lt;= INR 2 crore in the previous year</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Turnover Threshold — Digital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If &gt;= 95% of receipts and payments are via banking / digital modes: limit is INR 3 crore (Finance Act 2023, effective AY 2024-25 onwards)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Residency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Taxpayer must be RESIDENT — non-resident individuals cannot use s.44AD</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Prior Year Opt-Out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Cannot re-opt within 5 years of opting out (s.44AD(4)) — see Section 2.5</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2.2  Presumptive Income Computation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Split receipts by mode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digital_receipts = receipts via bank transfer, UPI, NEFT, RTGS, card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cash_receipts    = total_receipts - digital_receipts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Apply differential rates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presumptive_income = (digital_receipts * 0.06) + (cash_receipts * 0.08)</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Taxpayer may declare HIGHER income voluntarily (allowed)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declared_income = max(presumptive_income, taxpayer_voluntary_declaration)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No individual expense deduction allowed within scheme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Chapter VI-A deductions (80C, 80D, etc.) still available against declared income</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9E8F5" w:val="clear"/>
            <w:tcMar>
              <w:top w:type="dxa" w:w="80"/>
              <w:left w:type="dxa" w:w="180"/>
              <w:bottom w:type="dxa" w:w="80"/>
              <w:right w:type="dxa" w:w="180"/>
            </w:tcMar>
          </w:tcPr>
          <w:p>
            <w:pPr>
              <w:spacing w:after="20" w:before="30"/>
            </w:pPr>
            <w:r>
              <w:rPr>
                <w:rFonts w:ascii="Arial" w:cs="Arial" w:eastAsia="Arial" w:hAnsi="Arial"/>
                <w:b/>
                <w:bCs/>
                <w:color w:val="2E75B6"/>
                <w:sz w:val="20"/>
                <w:szCs w:val="20"/>
              </w:rPr>
              <w:t xml:space="preserve">📌  BLENDED RATE LOGIC</w:t>
            </w:r>
          </w:p>
          <w:p>
            <w:pPr>
              <w:spacing w:after="20" w:before="0"/>
            </w:pPr>
            <w:r>
              <w:rPr>
                <w:rFonts w:ascii="Arial" w:cs="Arial" w:eastAsia="Arial" w:hAnsi="Arial"/>
                <w:sz w:val="19"/>
                <w:szCs w:val="19"/>
              </w:rPr>
              <w:t xml:space="preserve">Do NOT apply a flat 8% or 6% to total turnover when receipts are mixed.</w:t>
            </w:r>
          </w:p>
          <w:p>
            <w:pPr>
              <w:spacing w:after="20" w:before="0"/>
            </w:pPr>
            <w:r>
              <w:rPr>
                <w:rFonts w:ascii="Arial" w:cs="Arial" w:eastAsia="Arial" w:hAnsi="Arial"/>
                <w:sz w:val="19"/>
                <w:szCs w:val="19"/>
              </w:rPr>
              <w:t xml:space="preserve">Split: 6% on digital portion, 8% on cash portion.</w:t>
            </w:r>
          </w:p>
          <w:p>
            <w:pPr>
              <w:spacing w:after="20" w:before="0"/>
            </w:pPr>
            <w:r>
              <w:rPr>
                <w:rFonts w:ascii="Arial" w:cs="Arial" w:eastAsia="Arial" w:hAnsi="Arial"/>
                <w:sz w:val="19"/>
                <w:szCs w:val="19"/>
              </w:rPr>
              <w:t xml:space="preserve">Engine must collect payment mode breakdown at receipt level.</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2.3  What is Subsumed in Presumptive Rate</w:t>
      </w:r>
    </w:p>
    <w:p>
      <w:pPr>
        <w:spacing w:after="50" w:before="50"/>
      </w:pPr>
      <w:r>
        <w:rPr>
          <w:rFonts w:ascii="Arial" w:cs="Arial" w:eastAsia="Arial" w:hAnsi="Arial"/>
          <w:sz w:val="20"/>
          <w:szCs w:val="20"/>
        </w:rPr>
        <w:t xml:space="preserve">The presumptive rate covers ALL business expenses including: depreciation, rent, salary, interest, repairs, insurance, and every other deductible expense. No separate deduction is available under s.30 to s.38. The taxpayer is deemed to have claimed all deductions within the prescribed percentage.</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2.4  Interaction with Audit (s.44AB)</w:t>
      </w:r>
    </w:p>
    <w:p>
      <w:pPr>
        <w:spacing w:after="50" w:before="50"/>
      </w:pPr>
      <w:r>
        <w:rPr>
          <w:rFonts w:ascii="Arial" w:cs="Arial" w:eastAsia="Arial" w:hAnsi="Arial"/>
          <w:sz w:val="20"/>
          <w:szCs w:val="20"/>
        </w:rPr>
        <w:t xml:space="preserve">If a taxpayer opts out of s.44AD and declares income BELOW the 8%/6% threshold for the year, AND their total income exceeds the basic exemption limit:</w:t>
      </w:r>
    </w:p>
    <w:p>
      <w:pPr>
        <w:pStyle w:val="ListParagraph"/>
        <w:numPr>
          <w:ilvl w:val="0"/>
          <w:numId w:val="2"/>
        </w:numPr>
        <w:spacing w:after="30" w:before="30"/>
      </w:pPr>
      <w:r>
        <w:rPr>
          <w:rFonts w:ascii="Arial" w:cs="Arial" w:eastAsia="Arial" w:hAnsi="Arial"/>
          <w:sz w:val="20"/>
          <w:szCs w:val="20"/>
        </w:rPr>
        <w:t xml:space="preserve">They must maintain books of accounts under s.44AA</w:t>
      </w:r>
    </w:p>
    <w:p>
      <w:pPr>
        <w:pStyle w:val="ListParagraph"/>
        <w:numPr>
          <w:ilvl w:val="0"/>
          <w:numId w:val="2"/>
        </w:numPr>
        <w:spacing w:after="30" w:before="30"/>
      </w:pPr>
      <w:r>
        <w:rPr>
          <w:rFonts w:ascii="Arial" w:cs="Arial" w:eastAsia="Arial" w:hAnsi="Arial"/>
          <w:sz w:val="20"/>
          <w:szCs w:val="20"/>
        </w:rPr>
        <w:t xml:space="preserve">They must get accounts audited under s.44AB</w:t>
      </w:r>
    </w:p>
    <w:p>
      <w:pPr>
        <w:pStyle w:val="ListParagraph"/>
        <w:numPr>
          <w:ilvl w:val="0"/>
          <w:numId w:val="2"/>
        </w:numPr>
        <w:spacing w:after="30" w:before="30"/>
      </w:pPr>
      <w:r>
        <w:rPr>
          <w:rFonts w:ascii="Arial" w:cs="Arial" w:eastAsia="Arial" w:hAnsi="Arial"/>
          <w:sz w:val="20"/>
          <w:szCs w:val="20"/>
        </w:rPr>
        <w:t xml:space="preserve">Due date for such audit: 30 September of the assessment year</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declared_income &lt; presumptive_income_threshold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AND total_income &gt; basic_exemption_limit: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AUDIT_REQUIRED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BOOKS_MAINTENANCE_REQUIRED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ROUTE: CA_DASHBOARD with MANDATORY_AUDIT</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2.5  Five-Year Re-entry Restriction (s.44AD(4))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5-YEAR BAN — MUST BE ENFORCED BY ENGINE</w:t>
            </w:r>
          </w:p>
          <w:p>
            <w:pPr>
              <w:spacing w:after="20" w:before="0"/>
            </w:pPr>
            <w:r>
              <w:rPr>
                <w:rFonts w:ascii="Arial" w:cs="Arial" w:eastAsia="Arial" w:hAnsi="Arial"/>
                <w:sz w:val="19"/>
                <w:szCs w:val="19"/>
              </w:rPr>
              <w:t xml:space="preserve">If a taxpayer claims s.44AD in a year, then opts out in a subsequent year (by declaring lower profit OR not opting), they are BANNED from re-opting for s.44AD for the next FIVE consecutive assessment years.</w:t>
            </w:r>
          </w:p>
          <w:p>
            <w:pPr>
              <w:spacing w:after="20" w:before="0"/>
            </w:pPr>
            <w:r>
              <w:rPr>
                <w:rFonts w:ascii="Arial" w:cs="Arial" w:eastAsia="Arial" w:hAnsi="Arial"/>
                <w:sz w:val="19"/>
                <w:szCs w:val="19"/>
              </w:rPr>
              <w:t xml:space="preserve">Engine must track the 44AD election history for each taxpayer user and disable the s.44AD option when the 5-year window is active.</w:t>
            </w:r>
          </w:p>
        </w:tc>
      </w:tr>
    </w:tbl>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taxpayer.44ad_history.last_exit_ay IS NOT NULL:</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years_locked = current_ay - taxpayer.44ad_history.last_exit_ay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years_locked &lt;= 5:</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S44AD_REENTRY_BLOCKED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DISABLE: s.44AD in UI</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CA_NOTE: "Re-entry permitted from AY " + (last_exit_ay + 6)</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2.6  Advance Tax for s.44AD Taxpayers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9E8F5" w:val="clear"/>
            <w:tcMar>
              <w:top w:type="dxa" w:w="80"/>
              <w:left w:type="dxa" w:w="180"/>
              <w:bottom w:type="dxa" w:w="80"/>
              <w:right w:type="dxa" w:w="180"/>
            </w:tcMar>
          </w:tcPr>
          <w:p>
            <w:pPr>
              <w:spacing w:after="20" w:before="30"/>
            </w:pPr>
            <w:r>
              <w:rPr>
                <w:rFonts w:ascii="Arial" w:cs="Arial" w:eastAsia="Arial" w:hAnsi="Arial"/>
                <w:b/>
                <w:bCs/>
                <w:color w:val="2E75B6"/>
                <w:sz w:val="20"/>
                <w:szCs w:val="20"/>
              </w:rPr>
              <w:t xml:space="preserve">📌  SIMPLIFIED ADVANCE TAX</w:t>
            </w:r>
          </w:p>
          <w:p>
            <w:pPr>
              <w:spacing w:after="20" w:before="0"/>
            </w:pPr>
            <w:r>
              <w:rPr>
                <w:rFonts w:ascii="Arial" w:cs="Arial" w:eastAsia="Arial" w:hAnsi="Arial"/>
                <w:sz w:val="19"/>
                <w:szCs w:val="19"/>
              </w:rPr>
              <w:t xml:space="preserve">Taxpayers covered by s.44AD pay advance tax in ONE instalment — due by 15 March.</w:t>
            </w:r>
          </w:p>
          <w:p>
            <w:pPr>
              <w:spacing w:after="20" w:before="0"/>
            </w:pPr>
            <w:r>
              <w:rPr>
                <w:rFonts w:ascii="Arial" w:cs="Arial" w:eastAsia="Arial" w:hAnsi="Arial"/>
                <w:sz w:val="19"/>
                <w:szCs w:val="19"/>
              </w:rPr>
              <w:t xml:space="preserve">They are exempt from the 15 June, 15 September, and 15 December instalments.</w:t>
            </w:r>
          </w:p>
          <w:p>
            <w:pPr>
              <w:spacing w:after="20" w:before="0"/>
            </w:pPr>
            <w:r>
              <w:rPr>
                <w:rFonts w:ascii="Arial" w:cs="Arial" w:eastAsia="Arial" w:hAnsi="Arial"/>
                <w:sz w:val="19"/>
                <w:szCs w:val="19"/>
              </w:rPr>
              <w:t xml:space="preserve">Engine must apply this simplified schedule for all s.44AD opted taxpayers.</w:t>
            </w:r>
          </w:p>
        </w:tc>
      </w:tr>
    </w:tbl>
    <w:p>
      <w:pPr>
        <w:spacing w:after="30" w:before="30"/>
      </w:pPr>
      <w:r>
        <w:t xml:space="preserve"/>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3  —  Presumptive Taxation: s.44ADA (Professionals)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3.1  Eligible Professions (Exhaustive — As Notified)</w:t>
      </w:r>
    </w:p>
    <w:p>
      <w:pPr>
        <w:spacing w:after="50" w:before="50"/>
      </w:pPr>
      <w:r>
        <w:rPr>
          <w:rFonts w:ascii="Arial" w:cs="Arial" w:eastAsia="Arial" w:hAnsi="Arial"/>
          <w:sz w:val="20"/>
          <w:szCs w:val="20"/>
        </w:rPr>
        <w:t xml:space="preserve">s.44ADA applies ONLY to the following notified professions. Any profession not in this list must use regular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Category</w:t>
            </w:r>
          </w:p>
        </w:tc>
        <w:tc>
          <w:tcPr>
            <w:tcW w:type="dxa" w:w="3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Professions Included</w:t>
            </w:r>
          </w:p>
        </w:tc>
        <w:tc>
          <w:tcPr>
            <w:tcW w:type="dxa" w:w="31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Legal</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Advocate, solicitor, vakil, attorney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Includes junior advocates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Medical</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Physician, surgeon, dentist, nurse, midwife, radiologist, pathologist, physiotherapist, paramedics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Includes all registered medical practitioners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Engineering &amp; Architecture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Engineer (all disciplines), architect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Must be practising as consultant / individual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Accountancy</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Chartered Accountant, Cost Accountant, Company Secretary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Individual practice only — firm is separate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Technical Consultancy</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IT consultants, management consultants (if technical)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Must be technical in nature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Interior Decoration</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Interior designer, space planner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Applies to individual practitioners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Authorised Representative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Representative before tribunal, arbitration, court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Not practising advocate — standalone 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Film Artist</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Actor, director, producer, cinematographer, art director, music director, lyricist, story writer, dance director, editor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Notified in Rule 6F</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Information Technology</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IT services, software development, tech consulting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Notified — broad coverage for IT professionals</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3.2  Eligibility Threshold and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Parameter</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Gross Receipts Limit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&lt;= INR 75 lakh (AY 2025-26)</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Assessee Type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Resident Individual ONLY (HUF and firms cannot use s.44ADA)</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Presumptive Rate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50% of gross receipts = presumptive income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Minimum Declared Income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50% of gross receipts (may declare higher voluntarily)</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Chapter VI-A Deductions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Available — 80C, 80D, etc. apply against declared income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Expenses Subsumed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ALL professional expenses — no separate deduction</w:t>
            </w:r>
          </w:p>
        </w:tc>
      </w:tr>
    </w:tbl>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presumptive_income_44ADA = max(gross_receipts * 0.50, voluntary_declaration)</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3.3  No Five-Year Re-entry 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
              <w:left w:val="single" w:color="548235" w:sz="1"/>
              <w:bottom w:val="single" w:color="548235" w:sz="1"/>
              <w:right w:val="single" w:color="548235" w:sz="1"/>
            </w:tcBorders>
            <w:shd w:fill="E2EFDA" w:val="clear"/>
            <w:tcMar>
              <w:top w:type="dxa" w:w="80"/>
              <w:left w:type="dxa" w:w="180"/>
              <w:bottom w:type="dxa" w:w="80"/>
              <w:right w:type="dxa" w:w="180"/>
            </w:tcMar>
          </w:tcPr>
          <w:p>
            <w:pPr>
              <w:spacing w:after="20" w:before="30"/>
            </w:pPr>
            <w:r>
              <w:rPr>
                <w:rFonts w:ascii="Arial" w:cs="Arial" w:eastAsia="Arial" w:hAnsi="Arial"/>
                <w:b/>
                <w:bCs/>
                <w:color w:val="548235"/>
                <w:sz w:val="20"/>
                <w:szCs w:val="20"/>
              </w:rPr>
              <w:t xml:space="preserve">✅  s.44ADA FLEXIBILITY</w:t>
            </w:r>
          </w:p>
          <w:p>
            <w:pPr>
              <w:spacing w:after="20" w:before="0"/>
            </w:pPr>
            <w:r>
              <w:rPr>
                <w:rFonts w:ascii="Arial" w:cs="Arial" w:eastAsia="Arial" w:hAnsi="Arial"/>
                <w:sz w:val="19"/>
                <w:szCs w:val="19"/>
              </w:rPr>
              <w:t xml:space="preserve">Unlike s.44AD, there is NO 5-year re-entry restriction for s.44ADA.</w:t>
            </w:r>
          </w:p>
          <w:p>
            <w:pPr>
              <w:spacing w:after="20" w:before="0"/>
            </w:pPr>
            <w:r>
              <w:rPr>
                <w:rFonts w:ascii="Arial" w:cs="Arial" w:eastAsia="Arial" w:hAnsi="Arial"/>
                <w:sz w:val="19"/>
                <w:szCs w:val="19"/>
              </w:rPr>
              <w:t xml:space="preserve">A professional may opt in or opt out of the presumptive scheme each assessment year independently.</w:t>
            </w:r>
          </w:p>
          <w:p>
            <w:pPr>
              <w:spacing w:after="20" w:before="0"/>
            </w:pPr>
            <w:r>
              <w:rPr>
                <w:rFonts w:ascii="Arial" w:cs="Arial" w:eastAsia="Arial" w:hAnsi="Arial"/>
                <w:sz w:val="19"/>
                <w:szCs w:val="19"/>
              </w:rPr>
              <w:t xml:space="preserve">However: if they opt out and declare income below 50% of gross receipts AND total income exceeds basic exemption limit, books must be maintained and audit is mandatory under s.44AB.</w:t>
            </w:r>
          </w:p>
        </w:tc>
      </w:tr>
    </w:tbl>
    <w:p>
      <w:pPr>
        <w:spacing w:after="30" w:before="30"/>
      </w:pPr>
      <w:r>
        <w:t xml:space="preserve"/>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3.4  Freelancer and Gig Economy Professionals</w:t>
      </w:r>
    </w:p>
    <w:p>
      <w:pPr>
        <w:spacing w:after="50" w:before="50"/>
      </w:pPr>
      <w:r>
        <w:rPr>
          <w:rFonts w:ascii="Arial" w:cs="Arial" w:eastAsia="Arial" w:hAnsi="Arial"/>
          <w:sz w:val="20"/>
          <w:szCs w:val="20"/>
        </w:rPr>
        <w:t xml:space="preserve">Freelancers earning income from Upwork, Toptal, Fiverr, or similar platforms are taxable as professional income under s.44ADA (if within notified profession categories and receipts &lt;= INR 75 lakh). Key engine considerations:</w:t>
      </w:r>
    </w:p>
    <w:p>
      <w:pPr>
        <w:pStyle w:val="ListParagraph"/>
        <w:numPr>
          <w:ilvl w:val="0"/>
          <w:numId w:val="2"/>
        </w:numPr>
        <w:spacing w:after="30" w:before="30"/>
      </w:pPr>
      <w:r>
        <w:rPr>
          <w:rFonts w:ascii="Arial" w:cs="Arial" w:eastAsia="Arial" w:hAnsi="Arial"/>
          <w:sz w:val="20"/>
          <w:szCs w:val="20"/>
        </w:rPr>
        <w:t xml:space="preserve">Foreign platform receipts are in foreign currency — convert at RBI reference rate on date of receipt</w:t>
      </w:r>
    </w:p>
    <w:p>
      <w:pPr>
        <w:pStyle w:val="ListParagraph"/>
        <w:numPr>
          <w:ilvl w:val="0"/>
          <w:numId w:val="2"/>
        </w:numPr>
        <w:spacing w:after="30" w:before="30"/>
      </w:pPr>
      <w:r>
        <w:rPr>
          <w:rFonts w:ascii="Arial" w:cs="Arial" w:eastAsia="Arial" w:hAnsi="Arial"/>
          <w:sz w:val="20"/>
          <w:szCs w:val="20"/>
        </w:rPr>
        <w:t xml:space="preserve">TDS is NOT deducted by foreign platforms — full receipt is taxable gross</w:t>
      </w:r>
    </w:p>
    <w:p>
      <w:pPr>
        <w:pStyle w:val="ListParagraph"/>
        <w:numPr>
          <w:ilvl w:val="0"/>
          <w:numId w:val="2"/>
        </w:numPr>
        <w:spacing w:after="30" w:before="30"/>
      </w:pPr>
      <w:r>
        <w:rPr>
          <w:rFonts w:ascii="Arial" w:cs="Arial" w:eastAsia="Arial" w:hAnsi="Arial"/>
          <w:sz w:val="20"/>
          <w:szCs w:val="20"/>
        </w:rPr>
        <w:t xml:space="preserve">Receipts brought into India via banking channels qualify as "digital receipts" for threshold purposes</w:t>
      </w:r>
    </w:p>
    <w:p>
      <w:pPr>
        <w:pStyle w:val="ListParagraph"/>
        <w:numPr>
          <w:ilvl w:val="0"/>
          <w:numId w:val="2"/>
        </w:numPr>
        <w:spacing w:after="30" w:before="30"/>
      </w:pPr>
      <w:r>
        <w:rPr>
          <w:rFonts w:ascii="Arial" w:cs="Arial" w:eastAsia="Arial" w:hAnsi="Arial"/>
          <w:sz w:val="20"/>
          <w:szCs w:val="20"/>
        </w:rPr>
        <w:t xml:space="preserve">If receipts remain offshore: FEMA compliance required — cross-reference to NRI/FEMA spec</w:t>
      </w:r>
    </w:p>
    <w:p>
      <w:pPr>
        <w:pStyle w:val="ListParagraph"/>
        <w:numPr>
          <w:ilvl w:val="0"/>
          <w:numId w:val="2"/>
        </w:numPr>
        <w:spacing w:after="30" w:before="30"/>
      </w:pPr>
      <w:r>
        <w:rPr>
          <w:rFonts w:ascii="Arial" w:cs="Arial" w:eastAsia="Arial" w:hAnsi="Arial"/>
          <w:sz w:val="20"/>
          <w:szCs w:val="20"/>
        </w:rPr>
        <w:t xml:space="preserve">Form 15CA / 15CB may be required if remitting payments abroad — CA to handle</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4  —  Presumptive Taxation: s.44AE (Goods Transport)</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4.1  Applicability and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Condition</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Requirement</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Eligible Assessee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Any person (including individual, HUF, firm) owning goods carriages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Fleet Size Limit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Maximum 10 goods carriages owned at any time during the year</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Vehicle Type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Goods carriage only — NOT applicable to passenger vehicles, taxis, buses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Residency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 residency restriction (unlike s.44AD)</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4.2  Computation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Heavy Goods Vehicle (GVW &gt; 12 tonnes)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presumptive_income_per_vehicle = INR 1,000 per tonne of GVW per month</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(or part of month during which vehicle is owned)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Other Goods Carriage (GVW &lt;= 12 tonnes)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presumptive_income_per_vehicle = INR 7,500 per vehicle per month</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(or part of month)</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total_44AE_income = sum(per_vehicle_income for each vehicle)</w:t>
      </w:r>
    </w:p>
    <w:p>
      <w:pPr>
        <w:spacing w:after="30" w:before="30"/>
      </w:pPr>
      <w:r>
        <w:t xml:space="preserve"/>
      </w:r>
    </w:p>
    <w:p>
      <w:pPr>
        <w:spacing w:after="50" w:before="50"/>
      </w:pPr>
      <w:r>
        <w:rPr>
          <w:rFonts w:ascii="Arial" w:cs="Arial" w:eastAsia="Arial" w:hAnsi="Arial"/>
          <w:sz w:val="20"/>
          <w:szCs w:val="20"/>
        </w:rPr>
        <w:t xml:space="preserve">Taxpayer may declare higher income voluntarily. No deduction for depreciation, salary, fuel, maintenance — all subsumed.</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9E8F5" w:val="clear"/>
            <w:tcMar>
              <w:top w:type="dxa" w:w="80"/>
              <w:left w:type="dxa" w:w="180"/>
              <w:bottom w:type="dxa" w:w="80"/>
              <w:right w:type="dxa" w:w="180"/>
            </w:tcMar>
          </w:tcPr>
          <w:p>
            <w:pPr>
              <w:spacing w:after="20" w:before="30"/>
            </w:pPr>
            <w:r>
              <w:rPr>
                <w:rFonts w:ascii="Arial" w:cs="Arial" w:eastAsia="Arial" w:hAnsi="Arial"/>
                <w:b/>
                <w:bCs/>
                <w:color w:val="2E75B6"/>
                <w:sz w:val="20"/>
                <w:szCs w:val="20"/>
              </w:rPr>
              <w:t xml:space="preserve">📌  INTERACTION WITH s.44AD</w:t>
            </w:r>
          </w:p>
          <w:p>
            <w:pPr>
              <w:spacing w:after="20" w:before="0"/>
            </w:pPr>
            <w:r>
              <w:rPr>
                <w:rFonts w:ascii="Arial" w:cs="Arial" w:eastAsia="Arial" w:hAnsi="Arial"/>
                <w:sz w:val="19"/>
                <w:szCs w:val="19"/>
              </w:rPr>
              <w:t xml:space="preserve">Transport business is SPECIFICALLY EXCLUDED from s.44AD. A person with goods carriage vehicles must use s.44AE.</w:t>
            </w:r>
          </w:p>
          <w:p>
            <w:pPr>
              <w:spacing w:after="20" w:before="0"/>
            </w:pPr>
            <w:r>
              <w:rPr>
                <w:rFonts w:ascii="Arial" w:cs="Arial" w:eastAsia="Arial" w:hAnsi="Arial"/>
                <w:sz w:val="19"/>
                <w:szCs w:val="19"/>
              </w:rPr>
              <w:t xml:space="preserve">A person with both transport (s.44AE) and other business (s.44AD eligible) can opt for both schemes simultaneously for their respective businesses.</w:t>
            </w:r>
          </w:p>
        </w:tc>
      </w:tr>
    </w:tbl>
    <w:p>
      <w:pPr>
        <w:spacing w:after="30" w:before="30"/>
      </w:pPr>
      <w:r>
        <w:t xml:space="preserve"/>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5  —  Speculative Business Income: Intraday Equity Trading</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5.1  Legal Basis</w:t>
      </w:r>
    </w:p>
    <w:p>
      <w:pPr>
        <w:spacing w:after="50" w:before="50"/>
      </w:pPr>
      <w:r>
        <w:rPr>
          <w:rFonts w:ascii="Arial" w:cs="Arial" w:eastAsia="Arial" w:hAnsi="Arial"/>
          <w:sz w:val="20"/>
          <w:szCs w:val="20"/>
        </w:rPr>
        <w:t xml:space="preserve">Under s.43(5) of the Income Tax Act, a "speculative transaction" means a transaction in which a contract for the purchase or sale of any commodity, including stocks and shares, is periodically or ultimately settled otherwise than by the actual delivery or transfer of the commodity or scrip. Intraday equity trading — where shares are bought and sold on the same day without taking delivery — is the primary example for individual investors.</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Parameter</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Value / Rule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Governing Section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s.43(5) — Definition of speculative transaction</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Income Classification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Speculative Business Income — separate bucket within PGBP</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Tax Rate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Slab rate — no special flat rate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Set-Off Rule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Speculative LOSS can ONLY be set off against Speculative PROFIT in same or subsequent years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Cross-Head Set-Off</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NOT permitted — cannot reduce salary, rental, capital gains, or other income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Carry Forward Period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 years (NOT 8 years — shorter than non-speculative)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Return Filing Condition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Must file return by due date to carry forward speculative loss</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5.2  What is NOT Speculative (Common Misconceptions)</w:t>
      </w:r>
    </w:p>
    <w:p>
      <w:pPr>
        <w:pStyle w:val="ListParagraph"/>
        <w:numPr>
          <w:ilvl w:val="0"/>
          <w:numId w:val="2"/>
        </w:numPr>
        <w:spacing w:after="30" w:before="30"/>
      </w:pPr>
      <w:r>
        <w:rPr>
          <w:rFonts w:ascii="Arial" w:cs="Arial" w:eastAsia="Arial" w:hAnsi="Arial"/>
          <w:sz w:val="20"/>
          <w:szCs w:val="20"/>
        </w:rPr>
        <w:t xml:space="preserve">F&amp;O trading — expressly excluded from speculative by s.43(5) proviso (d) — see Section 6</w:t>
      </w:r>
    </w:p>
    <w:p>
      <w:pPr>
        <w:pStyle w:val="ListParagraph"/>
        <w:numPr>
          <w:ilvl w:val="0"/>
          <w:numId w:val="2"/>
        </w:numPr>
        <w:spacing w:after="30" w:before="30"/>
      </w:pPr>
      <w:r>
        <w:rPr>
          <w:rFonts w:ascii="Arial" w:cs="Arial" w:eastAsia="Arial" w:hAnsi="Arial"/>
          <w:sz w:val="20"/>
          <w:szCs w:val="20"/>
        </w:rPr>
        <w:t xml:space="preserve">Equity delivery-based trading — actual delivery occurs, not speculative, taxable as Capital Gains</w:t>
      </w:r>
    </w:p>
    <w:p>
      <w:pPr>
        <w:pStyle w:val="ListParagraph"/>
        <w:numPr>
          <w:ilvl w:val="0"/>
          <w:numId w:val="2"/>
        </w:numPr>
        <w:spacing w:after="30" w:before="30"/>
      </w:pPr>
      <w:r>
        <w:rPr>
          <w:rFonts w:ascii="Arial" w:cs="Arial" w:eastAsia="Arial" w:hAnsi="Arial"/>
          <w:sz w:val="20"/>
          <w:szCs w:val="20"/>
        </w:rPr>
        <w:t xml:space="preserve">Commodity futures on recognised exchange — expressly excluded, non-speculative business income</w:t>
      </w:r>
    </w:p>
    <w:p>
      <w:pPr>
        <w:pStyle w:val="ListParagraph"/>
        <w:numPr>
          <w:ilvl w:val="0"/>
          <w:numId w:val="2"/>
        </w:numPr>
        <w:spacing w:after="30" w:before="30"/>
      </w:pPr>
      <w:r>
        <w:rPr>
          <w:rFonts w:ascii="Arial" w:cs="Arial" w:eastAsia="Arial" w:hAnsi="Arial"/>
          <w:sz w:val="20"/>
          <w:szCs w:val="20"/>
        </w:rPr>
        <w:t xml:space="preserve">Currency futures on recognised exchange — expressly excluded, non-speculative business income</w:t>
      </w:r>
    </w:p>
    <w:p>
      <w:pPr>
        <w:pStyle w:val="ListParagraph"/>
        <w:numPr>
          <w:ilvl w:val="0"/>
          <w:numId w:val="2"/>
        </w:numPr>
        <w:spacing w:after="30" w:before="30"/>
      </w:pPr>
      <w:r>
        <w:rPr>
          <w:rFonts w:ascii="Arial" w:cs="Arial" w:eastAsia="Arial" w:hAnsi="Arial"/>
          <w:sz w:val="20"/>
          <w:szCs w:val="20"/>
        </w:rPr>
        <w:t xml:space="preserve">Unlisted equity trading — if delivery based, Capital Gains; if intraday, SPECULATIVE</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5.3  Intraday Commodity and Currency — Are They Speculative?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IMPORTANT NUANCE</w:t>
            </w:r>
          </w:p>
          <w:p>
            <w:pPr>
              <w:spacing w:after="20" w:before="0"/>
            </w:pPr>
            <w:r>
              <w:rPr>
                <w:rFonts w:ascii="Arial" w:cs="Arial" w:eastAsia="Arial" w:hAnsi="Arial"/>
                <w:sz w:val="19"/>
                <w:szCs w:val="19"/>
              </w:rPr>
              <w:t xml:space="preserve">Intraday commodity and currency derivatives on RECOGNISED exchanges are NOT speculative (s.43(5) provisos b and d).</w:t>
            </w:r>
          </w:p>
          <w:p>
            <w:pPr>
              <w:spacing w:after="20" w:before="0"/>
            </w:pPr>
            <w:r>
              <w:rPr>
                <w:rFonts w:ascii="Arial" w:cs="Arial" w:eastAsia="Arial" w:hAnsi="Arial"/>
                <w:sz w:val="19"/>
                <w:szCs w:val="19"/>
              </w:rPr>
              <w:t xml:space="preserve">Only INTRADAY EQUITY (shares of companies) on stock exchanges constitutes speculative income for individuals.</w:t>
            </w:r>
          </w:p>
          <w:p>
            <w:pPr>
              <w:spacing w:after="20" w:before="0"/>
            </w:pPr>
            <w:r>
              <w:rPr>
                <w:rFonts w:ascii="Arial" w:cs="Arial" w:eastAsia="Arial" w:hAnsi="Arial"/>
                <w:sz w:val="19"/>
                <w:szCs w:val="19"/>
              </w:rPr>
              <w:t xml:space="preserve">Intraday trading in currency pairs or commodity futures, even if squared off on same day, is NON-SPECULATIVE if on a recognised exchange.</w:t>
            </w:r>
          </w:p>
          <w:p>
            <w:pPr>
              <w:spacing w:after="20" w:before="0"/>
            </w:pPr>
            <w:r>
              <w:rPr>
                <w:rFonts w:ascii="Arial" w:cs="Arial" w:eastAsia="Arial" w:hAnsi="Arial"/>
                <w:sz w:val="19"/>
                <w:szCs w:val="19"/>
              </w:rPr>
              <w:t xml:space="preserve">Engine must distinguish between equity intraday (speculative) and derivative intraday (non-speculative).</w:t>
            </w:r>
          </w:p>
        </w:tc>
      </w:tr>
    </w:tbl>
    <w:p>
      <w:pPr>
        <w:spacing w:after="30" w:before="30"/>
      </w:pPr>
      <w:r>
        <w:t xml:space="preserve"/>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5.4  Speculative Turnover for s.44AB Audit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9E8F5" w:val="clear"/>
            <w:tcMar>
              <w:top w:type="dxa" w:w="80"/>
              <w:left w:type="dxa" w:w="180"/>
              <w:bottom w:type="dxa" w:w="80"/>
              <w:right w:type="dxa" w:w="180"/>
            </w:tcMar>
          </w:tcPr>
          <w:p>
            <w:pPr>
              <w:spacing w:after="20" w:before="30"/>
            </w:pPr>
            <w:r>
              <w:rPr>
                <w:rFonts w:ascii="Arial" w:cs="Arial" w:eastAsia="Arial" w:hAnsi="Arial"/>
                <w:b/>
                <w:bCs/>
                <w:color w:val="2E75B6"/>
                <w:sz w:val="20"/>
                <w:szCs w:val="20"/>
              </w:rPr>
              <w:t xml:space="preserve">📌  SPECULATIVE TURNOVER DEFINITION</w:t>
            </w:r>
          </w:p>
          <w:p>
            <w:pPr>
              <w:spacing w:after="20" w:before="0"/>
            </w:pPr>
            <w:r>
              <w:rPr>
                <w:rFonts w:ascii="Arial" w:cs="Arial" w:eastAsia="Arial" w:hAnsi="Arial"/>
                <w:sz w:val="19"/>
                <w:szCs w:val="19"/>
              </w:rPr>
              <w:t xml:space="preserve">Turnover for speculative business = SUM OF ABSOLUTE VALUE of each individual trade P&amp;L.</w:t>
            </w:r>
          </w:p>
          <w:p>
            <w:pPr>
              <w:spacing w:after="20" w:before="0"/>
            </w:pPr>
            <w:r>
              <w:rPr>
                <w:rFonts w:ascii="Arial" w:cs="Arial" w:eastAsia="Arial" w:hAnsi="Arial"/>
                <w:sz w:val="19"/>
                <w:szCs w:val="19"/>
              </w:rPr>
              <w:t xml:space="preserve">Example: 50 profitable trades netting Rs.4 lakh + 40 losing trades netting Rs.3 lakh = turnover of Rs.7 lakh (not Rs.1 lakh).</w:t>
            </w:r>
          </w:p>
          <w:p>
            <w:pPr>
              <w:spacing w:after="20" w:before="0"/>
            </w:pPr>
            <w:r>
              <w:rPr>
                <w:rFonts w:ascii="Arial" w:cs="Arial" w:eastAsia="Arial" w:hAnsi="Arial"/>
                <w:sz w:val="19"/>
                <w:szCs w:val="19"/>
              </w:rPr>
              <w:t xml:space="preserve">The 10 crore enhanced threshold (digital payments) does NOT apply to speculative trading.</w:t>
            </w:r>
          </w:p>
          <w:p>
            <w:pPr>
              <w:spacing w:after="20" w:before="0"/>
            </w:pPr>
            <w:r>
              <w:rPr>
                <w:rFonts w:ascii="Arial" w:cs="Arial" w:eastAsia="Arial" w:hAnsi="Arial"/>
                <w:sz w:val="19"/>
                <w:szCs w:val="19"/>
              </w:rPr>
              <w:t xml:space="preserve">Applicable threshold for speculative: Rs.1 crore regardless of payment mode.</w:t>
            </w:r>
          </w:p>
        </w:tc>
      </w:tr>
    </w:tbl>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speculative_turnover = sum(abs(individual_trade_pnl) for each intraday trade)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speculative_turnover &gt;= 1_crore: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AUDIT_REQUIRED_SPECULATIVE</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5.5  Speculative Income Computation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speculative_gross_pnl = sum(all_intraday_equity_pnl)  // net of all trades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No expense deduction for speculative income (brokerage may be deducted)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speculative_net_income = speculative_gross_pnl - brokerage_on_intraday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speculative_net_income &gt; 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add to pgbp.speculative_profit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tax at SLAB_RATE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speculative_net_income &lt; 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add to pgbp.speculative_loss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set_off_against: speculative_profit_only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carry_forward_years: 4</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6  —  F&amp;O Trading: Non-Speculative Business Income</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6.1  Legal Basis — s.43(5) Proviso (d)</w:t>
      </w:r>
    </w:p>
    <w:p>
      <w:pPr>
        <w:spacing w:after="50" w:before="50"/>
      </w:pPr>
      <w:r>
        <w:rPr>
          <w:rFonts w:ascii="Arial" w:cs="Arial" w:eastAsia="Arial" w:hAnsi="Arial"/>
          <w:sz w:val="20"/>
          <w:szCs w:val="20"/>
        </w:rPr>
        <w:t xml:space="preserve">s.43(5) proviso (d) expressly provides that an "eligible transaction in respect of trading in derivatives referred to in clause (ac) of section 2 of the Securities Contracts (Regulation) Act, 1956 carried out in a recognised stock exchange" shall NOT be deemed to be a speculative transaction. This covers:</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Instrument</w:t>
            </w:r>
          </w:p>
        </w:tc>
        <w:tc>
          <w:tcPr>
            <w:tcW w:type="dxa" w:w="3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Exchange</w:t>
            </w:r>
          </w:p>
        </w:tc>
        <w:tc>
          <w:tcPr>
            <w:tcW w:type="dxa" w:w="31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Equity Index Futures (Nifty, BankNifty, etc.)</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NSE / BSE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Non-Speculative Business Income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Equity Index Options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NSE / BSE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Non-Speculative Business Income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Single Stock Futures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NSE / BSE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Non-Speculative Business Income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Single Stock Options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NSE / BSE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Non-Speculative Business Income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Currency Futures (USD-INR, EUR-INR, etc.)</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NSE / BSE / MSE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Non-Speculative Business Income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Currency Options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NSE / BSE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Non-Speculative Business Income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Commodity Futures (Gold, Silver, Crude, etc.)</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MCX / NCDEX</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Non-Speculative Business Income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Commodity Options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MCX / NCDEX</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Non-Speculative Business Income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Interest Rate Futures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NSE / BSE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Non-Speculative Business Income</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
              <w:left w:val="single" w:color="548235" w:sz="1"/>
              <w:bottom w:val="single" w:color="548235" w:sz="1"/>
              <w:right w:val="single" w:color="548235" w:sz="1"/>
            </w:tcBorders>
            <w:shd w:fill="E2EFDA" w:val="clear"/>
            <w:tcMar>
              <w:top w:type="dxa" w:w="80"/>
              <w:left w:type="dxa" w:w="180"/>
              <w:bottom w:type="dxa" w:w="80"/>
              <w:right w:type="dxa" w:w="180"/>
            </w:tcMar>
          </w:tcPr>
          <w:p>
            <w:pPr>
              <w:spacing w:after="20" w:before="30"/>
            </w:pPr>
            <w:r>
              <w:rPr>
                <w:rFonts w:ascii="Arial" w:cs="Arial" w:eastAsia="Arial" w:hAnsi="Arial"/>
                <w:b/>
                <w:bCs/>
                <w:color w:val="548235"/>
                <w:sz w:val="20"/>
                <w:szCs w:val="20"/>
              </w:rPr>
              <w:t xml:space="preserve">✅  KEY BENEFIT OF NON-SPECULATIVE STATUS</w:t>
            </w:r>
          </w:p>
          <w:p>
            <w:pPr>
              <w:spacing w:after="20" w:before="0"/>
            </w:pPr>
            <w:r>
              <w:rPr>
                <w:rFonts w:ascii="Arial" w:cs="Arial" w:eastAsia="Arial" w:hAnsi="Arial"/>
                <w:sz w:val="19"/>
                <w:szCs w:val="19"/>
              </w:rPr>
              <w:t xml:space="preserve">F&amp;O loss can be set off against ANY other income EXCEPT salary (rental income, capital gains, other sources — all eligible).</w:t>
            </w:r>
          </w:p>
          <w:p>
            <w:pPr>
              <w:spacing w:after="20" w:before="0"/>
            </w:pPr>
            <w:r>
              <w:rPr>
                <w:rFonts w:ascii="Arial" w:cs="Arial" w:eastAsia="Arial" w:hAnsi="Arial"/>
                <w:sz w:val="19"/>
                <w:szCs w:val="19"/>
              </w:rPr>
              <w:t xml:space="preserve">Carry forward period is 8 years (vs 4 years for speculative).</w:t>
            </w:r>
          </w:p>
          <w:p>
            <w:pPr>
              <w:spacing w:after="20" w:before="0"/>
            </w:pPr>
            <w:r>
              <w:rPr>
                <w:rFonts w:ascii="Arial" w:cs="Arial" w:eastAsia="Arial" w:hAnsi="Arial"/>
                <w:sz w:val="19"/>
                <w:szCs w:val="19"/>
              </w:rPr>
              <w:t xml:space="preserve">The 10 crore audit threshold (digital) IS available for F&amp;O traders.</w:t>
            </w:r>
          </w:p>
          <w:p>
            <w:pPr>
              <w:spacing w:after="20" w:before="0"/>
            </w:pPr>
            <w:r>
              <w:rPr>
                <w:rFonts w:ascii="Arial" w:cs="Arial" w:eastAsia="Arial" w:hAnsi="Arial"/>
                <w:sz w:val="19"/>
                <w:szCs w:val="19"/>
              </w:rPr>
              <w:t xml:space="preserve">These benefits make correct classification of F&amp;O vs speculative critically important.</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6.2  F&amp;O Turnover Calculation — Critical Detail</w:t>
      </w:r>
    </w:p>
    <w:p>
      <w:pPr>
        <w:spacing w:after="50" w:before="50"/>
      </w:pPr>
      <w:r>
        <w:rPr>
          <w:rFonts w:ascii="Arial" w:cs="Arial" w:eastAsia="Arial" w:hAnsi="Arial"/>
          <w:sz w:val="20"/>
          <w:szCs w:val="20"/>
        </w:rPr>
        <w:t xml:space="preserve">This calculation is mandatory for determining s.44AB audit applicability. It is frequently miscalculated.</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Instrument Type</w:t>
            </w:r>
          </w:p>
        </w:tc>
        <w:tc>
          <w:tcPr>
            <w:tcW w:type="dxa" w:w="3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Turnover Definition</w:t>
            </w:r>
          </w:p>
        </w:tc>
        <w:tc>
          <w:tcPr>
            <w:tcW w:type="dxa" w:w="31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Futures (all types)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Absolute value of net settlement P&amp;L per contract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Contract settled at +Rs.50,000 loss = Rs.50,000 turnover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Options — Bought (Long)</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Absolute value of net P&amp;L when position is closed or expires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Option bought for Rs.5,000, sold for Rs.8,000 = Rs.3,000 profit = Rs.3,000 turnover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Options — Sold (Short / Written)</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Absolute value of net P&amp;L PLUS full premium received on writing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Option written for Rs.20,000 premium, closed at Rs.8,000 profit = turnover: Rs.20,000 + Rs.8,000 = Rs.28,000</w:t>
            </w:r>
          </w:p>
        </w:tc>
      </w:tr>
    </w:tbl>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fno_turnover = 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FOR each trade IN fno_trades: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trade.instrument == FUTURE: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fno_turnover += abs(trade.net_settlement_pnl)</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trade.instrument == OPTION AND trade.position == LONG:</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fno_turnover += abs(trade.net_pnl)</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trade.instrument == OPTION AND trade.position == SHORT: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fno_turnover += abs(trade.net_pnl) + trade.premium_received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Audit threshold checks: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digital_receipts_pct &gt;= 0.95 AND fno_turnover &gt;= 10_crore: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AUDIT_REQUIRED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ELIF fno_turnover &gt;= 1_crore: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AUDIT_REQUIRED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ELIF fno_net_pnl &lt; 0 AND total_income &gt; basic_exemption_limit: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AUDIT_REQUIRED  // Loss + income above exemption = mandatory audit</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6.3  F&amp;O Allowable Expense Deductions</w:t>
      </w:r>
    </w:p>
    <w:p>
      <w:pPr>
        <w:pStyle w:val="ListParagraph"/>
        <w:numPr>
          <w:ilvl w:val="0"/>
          <w:numId w:val="2"/>
        </w:numPr>
        <w:spacing w:after="30" w:before="30"/>
      </w:pPr>
      <w:r>
        <w:rPr>
          <w:rFonts w:ascii="Arial" w:cs="Arial" w:eastAsia="Arial" w:hAnsi="Arial"/>
          <w:sz w:val="20"/>
          <w:szCs w:val="20"/>
        </w:rPr>
        <w:t xml:space="preserve">Brokerage fees and commissions paid to broker</w:t>
      </w:r>
    </w:p>
    <w:p>
      <w:pPr>
        <w:pStyle w:val="ListParagraph"/>
        <w:numPr>
          <w:ilvl w:val="0"/>
          <w:numId w:val="2"/>
        </w:numPr>
        <w:spacing w:after="30" w:before="30"/>
      </w:pPr>
      <w:r>
        <w:rPr>
          <w:rFonts w:ascii="Arial" w:cs="Arial" w:eastAsia="Arial" w:hAnsi="Arial"/>
          <w:sz w:val="20"/>
          <w:szCs w:val="20"/>
        </w:rPr>
        <w:t xml:space="preserve">Demat account annual maintenance charges (proportionate if also used for delivery equity)</w:t>
      </w:r>
    </w:p>
    <w:p>
      <w:pPr>
        <w:pStyle w:val="ListParagraph"/>
        <w:numPr>
          <w:ilvl w:val="0"/>
          <w:numId w:val="2"/>
        </w:numPr>
        <w:spacing w:after="30" w:before="30"/>
      </w:pPr>
      <w:r>
        <w:rPr>
          <w:rFonts w:ascii="Arial" w:cs="Arial" w:eastAsia="Arial" w:hAnsi="Arial"/>
          <w:sz w:val="20"/>
          <w:szCs w:val="20"/>
        </w:rPr>
        <w:t xml:space="preserve">Exchange transaction charges, SEBI turnover fees, clearing member charges</w:t>
      </w:r>
    </w:p>
    <w:p>
      <w:pPr>
        <w:pStyle w:val="ListParagraph"/>
        <w:numPr>
          <w:ilvl w:val="0"/>
          <w:numId w:val="2"/>
        </w:numPr>
        <w:spacing w:after="30" w:before="30"/>
      </w:pPr>
      <w:r>
        <w:rPr>
          <w:rFonts w:ascii="Arial" w:cs="Arial" w:eastAsia="Arial" w:hAnsi="Arial"/>
          <w:sz w:val="20"/>
          <w:szCs w:val="20"/>
        </w:rPr>
        <w:t xml:space="preserve">Internet charges (proportionate to trading vs personal use)</w:t>
      </w:r>
    </w:p>
    <w:p>
      <w:pPr>
        <w:pStyle w:val="ListParagraph"/>
        <w:numPr>
          <w:ilvl w:val="0"/>
          <w:numId w:val="2"/>
        </w:numPr>
        <w:spacing w:after="30" w:before="30"/>
      </w:pPr>
      <w:r>
        <w:rPr>
          <w:rFonts w:ascii="Arial" w:cs="Arial" w:eastAsia="Arial" w:hAnsi="Arial"/>
          <w:sz w:val="20"/>
          <w:szCs w:val="20"/>
        </w:rPr>
        <w:t xml:space="preserve">Market data terminal subscriptions (TradingView Pro, Bloomberg Terminal, Refinitiv, NSE data feeds)</w:t>
      </w:r>
    </w:p>
    <w:p>
      <w:pPr>
        <w:pStyle w:val="ListParagraph"/>
        <w:numPr>
          <w:ilvl w:val="0"/>
          <w:numId w:val="2"/>
        </w:numPr>
        <w:spacing w:after="30" w:before="30"/>
      </w:pPr>
      <w:r>
        <w:rPr>
          <w:rFonts w:ascii="Arial" w:cs="Arial" w:eastAsia="Arial" w:hAnsi="Arial"/>
          <w:sz w:val="20"/>
          <w:szCs w:val="20"/>
        </w:rPr>
        <w:t xml:space="preserve">Advisory and research service fees (SEBI registered advisors)</w:t>
      </w:r>
    </w:p>
    <w:p>
      <w:pPr>
        <w:pStyle w:val="ListParagraph"/>
        <w:numPr>
          <w:ilvl w:val="0"/>
          <w:numId w:val="2"/>
        </w:numPr>
        <w:spacing w:after="30" w:before="30"/>
      </w:pPr>
      <w:r>
        <w:rPr>
          <w:rFonts w:ascii="Arial" w:cs="Arial" w:eastAsia="Arial" w:hAnsi="Arial"/>
          <w:sz w:val="20"/>
          <w:szCs w:val="20"/>
        </w:rPr>
        <w:t xml:space="preserve">Home office expenses — proportionate rent / electricity for room used exclusively for trading</w:t>
      </w:r>
    </w:p>
    <w:p>
      <w:pPr>
        <w:pStyle w:val="ListParagraph"/>
        <w:numPr>
          <w:ilvl w:val="0"/>
          <w:numId w:val="2"/>
        </w:numPr>
        <w:spacing w:after="30" w:before="30"/>
      </w:pPr>
      <w:r>
        <w:rPr>
          <w:rFonts w:ascii="Arial" w:cs="Arial" w:eastAsia="Arial" w:hAnsi="Arial"/>
          <w:sz w:val="20"/>
          <w:szCs w:val="20"/>
        </w:rPr>
        <w:t xml:space="preserve">Depreciation on trading computers, monitors, UPS, and ancillary equipment (see Section 8)</w:t>
      </w:r>
    </w:p>
    <w:p>
      <w:pPr>
        <w:pStyle w:val="ListParagraph"/>
        <w:numPr>
          <w:ilvl w:val="0"/>
          <w:numId w:val="2"/>
        </w:numPr>
        <w:spacing w:after="30" w:before="30"/>
      </w:pPr>
      <w:r>
        <w:rPr>
          <w:rFonts w:ascii="Arial" w:cs="Arial" w:eastAsia="Arial" w:hAnsi="Arial"/>
          <w:sz w:val="20"/>
          <w:szCs w:val="20"/>
        </w:rPr>
        <w:t xml:space="preserve">Interest on margin funding / margin pledge facility</w:t>
      </w:r>
    </w:p>
    <w:p>
      <w:pPr>
        <w:pStyle w:val="ListParagraph"/>
        <w:numPr>
          <w:ilvl w:val="0"/>
          <w:numId w:val="2"/>
        </w:numPr>
        <w:spacing w:after="30" w:before="30"/>
      </w:pPr>
      <w:r>
        <w:rPr>
          <w:rFonts w:ascii="Arial" w:cs="Arial" w:eastAsia="Arial" w:hAnsi="Arial"/>
          <w:sz w:val="20"/>
          <w:szCs w:val="20"/>
        </w:rPr>
        <w:t xml:space="preserve">CA and professional fees for F&amp;O tax filing, advisory</w:t>
      </w:r>
    </w:p>
    <w:p>
      <w:pPr>
        <w:pStyle w:val="ListParagraph"/>
        <w:numPr>
          <w:ilvl w:val="0"/>
          <w:numId w:val="2"/>
        </w:numPr>
        <w:spacing w:after="30" w:before="30"/>
      </w:pPr>
      <w:r>
        <w:rPr>
          <w:rFonts w:ascii="Arial" w:cs="Arial" w:eastAsia="Arial" w:hAnsi="Arial"/>
          <w:sz w:val="20"/>
          <w:szCs w:val="20"/>
        </w:rPr>
        <w:t xml:space="preserve">Books, periodicals, and other research material</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DECEA" w:val="clear"/>
            <w:tcMar>
              <w:top w:type="dxa" w:w="80"/>
              <w:left w:type="dxa" w:w="180"/>
              <w:bottom w:type="dxa" w:w="80"/>
              <w:right w:type="dxa" w:w="180"/>
            </w:tcMar>
          </w:tcPr>
          <w:p>
            <w:pPr>
              <w:spacing w:after="20" w:before="30"/>
            </w:pPr>
            <w:r>
              <w:rPr>
                <w:rFonts w:ascii="Arial" w:cs="Arial" w:eastAsia="Arial" w:hAnsi="Arial"/>
                <w:b/>
                <w:bCs/>
                <w:color w:val="C00000"/>
                <w:sz w:val="20"/>
                <w:szCs w:val="20"/>
              </w:rPr>
              <w:t xml:space="preserve">🚫  STT IS NOT DEDUCTIBLE</w:t>
            </w:r>
          </w:p>
          <w:p>
            <w:pPr>
              <w:spacing w:after="20" w:before="0"/>
            </w:pPr>
            <w:r>
              <w:rPr>
                <w:rFonts w:ascii="Arial" w:cs="Arial" w:eastAsia="Arial" w:hAnsi="Arial"/>
                <w:sz w:val="19"/>
                <w:szCs w:val="19"/>
              </w:rPr>
              <w:t xml:space="preserve">Securities Transaction Tax (STT) paid on F&amp;O trades is NOT deductible as a business expense.</w:t>
            </w:r>
          </w:p>
          <w:p>
            <w:pPr>
              <w:spacing w:after="20" w:before="0"/>
            </w:pPr>
            <w:r>
              <w:rPr>
                <w:rFonts w:ascii="Arial" w:cs="Arial" w:eastAsia="Arial" w:hAnsi="Arial"/>
                <w:sz w:val="19"/>
                <w:szCs w:val="19"/>
              </w:rPr>
              <w:t xml:space="preserve">This applies to both options (STT on premium) and futures (STT on turnover).</w:t>
            </w:r>
          </w:p>
          <w:p>
            <w:pPr>
              <w:spacing w:after="20" w:before="0"/>
            </w:pPr>
            <w:r>
              <w:rPr>
                <w:rFonts w:ascii="Arial" w:cs="Arial" w:eastAsia="Arial" w:hAnsi="Arial"/>
                <w:sz w:val="19"/>
                <w:szCs w:val="19"/>
              </w:rPr>
              <w:t xml:space="preserve">STT also does NOT qualify for any rebate under s.88E (that provision was deleted long ago).</w:t>
            </w:r>
          </w:p>
          <w:p>
            <w:pPr>
              <w:spacing w:after="20" w:before="0"/>
            </w:pPr>
            <w:r>
              <w:rPr>
                <w:rFonts w:ascii="Arial" w:cs="Arial" w:eastAsia="Arial" w:hAnsi="Arial"/>
                <w:sz w:val="19"/>
                <w:szCs w:val="19"/>
              </w:rPr>
              <w:t xml:space="preserve">Engine must EXCLUDE STT from the allowable expense list.</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DECEA" w:val="clear"/>
            <w:tcMar>
              <w:top w:type="dxa" w:w="80"/>
              <w:left w:type="dxa" w:w="180"/>
              <w:bottom w:type="dxa" w:w="80"/>
              <w:right w:type="dxa" w:w="180"/>
            </w:tcMar>
          </w:tcPr>
          <w:p>
            <w:pPr>
              <w:spacing w:after="20" w:before="30"/>
            </w:pPr>
            <w:r>
              <w:rPr>
                <w:rFonts w:ascii="Arial" w:cs="Arial" w:eastAsia="Arial" w:hAnsi="Arial"/>
                <w:b/>
                <w:bCs/>
                <w:color w:val="C00000"/>
                <w:sz w:val="20"/>
                <w:szCs w:val="20"/>
              </w:rPr>
              <w:t xml:space="preserve">🚫  COMMODITIES TRANSACTION TAX (CTT) — NOT DEDUCTIBLE</w:t>
            </w:r>
          </w:p>
          <w:p>
            <w:pPr>
              <w:spacing w:after="20" w:before="0"/>
            </w:pPr>
            <w:r>
              <w:rPr>
                <w:rFonts w:ascii="Arial" w:cs="Arial" w:eastAsia="Arial" w:hAnsi="Arial"/>
                <w:sz w:val="19"/>
                <w:szCs w:val="19"/>
              </w:rPr>
              <w:t xml:space="preserve">Similarly, Commodities Transaction Tax (CTT) paid on commodity derivative trades is NOT deductible.</w:t>
            </w:r>
          </w:p>
          <w:p>
            <w:pPr>
              <w:spacing w:after="20" w:before="0"/>
            </w:pPr>
            <w:r>
              <w:rPr>
                <w:rFonts w:ascii="Arial" w:cs="Arial" w:eastAsia="Arial" w:hAnsi="Arial"/>
                <w:sz w:val="19"/>
                <w:szCs w:val="19"/>
              </w:rPr>
              <w:t xml:space="preserve">Engine must exclude CTT from allowable expenses for commodity F&amp;O traders.</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6.4  F&amp;O Net Income Computation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fno_gross_pnl    = sum(all_fno_settled_pnl)  // Net of all profitable and losing trades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fno_expenses     = brokerage + demat_charges + exchange_charges + advisory_fees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data_subscriptions + internet_proportion + home_office_proportion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depreciation_trading_assets + margin_interest + ca_fees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fno_net_income   = fno_gross_pnl - fno_expenses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fno_net_income &gt; 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add to pgbp.non_speculative_profit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tax at SLAB_RATE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fno_net_income &lt; 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fno_loss = abs(fno_net_income)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set_off: against non_speculative PGBP income first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then any_income_except_salary (inter-head)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carry_forward: unabsorbed portion for 8 years</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7  —  Specific Deductions: s.30 to s.36</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7.1  s.30 — Rent, Rates, Taxes, Repairs and Insurance for Buildings</w:t>
      </w:r>
    </w:p>
    <w:p>
      <w:pPr>
        <w:pStyle w:val="ListParagraph"/>
        <w:numPr>
          <w:ilvl w:val="0"/>
          <w:numId w:val="2"/>
        </w:numPr>
        <w:spacing w:after="30" w:before="30"/>
      </w:pPr>
      <w:r>
        <w:rPr>
          <w:rFonts w:ascii="Arial" w:cs="Arial" w:eastAsia="Arial" w:hAnsi="Arial"/>
          <w:sz w:val="20"/>
          <w:szCs w:val="20"/>
        </w:rPr>
        <w:t xml:space="preserve">Rent paid for premises used for business: fully deductible</w:t>
      </w:r>
    </w:p>
    <w:p>
      <w:pPr>
        <w:pStyle w:val="ListParagraph"/>
        <w:numPr>
          <w:ilvl w:val="0"/>
          <w:numId w:val="2"/>
        </w:numPr>
        <w:spacing w:after="30" w:before="30"/>
      </w:pPr>
      <w:r>
        <w:rPr>
          <w:rFonts w:ascii="Arial" w:cs="Arial" w:eastAsia="Arial" w:hAnsi="Arial"/>
          <w:sz w:val="20"/>
          <w:szCs w:val="20"/>
        </w:rPr>
        <w:t xml:space="preserve">Current repairs to business premises: fully deductible</w:t>
      </w:r>
    </w:p>
    <w:p>
      <w:pPr>
        <w:pStyle w:val="ListParagraph"/>
        <w:numPr>
          <w:ilvl w:val="0"/>
          <w:numId w:val="2"/>
        </w:numPr>
        <w:spacing w:after="30" w:before="30"/>
      </w:pPr>
      <w:r>
        <w:rPr>
          <w:rFonts w:ascii="Arial" w:cs="Arial" w:eastAsia="Arial" w:hAnsi="Arial"/>
          <w:sz w:val="20"/>
          <w:szCs w:val="20"/>
        </w:rPr>
        <w:t xml:space="preserve">Land revenue, local rates, municipal taxes paid for business premises: deductible</w:t>
      </w:r>
    </w:p>
    <w:p>
      <w:pPr>
        <w:pStyle w:val="ListParagraph"/>
        <w:numPr>
          <w:ilvl w:val="0"/>
          <w:numId w:val="2"/>
        </w:numPr>
        <w:spacing w:after="30" w:before="30"/>
      </w:pPr>
      <w:r>
        <w:rPr>
          <w:rFonts w:ascii="Arial" w:cs="Arial" w:eastAsia="Arial" w:hAnsi="Arial"/>
          <w:sz w:val="20"/>
          <w:szCs w:val="20"/>
        </w:rPr>
        <w:t xml:space="preserve">Insurance premium for business premises: deductible</w:t>
      </w:r>
    </w:p>
    <w:p>
      <w:pPr>
        <w:pStyle w:val="ListParagraph"/>
        <w:numPr>
          <w:ilvl w:val="0"/>
          <w:numId w:val="2"/>
        </w:numPr>
        <w:spacing w:after="30" w:before="30"/>
      </w:pPr>
      <w:r>
        <w:rPr>
          <w:rFonts w:ascii="Arial" w:cs="Arial" w:eastAsia="Arial" w:hAnsi="Arial"/>
          <w:sz w:val="20"/>
          <w:szCs w:val="20"/>
        </w:rPr>
        <w:t xml:space="preserve">Capital expenditure on premises (building construction, major renovation): NOT deductible here — depreciation under s.32 applies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7.2  s.31 — Repairs and Insurance for Plant, Machinery and Furniture</w:t>
      </w:r>
    </w:p>
    <w:p>
      <w:pPr>
        <w:pStyle w:val="ListParagraph"/>
        <w:numPr>
          <w:ilvl w:val="0"/>
          <w:numId w:val="2"/>
        </w:numPr>
        <w:spacing w:after="30" w:before="30"/>
      </w:pPr>
      <w:r>
        <w:rPr>
          <w:rFonts w:ascii="Arial" w:cs="Arial" w:eastAsia="Arial" w:hAnsi="Arial"/>
          <w:sz w:val="20"/>
          <w:szCs w:val="20"/>
        </w:rPr>
        <w:t xml:space="preserve">Current repairs to plant, machinery, and furniture used for business: fully deductible</w:t>
      </w:r>
    </w:p>
    <w:p>
      <w:pPr>
        <w:pStyle w:val="ListParagraph"/>
        <w:numPr>
          <w:ilvl w:val="0"/>
          <w:numId w:val="2"/>
        </w:numPr>
        <w:spacing w:after="30" w:before="30"/>
      </w:pPr>
      <w:r>
        <w:rPr>
          <w:rFonts w:ascii="Arial" w:cs="Arial" w:eastAsia="Arial" w:hAnsi="Arial"/>
          <w:sz w:val="20"/>
          <w:szCs w:val="20"/>
        </w:rPr>
        <w:t xml:space="preserve">Insurance premium for plant, machinery, furniture: deductible</w:t>
      </w:r>
    </w:p>
    <w:p>
      <w:pPr>
        <w:pStyle w:val="ListParagraph"/>
        <w:numPr>
          <w:ilvl w:val="0"/>
          <w:numId w:val="2"/>
        </w:numPr>
        <w:spacing w:after="30" w:before="30"/>
      </w:pPr>
      <w:r>
        <w:rPr>
          <w:rFonts w:ascii="Arial" w:cs="Arial" w:eastAsia="Arial" w:hAnsi="Arial"/>
          <w:sz w:val="20"/>
          <w:szCs w:val="20"/>
        </w:rPr>
        <w:t xml:space="preserve">Capital expenditure (additions, replacements): NOT deductible — add to asset block for depreciation</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7.3  s.32 — Depreciation (Comprehensive treatment in Section 8)</w:t>
      </w:r>
    </w:p>
    <w:p>
      <w:pPr>
        <w:spacing w:after="50" w:before="50"/>
      </w:pPr>
      <w:r>
        <w:rPr>
          <w:rFonts w:ascii="Arial" w:cs="Arial" w:eastAsia="Arial" w:hAnsi="Arial"/>
          <w:sz w:val="20"/>
          <w:szCs w:val="20"/>
        </w:rPr>
        <w:t xml:space="preserve">Depreciation on tangible and intangible assets used for business is deductible under s.32. See Section 8 for complete depreciation computation rules.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7.4  s.33AB — Tea/Coffee/Rubber Development Account</w:t>
      </w:r>
    </w:p>
    <w:p>
      <w:pPr>
        <w:spacing w:after="50" w:before="50"/>
      </w:pPr>
      <w:r>
        <w:rPr>
          <w:rFonts w:ascii="Arial" w:cs="Arial" w:eastAsia="Arial" w:hAnsi="Arial"/>
          <w:sz w:val="20"/>
          <w:szCs w:val="20"/>
        </w:rPr>
        <w:t xml:space="preserve">A deduction equal to the amount deposited in the Tea/Coffee/Rubber Development Account maintained with NABARD or the National Bank for Agriculture and Rural Development, subject to 40% of profits (before this deduction). Applicable only to specific agricultural commodity businesses — rarely applicable to typical individual business taxpayers. Engine: flag as RARE_DEDUCTION, CA input required.</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7.5  s.35 — Scientific Research Expenditure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FINANCE ACT 2023 AMENDMENT</w:t>
            </w:r>
          </w:p>
          <w:p>
            <w:pPr>
              <w:spacing w:after="20" w:before="0"/>
            </w:pPr>
            <w:r>
              <w:rPr>
                <w:rFonts w:ascii="Arial" w:cs="Arial" w:eastAsia="Arial" w:hAnsi="Arial"/>
                <w:sz w:val="19"/>
                <w:szCs w:val="19"/>
              </w:rPr>
              <w:t xml:space="preserve">With effect from AY 2024-25, the weighted deduction of 150% / 200% on scientific research donations has been REMOVED.</w:t>
            </w:r>
          </w:p>
          <w:p>
            <w:pPr>
              <w:spacing w:after="20" w:before="0"/>
            </w:pPr>
            <w:r>
              <w:rPr>
                <w:rFonts w:ascii="Arial" w:cs="Arial" w:eastAsia="Arial" w:hAnsi="Arial"/>
                <w:sz w:val="19"/>
                <w:szCs w:val="19"/>
              </w:rPr>
              <w:t xml:space="preserve">The deduction is now 100% of the amount donated to approved scientific research associations (no weighted benefit).</w:t>
            </w:r>
          </w:p>
          <w:p>
            <w:pPr>
              <w:spacing w:after="20" w:before="0"/>
            </w:pPr>
            <w:r>
              <w:rPr>
                <w:rFonts w:ascii="Arial" w:cs="Arial" w:eastAsia="Arial" w:hAnsi="Arial"/>
                <w:sz w:val="19"/>
                <w:szCs w:val="19"/>
              </w:rPr>
              <w:t xml:space="preserve">Own in-house research expenditure (revenue): 100% deductible under s.35(1)(i).</w:t>
            </w:r>
          </w:p>
          <w:p>
            <w:pPr>
              <w:spacing w:after="20" w:before="0"/>
            </w:pPr>
            <w:r>
              <w:rPr>
                <w:rFonts w:ascii="Arial" w:cs="Arial" w:eastAsia="Arial" w:hAnsi="Arial"/>
                <w:sz w:val="19"/>
                <w:szCs w:val="19"/>
              </w:rPr>
              <w:t xml:space="preserve">Capital expenditure on own research (other than land): 100% deductible in the year incurred — s.35(2).</w:t>
            </w:r>
          </w:p>
          <w:p>
            <w:pPr>
              <w:spacing w:after="20" w:before="0"/>
            </w:pPr>
            <w:r>
              <w:rPr>
                <w:rFonts w:ascii="Arial" w:cs="Arial" w:eastAsia="Arial" w:hAnsi="Arial"/>
                <w:sz w:val="19"/>
                <w:szCs w:val="19"/>
              </w:rPr>
              <w:t xml:space="preserve">Contribution to National Laboratory, IIT, university (approved): 100% deduction — s.35(2AA).</w:t>
            </w:r>
          </w:p>
        </w:tc>
      </w:tr>
    </w:tbl>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s.35 Deductions (post Finance Act 2023):</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own_revenue_research_exp:     100% deductible — s.35(1)(i)</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own_capital_research_exp:     100% deductible — s.35(2)</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donation_to_approved_body:    100% deductible — s.35(1)(ii) / s.35(2AA)</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No weighted deduction available from AY 2024-25 onwards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7.6  s.35D — Amortisation of Preliminary Expenses</w:t>
      </w:r>
    </w:p>
    <w:p>
      <w:pPr>
        <w:spacing w:after="50" w:before="50"/>
      </w:pPr>
      <w:r>
        <w:rPr>
          <w:rFonts w:ascii="Arial" w:cs="Arial" w:eastAsia="Arial" w:hAnsi="Arial"/>
          <w:sz w:val="20"/>
          <w:szCs w:val="20"/>
        </w:rPr>
        <w:t xml:space="preserve">Preliminary expenses incurred before commencement of business OR in connection with extension of business / setting up a new unit may be amortised over 5 successive years:</w:t>
      </w:r>
    </w:p>
    <w:p>
      <w:pPr>
        <w:pStyle w:val="ListParagraph"/>
        <w:numPr>
          <w:ilvl w:val="0"/>
          <w:numId w:val="2"/>
        </w:numPr>
        <w:spacing w:after="30" w:before="30"/>
      </w:pPr>
      <w:r>
        <w:rPr>
          <w:rFonts w:ascii="Arial" w:cs="Arial" w:eastAsia="Arial" w:hAnsi="Arial"/>
          <w:sz w:val="20"/>
          <w:szCs w:val="20"/>
        </w:rPr>
        <w:t xml:space="preserve">Legal charges for drafting agreements, memoranda, articles of association</w:t>
      </w:r>
    </w:p>
    <w:p>
      <w:pPr>
        <w:pStyle w:val="ListParagraph"/>
        <w:numPr>
          <w:ilvl w:val="0"/>
          <w:numId w:val="2"/>
        </w:numPr>
        <w:spacing w:after="30" w:before="30"/>
      </w:pPr>
      <w:r>
        <w:rPr>
          <w:rFonts w:ascii="Arial" w:cs="Arial" w:eastAsia="Arial" w:hAnsi="Arial"/>
          <w:sz w:val="20"/>
          <w:szCs w:val="20"/>
        </w:rPr>
        <w:t xml:space="preserve">Printing charges for the above</w:t>
      </w:r>
    </w:p>
    <w:p>
      <w:pPr>
        <w:pStyle w:val="ListParagraph"/>
        <w:numPr>
          <w:ilvl w:val="0"/>
          <w:numId w:val="2"/>
        </w:numPr>
        <w:spacing w:after="30" w:before="30"/>
      </w:pPr>
      <w:r>
        <w:rPr>
          <w:rFonts w:ascii="Arial" w:cs="Arial" w:eastAsia="Arial" w:hAnsi="Arial"/>
          <w:sz w:val="20"/>
          <w:szCs w:val="20"/>
        </w:rPr>
        <w:t xml:space="preserve">Charges paid for registration of company</w:t>
      </w:r>
    </w:p>
    <w:p>
      <w:pPr>
        <w:pStyle w:val="ListParagraph"/>
        <w:numPr>
          <w:ilvl w:val="0"/>
          <w:numId w:val="2"/>
        </w:numPr>
        <w:spacing w:after="30" w:before="30"/>
      </w:pPr>
      <w:r>
        <w:rPr>
          <w:rFonts w:ascii="Arial" w:cs="Arial" w:eastAsia="Arial" w:hAnsi="Arial"/>
          <w:sz w:val="20"/>
          <w:szCs w:val="20"/>
        </w:rPr>
        <w:t xml:space="preserve">Expenses in connection with public issue of shares, debentures (prospectus, underwriting, brokerage)</w:t>
      </w:r>
    </w:p>
    <w:p>
      <w:pPr>
        <w:pStyle w:val="ListParagraph"/>
        <w:numPr>
          <w:ilvl w:val="0"/>
          <w:numId w:val="2"/>
        </w:numPr>
        <w:spacing w:after="30" w:before="30"/>
      </w:pPr>
      <w:r>
        <w:rPr>
          <w:rFonts w:ascii="Arial" w:cs="Arial" w:eastAsia="Arial" w:hAnsi="Arial"/>
          <w:sz w:val="20"/>
          <w:szCs w:val="20"/>
        </w:rPr>
        <w:t xml:space="preserve">Cost of market research survey conducted before commencement</w:t>
      </w:r>
    </w:p>
    <w:p>
      <w:pPr>
        <w:pStyle w:val="ListParagraph"/>
        <w:numPr>
          <w:ilvl w:val="0"/>
          <w:numId w:val="2"/>
        </w:numPr>
        <w:spacing w:after="30" w:before="30"/>
      </w:pPr>
      <w:r>
        <w:rPr>
          <w:rFonts w:ascii="Arial" w:cs="Arial" w:eastAsia="Arial" w:hAnsi="Arial"/>
          <w:sz w:val="20"/>
          <w:szCs w:val="20"/>
        </w:rPr>
        <w:t xml:space="preserve">Engineering, feasibility, project report fees before commencement</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annual_35D_deduction = total_preliminary_expenses / 5</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Maximum claimable: 5% of cost of project OR 5% of capital employed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whichever is higher</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Eligible over AY 1 through AY 5 after commencement</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7.7  s.35DDA — Amortisation of VRS Payments</w:t>
      </w:r>
    </w:p>
    <w:p>
      <w:pPr>
        <w:spacing w:after="50" w:before="50"/>
      </w:pPr>
      <w:r>
        <w:rPr>
          <w:rFonts w:ascii="Arial" w:cs="Arial" w:eastAsia="Arial" w:hAnsi="Arial"/>
          <w:sz w:val="20"/>
          <w:szCs w:val="20"/>
        </w:rPr>
        <w:t xml:space="preserve">Where an employer incurs expenditure by way of payment to employees in connection with a voluntary retirement scheme (VRS), 1/5th of the expenditure is deductible in the year of payment and each of the 4 immediately succeeding years. Full deduction in year of payment not available.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annual_35DDA_deduction = total_vrs_payment / 5</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7.8  s.36 — Other Specific Deductions</w:t>
      </w:r>
    </w:p>
    <w:p>
      <w:pPr>
        <w:pStyle w:val="Heading3"/>
        <w:spacing w:after="60" w:before="200"/>
      </w:pPr>
      <w:r>
        <w:rPr>
          <w:rFonts w:ascii="Arial" w:cs="Arial" w:eastAsia="Arial" w:hAnsi="Arial"/>
          <w:b/>
          <w:bCs/>
          <w:color w:val="2E75B6"/>
          <w:sz w:val="22"/>
          <w:szCs w:val="22"/>
        </w:rPr>
        <w:t xml:space="preserve">7.8.1  s.36(1)(i) — Insurance Premium</w:t>
      </w:r>
    </w:p>
    <w:p>
      <w:pPr>
        <w:spacing w:after="50" w:before="50"/>
      </w:pPr>
      <w:r>
        <w:rPr>
          <w:rFonts w:ascii="Arial" w:cs="Arial" w:eastAsia="Arial" w:hAnsi="Arial"/>
          <w:sz w:val="20"/>
          <w:szCs w:val="20"/>
        </w:rPr>
        <w:t xml:space="preserve">Insurance premium paid by employer for life of cattle, livestock, or plant and machinery used in the business is deductible.</w:t>
      </w:r>
    </w:p>
    <w:p>
      <w:pPr>
        <w:spacing w:after="30" w:before="30"/>
      </w:pPr>
      <w:r>
        <w:t xml:space="preserve"/>
      </w:r>
    </w:p>
    <w:p>
      <w:pPr>
        <w:pStyle w:val="Heading3"/>
        <w:spacing w:after="60" w:before="200"/>
      </w:pPr>
      <w:r>
        <w:rPr>
          <w:rFonts w:ascii="Arial" w:cs="Arial" w:eastAsia="Arial" w:hAnsi="Arial"/>
          <w:b/>
          <w:bCs/>
          <w:color w:val="2E75B6"/>
          <w:sz w:val="22"/>
          <w:szCs w:val="22"/>
        </w:rPr>
        <w:t xml:space="preserve">7.8.2  s.36(1)(ii) — Bonus and Commission</w:t>
      </w:r>
    </w:p>
    <w:p>
      <w:pPr>
        <w:spacing w:after="50" w:before="50"/>
      </w:pPr>
      <w:r>
        <w:rPr>
          <w:rFonts w:ascii="Arial" w:cs="Arial" w:eastAsia="Arial" w:hAnsi="Arial"/>
          <w:sz w:val="20"/>
          <w:szCs w:val="20"/>
        </w:rPr>
        <w:t xml:space="preserve">Any sum paid to an employee as bonus or commission for services rendered, provided it is not paid in lieu of a share in the profits. This deduction is subject to the s.43B actual payment rule — only deductible when actually paid before due date of return filing.</w:t>
      </w:r>
    </w:p>
    <w:p>
      <w:pPr>
        <w:spacing w:after="30" w:before="30"/>
      </w:pPr>
      <w:r>
        <w:t xml:space="preserve"/>
      </w:r>
    </w:p>
    <w:p>
      <w:pPr>
        <w:pStyle w:val="Heading3"/>
        <w:spacing w:after="60" w:before="200"/>
      </w:pPr>
      <w:r>
        <w:rPr>
          <w:rFonts w:ascii="Arial" w:cs="Arial" w:eastAsia="Arial" w:hAnsi="Arial"/>
          <w:b/>
          <w:bCs/>
          <w:color w:val="2E75B6"/>
          <w:sz w:val="22"/>
          <w:szCs w:val="22"/>
        </w:rPr>
        <w:t xml:space="preserve">7.8.3  s.36(1)(iii) — Interest on Borrowed Capital</w:t>
      </w:r>
    </w:p>
    <w:p>
      <w:pPr>
        <w:spacing w:after="50" w:before="50"/>
      </w:pPr>
      <w:r>
        <w:rPr>
          <w:rFonts w:ascii="Arial" w:cs="Arial" w:eastAsia="Arial" w:hAnsi="Arial"/>
          <w:sz w:val="20"/>
          <w:szCs w:val="20"/>
        </w:rPr>
        <w:t xml:space="preserve">Interest on capital borrowed for the purpose of business or profession is deductible, subject to:</w:t>
      </w:r>
    </w:p>
    <w:p>
      <w:pPr>
        <w:pStyle w:val="ListParagraph"/>
        <w:numPr>
          <w:ilvl w:val="0"/>
          <w:numId w:val="2"/>
        </w:numPr>
        <w:spacing w:after="30" w:before="30"/>
      </w:pPr>
      <w:r>
        <w:rPr>
          <w:rFonts w:ascii="Arial" w:cs="Arial" w:eastAsia="Arial" w:hAnsi="Arial"/>
          <w:sz w:val="20"/>
          <w:szCs w:val="20"/>
        </w:rPr>
        <w:t xml:space="preserve">The capital must have been actually used for business purpose</w:t>
      </w:r>
    </w:p>
    <w:p>
      <w:pPr>
        <w:pStyle w:val="ListParagraph"/>
        <w:numPr>
          <w:ilvl w:val="0"/>
          <w:numId w:val="2"/>
        </w:numPr>
        <w:spacing w:after="30" w:before="30"/>
      </w:pPr>
      <w:r>
        <w:rPr>
          <w:rFonts w:ascii="Arial" w:cs="Arial" w:eastAsia="Arial" w:hAnsi="Arial"/>
          <w:sz w:val="20"/>
          <w:szCs w:val="20"/>
        </w:rPr>
        <w:t xml:space="preserve">If borrowed to acquire a capital asset, interest for the period before the asset is put to use is capitalised (added to asset cost), not deducted currently</w:t>
      </w:r>
    </w:p>
    <w:p>
      <w:pPr>
        <w:pStyle w:val="ListParagraph"/>
        <w:numPr>
          <w:ilvl w:val="0"/>
          <w:numId w:val="2"/>
        </w:numPr>
        <w:spacing w:after="30" w:before="30"/>
      </w:pPr>
      <w:r>
        <w:rPr>
          <w:rFonts w:ascii="Arial" w:cs="Arial" w:eastAsia="Arial" w:hAnsi="Arial"/>
          <w:sz w:val="20"/>
          <w:szCs w:val="20"/>
        </w:rPr>
        <w:t xml:space="preserve">Interest on loan for purchase of shares: deductible only if shares are held as stock-in-trade (dealer / trader), NOT if held as investments</w:t>
      </w:r>
    </w:p>
    <w:p>
      <w:pPr>
        <w:spacing w:after="30" w:before="30"/>
      </w:pPr>
      <w:r>
        <w:t xml:space="preserve"/>
      </w:r>
    </w:p>
    <w:p>
      <w:pPr>
        <w:pStyle w:val="Heading3"/>
        <w:spacing w:after="60" w:before="200"/>
      </w:pPr>
      <w:r>
        <w:rPr>
          <w:rFonts w:ascii="Arial" w:cs="Arial" w:eastAsia="Arial" w:hAnsi="Arial"/>
          <w:b/>
          <w:bCs/>
          <w:color w:val="2E75B6"/>
          <w:sz w:val="22"/>
          <w:szCs w:val="22"/>
        </w:rPr>
        <w:t xml:space="preserve">7.8.4  s.36(1)(vii) — Bad Debts</w:t>
      </w:r>
    </w:p>
    <w:p>
      <w:pPr>
        <w:spacing w:after="50" w:before="50"/>
      </w:pPr>
      <w:r>
        <w:rPr>
          <w:rFonts w:ascii="Arial" w:cs="Arial" w:eastAsia="Arial" w:hAnsi="Arial"/>
          <w:sz w:val="20"/>
          <w:szCs w:val="20"/>
        </w:rPr>
        <w:t xml:space="preserve">A bad debt is deductible in the year in which it is written off as irrecoverable in the accounts, provided:</w:t>
      </w:r>
    </w:p>
    <w:p>
      <w:pPr>
        <w:pStyle w:val="ListParagraph"/>
        <w:numPr>
          <w:ilvl w:val="0"/>
          <w:numId w:val="2"/>
        </w:numPr>
        <w:spacing w:after="30" w:before="30"/>
      </w:pPr>
      <w:r>
        <w:rPr>
          <w:rFonts w:ascii="Arial" w:cs="Arial" w:eastAsia="Arial" w:hAnsi="Arial"/>
          <w:sz w:val="20"/>
          <w:szCs w:val="20"/>
        </w:rPr>
        <w:t xml:space="preserve">The debt was previously included as income (i.e., it was a trade debt that formed part of taxable income)</w:t>
      </w:r>
    </w:p>
    <w:p>
      <w:pPr>
        <w:pStyle w:val="ListParagraph"/>
        <w:numPr>
          <w:ilvl w:val="0"/>
          <w:numId w:val="2"/>
        </w:numPr>
        <w:spacing w:after="30" w:before="30"/>
      </w:pPr>
      <w:r>
        <w:rPr>
          <w:rFonts w:ascii="Arial" w:cs="Arial" w:eastAsia="Arial" w:hAnsi="Arial"/>
          <w:sz w:val="20"/>
          <w:szCs w:val="20"/>
        </w:rPr>
        <w:t xml:space="preserve">It has been actually written off in the books — provision for bad debts is NOT deductible</w:t>
      </w:r>
    </w:p>
    <w:p>
      <w:pPr>
        <w:pStyle w:val="ListParagraph"/>
        <w:numPr>
          <w:ilvl w:val="0"/>
          <w:numId w:val="2"/>
        </w:numPr>
        <w:spacing w:after="30" w:before="30"/>
      </w:pPr>
      <w:r>
        <w:rPr>
          <w:rFonts w:ascii="Arial" w:cs="Arial" w:eastAsia="Arial" w:hAnsi="Arial"/>
          <w:sz w:val="20"/>
          <w:szCs w:val="20"/>
        </w:rPr>
        <w:t xml:space="preserve">If recovered in a subsequent year: taxable as business income under s.41(4) in year of recovery</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bad_debt.previously_included_in_income == TRUE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AND bad_debt.written_off_in_books == TRUE: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ALLOW: deduction in current year</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ELSE: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DISALLOW: bad debt deduction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CA_NOTE: "Provision for bad debts not deductible. Only actual write-off allowed."</w:t>
      </w:r>
    </w:p>
    <w:p>
      <w:pPr>
        <w:spacing w:after="30" w:before="30"/>
      </w:pPr>
      <w:r>
        <w:t xml:space="preserve"/>
      </w:r>
    </w:p>
    <w:p>
      <w:pPr>
        <w:pStyle w:val="Heading3"/>
        <w:spacing w:after="60" w:before="200"/>
      </w:pPr>
      <w:r>
        <w:rPr>
          <w:rFonts w:ascii="Arial" w:cs="Arial" w:eastAsia="Arial" w:hAnsi="Arial"/>
          <w:b/>
          <w:bCs/>
          <w:color w:val="2E75B6"/>
          <w:sz w:val="22"/>
          <w:szCs w:val="22"/>
        </w:rPr>
        <w:t xml:space="preserve">7.8.5  s.36(1)(ix) — Family Planning Expenditure</w:t>
      </w:r>
    </w:p>
    <w:p>
      <w:pPr>
        <w:spacing w:after="50" w:before="50"/>
      </w:pPr>
      <w:r>
        <w:rPr>
          <w:rFonts w:ascii="Arial" w:cs="Arial" w:eastAsia="Arial" w:hAnsi="Arial"/>
          <w:sz w:val="20"/>
          <w:szCs w:val="20"/>
        </w:rPr>
        <w:t xml:space="preserve">Expenditure incurred by an Indian company for the purposes of promoting family planning amongst its employees is deductible. Capital expenditure under this head is deductible in 5 equal instalments. Note: This applies to companies only — not directly applicable to individual taxpayers. Engine: out of scope for individual taxpayers.</w:t>
      </w:r>
    </w:p>
    <w:p>
      <w:pPr>
        <w:spacing w:after="30" w:before="30"/>
      </w:pPr>
      <w:r>
        <w:t xml:space="preserve"/>
      </w:r>
    </w:p>
    <w:p>
      <w:pPr>
        <w:pStyle w:val="Heading3"/>
        <w:spacing w:after="60" w:before="200"/>
      </w:pPr>
      <w:r>
        <w:rPr>
          <w:rFonts w:ascii="Arial" w:cs="Arial" w:eastAsia="Arial" w:hAnsi="Arial"/>
          <w:b/>
          <w:bCs/>
          <w:color w:val="2E75B6"/>
          <w:sz w:val="22"/>
          <w:szCs w:val="22"/>
        </w:rPr>
        <w:t xml:space="preserve">7.8.6  s.36(1)(xv) — Securities Transaction Tax (STT)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DECEA" w:val="clear"/>
            <w:tcMar>
              <w:top w:type="dxa" w:w="80"/>
              <w:left w:type="dxa" w:w="180"/>
              <w:bottom w:type="dxa" w:w="80"/>
              <w:right w:type="dxa" w:w="180"/>
            </w:tcMar>
          </w:tcPr>
          <w:p>
            <w:pPr>
              <w:spacing w:after="20" w:before="30"/>
            </w:pPr>
            <w:r>
              <w:rPr>
                <w:rFonts w:ascii="Arial" w:cs="Arial" w:eastAsia="Arial" w:hAnsi="Arial"/>
                <w:b/>
                <w:bCs/>
                <w:color w:val="C00000"/>
                <w:sz w:val="20"/>
                <w:szCs w:val="20"/>
              </w:rPr>
              <w:t xml:space="preserve">🚫  STT NOT DEDUCTIBLE AS BUSINESS EXPENSE</w:t>
            </w:r>
          </w:p>
          <w:p>
            <w:pPr>
              <w:spacing w:after="20" w:before="0"/>
            </w:pPr>
            <w:r>
              <w:rPr>
                <w:rFonts w:ascii="Arial" w:cs="Arial" w:eastAsia="Arial" w:hAnsi="Arial"/>
                <w:sz w:val="19"/>
                <w:szCs w:val="19"/>
              </w:rPr>
              <w:t xml:space="preserve">s.36(1)(xv) was inserted to allow STT deduction as a business expense ONLY when the corresponding income is taxable as business income.</w:t>
            </w:r>
          </w:p>
          <w:p>
            <w:pPr>
              <w:spacing w:after="20" w:before="0"/>
            </w:pPr>
            <w:r>
              <w:rPr>
                <w:rFonts w:ascii="Arial" w:cs="Arial" w:eastAsia="Arial" w:hAnsi="Arial"/>
                <w:sz w:val="19"/>
                <w:szCs w:val="19"/>
              </w:rPr>
              <w:t xml:space="preserve">However, for equity delivery transactions (taxable as Capital Gains), STT is NOT deductible.</w:t>
            </w:r>
          </w:p>
          <w:p>
            <w:pPr>
              <w:spacing w:after="20" w:before="0"/>
            </w:pPr>
            <w:r>
              <w:rPr>
                <w:rFonts w:ascii="Arial" w:cs="Arial" w:eastAsia="Arial" w:hAnsi="Arial"/>
                <w:sz w:val="19"/>
                <w:szCs w:val="19"/>
              </w:rPr>
              <w:t xml:space="preserve">For F&amp;O traders: STT on futures and options is paid — but it has been held by multiple tribunals and high courts that s.36(1)(xv) is limited and STT on F&amp;O may NOT be deducted.</w:t>
            </w:r>
          </w:p>
          <w:p>
            <w:pPr>
              <w:spacing w:after="20" w:before="0"/>
            </w:pPr>
            <w:r>
              <w:rPr>
                <w:rFonts w:ascii="Arial" w:cs="Arial" w:eastAsia="Arial" w:hAnsi="Arial"/>
                <w:sz w:val="19"/>
                <w:szCs w:val="19"/>
              </w:rPr>
              <w:t xml:space="preserve">Engine conservative approach: DO NOT allow STT as a deduction. Surface as CA_NOTE for case-by-case review.</w:t>
            </w:r>
          </w:p>
        </w:tc>
      </w:tr>
    </w:tbl>
    <w:p>
      <w:pPr>
        <w:spacing w:after="30" w:before="30"/>
      </w:pPr>
      <w:r>
        <w:t xml:space="preserve"/>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8  —  Depreciation: s.32, s.32AC, s.32AD</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8.1  WDV Method vs SLM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Method</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Applicability</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Written Down Value (WDV) Method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Applicable to all assessees — individual, HUF, firm, company. Standard method.</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Straight Line Method (SLM)</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Available ONLY to companies for power generating units (s.32(1)(i)). NOT available to individual taxpayers.</w:t>
            </w:r>
          </w:p>
        </w:tc>
      </w:tr>
    </w:tbl>
    <w:p>
      <w:pPr>
        <w:spacing w:after="50" w:before="50"/>
      </w:pPr>
      <w:r>
        <w:rPr>
          <w:rFonts w:ascii="Arial" w:cs="Arial" w:eastAsia="Arial" w:hAnsi="Arial"/>
          <w:sz w:val="20"/>
          <w:szCs w:val="20"/>
        </w:rPr>
        <w:t xml:space="preserve">For individual taxpayers: ONLY WDV method applies. Engine must not offer SLM as an option.</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8.2  Block of Assets Concept</w:t>
      </w:r>
    </w:p>
    <w:p>
      <w:pPr>
        <w:spacing w:after="50" w:before="50"/>
      </w:pPr>
      <w:r>
        <w:rPr>
          <w:rFonts w:ascii="Arial" w:cs="Arial" w:eastAsia="Arial" w:hAnsi="Arial"/>
          <w:sz w:val="20"/>
          <w:szCs w:val="20"/>
        </w:rPr>
        <w:t xml:space="preserve">Under WDV method, assets are grouped into "blocks" based on asset type and depreciation rate. All assets of the same class and rate form a single block. Depreciation is computed on the opening WDV of the block plus cost of additions during the year, minus consideration received for assets sold:</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closing_wdv = opening_wdv + cost_of_additions - sale_consideration_of_assets_sold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closing_wdv &gt; 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depreciation = closing_wdv * applicable_rate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Half-year rule: if asset added on or after 1 Oct — only 50% depreciation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in year of addition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closing_wdv &lt; 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This is a SHORT-TERM CAPITAL GAIN under s.50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Route to Capital Gains module (DOM_Tax_04_CapGains)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DEPRECIABLE_ASSET_STCG</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9E8F5" w:val="clear"/>
            <w:tcMar>
              <w:top w:type="dxa" w:w="80"/>
              <w:left w:type="dxa" w:w="180"/>
              <w:bottom w:type="dxa" w:w="80"/>
              <w:right w:type="dxa" w:w="180"/>
            </w:tcMar>
          </w:tcPr>
          <w:p>
            <w:pPr>
              <w:spacing w:after="20" w:before="30"/>
            </w:pPr>
            <w:r>
              <w:rPr>
                <w:rFonts w:ascii="Arial" w:cs="Arial" w:eastAsia="Arial" w:hAnsi="Arial"/>
                <w:b/>
                <w:bCs/>
                <w:color w:val="2E75B6"/>
                <w:sz w:val="20"/>
                <w:szCs w:val="20"/>
              </w:rPr>
              <w:t xml:space="preserve">📌  HALF-YEAR RULE</w:t>
            </w:r>
          </w:p>
          <w:p>
            <w:pPr>
              <w:spacing w:after="20" w:before="0"/>
            </w:pPr>
            <w:r>
              <w:rPr>
                <w:rFonts w:ascii="Arial" w:cs="Arial" w:eastAsia="Arial" w:hAnsi="Arial"/>
                <w:sz w:val="19"/>
                <w:szCs w:val="19"/>
              </w:rPr>
              <w:t xml:space="preserve">Assets added on or AFTER 1 October of the previous year qualify for only 50% of the normal depreciation rate in the year of acquisition.</w:t>
            </w:r>
          </w:p>
          <w:p>
            <w:pPr>
              <w:spacing w:after="20" w:before="0"/>
            </w:pPr>
            <w:r>
              <w:rPr>
                <w:rFonts w:ascii="Arial" w:cs="Arial" w:eastAsia="Arial" w:hAnsi="Arial"/>
                <w:sz w:val="19"/>
                <w:szCs w:val="19"/>
              </w:rPr>
              <w:t xml:space="preserve">Engine must check asset acquisition date against 1 October threshold and apply the 50% restriction.</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8.3  Prescribed Depreciation Rates — Block-wise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Block</w:t>
            </w:r>
          </w:p>
        </w:tc>
        <w:tc>
          <w:tcPr>
            <w:tcW w:type="dxa" w:w="2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Asset Type</w:t>
            </w:r>
          </w:p>
        </w:tc>
        <w:tc>
          <w:tcPr>
            <w:tcW w:type="dxa" w:w="26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WDV Rate</w:t>
            </w:r>
          </w:p>
        </w:tc>
        <w:tc>
          <w:tcPr>
            <w:tcW w:type="dxa" w:w="25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Buildings — Residential</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Purely residential quarters for employees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5%</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Low rate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Buildings — Other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Factory, office, commercial premises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Standard commercial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Buildings — Temporary</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Purely temporary erections (wooden, bamboo)</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40%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High rate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Plant &amp; Machinery — General</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Any machinery not separately listed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15%</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Default rate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Computers &amp; Peripherals</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Computers, laptops, tablets, monitors, printers, scanners, UPS</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40%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Includes networking hardware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Motor Vehicles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Cars, jeeps, motorcycles used for business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15%</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Not applicable to vehicles leased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Heavy Vehicles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Heavy motor vehicles (GVW &gt; 12 tonnes)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30%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Aircraft</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Aeroplanes, aeroengines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40%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Furniture &amp; Fittings</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Office chairs, tables, desks, fixtures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Intangible Assets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Know-how, patents, copyrights, trademarks, licences, franchises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25%</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Not goodwill — see s.8.5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Books — Business</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Annual publications used for business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100%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Full deduction in year of purchase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Books — Other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Books other than annual (professional)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60%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Wind Energy</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Wind mills and related equipment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40%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Renewable energy asset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Solar Energy</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Solar photovoltaic panels and related equipment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40%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Renewable energy asset</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8.4  Additional Depreciation: s.32(1)(iia)</w:t>
      </w:r>
    </w:p>
    <w:p>
      <w:pPr>
        <w:spacing w:after="50" w:before="50"/>
      </w:pPr>
      <w:r>
        <w:rPr>
          <w:rFonts w:ascii="Arial" w:cs="Arial" w:eastAsia="Arial" w:hAnsi="Arial"/>
          <w:sz w:val="20"/>
          <w:szCs w:val="20"/>
        </w:rPr>
        <w:t xml:space="preserve">Additional depreciation of 20% is available on the COST (not WDV) of new plant and machinery acquired and installed after 31 March 2005, subject to:</w:t>
      </w:r>
    </w:p>
    <w:p>
      <w:pPr>
        <w:pStyle w:val="ListParagraph"/>
        <w:numPr>
          <w:ilvl w:val="0"/>
          <w:numId w:val="2"/>
        </w:numPr>
        <w:spacing w:after="30" w:before="30"/>
      </w:pPr>
      <w:r>
        <w:rPr>
          <w:rFonts w:ascii="Arial" w:cs="Arial" w:eastAsia="Arial" w:hAnsi="Arial"/>
          <w:sz w:val="20"/>
          <w:szCs w:val="20"/>
        </w:rPr>
        <w:t xml:space="preserve">Must be NEW plant or machinery — second-hand assets do not qualify</w:t>
      </w:r>
    </w:p>
    <w:p>
      <w:pPr>
        <w:pStyle w:val="ListParagraph"/>
        <w:numPr>
          <w:ilvl w:val="0"/>
          <w:numId w:val="2"/>
        </w:numPr>
        <w:spacing w:after="30" w:before="30"/>
      </w:pPr>
      <w:r>
        <w:rPr>
          <w:rFonts w:ascii="Arial" w:cs="Arial" w:eastAsia="Arial" w:hAnsi="Arial"/>
          <w:sz w:val="20"/>
          <w:szCs w:val="20"/>
        </w:rPr>
        <w:t xml:space="preserve">Must be used in manufacturing or production of any article or thing, OR for generation, transmission, or distribution of power</w:t>
      </w:r>
    </w:p>
    <w:p>
      <w:pPr>
        <w:pStyle w:val="ListParagraph"/>
        <w:numPr>
          <w:ilvl w:val="0"/>
          <w:numId w:val="2"/>
        </w:numPr>
        <w:spacing w:after="30" w:before="30"/>
      </w:pPr>
      <w:r>
        <w:rPr>
          <w:rFonts w:ascii="Arial" w:cs="Arial" w:eastAsia="Arial" w:hAnsi="Arial"/>
          <w:sz w:val="20"/>
          <w:szCs w:val="20"/>
        </w:rPr>
        <w:t xml:space="preserve">NOT available for: ships, aircraft, office appliances, road transport vehicles, computers, furniture, plant previously used in India or outside India</w:t>
      </w:r>
    </w:p>
    <w:p>
      <w:pPr>
        <w:pStyle w:val="ListParagraph"/>
        <w:numPr>
          <w:ilvl w:val="0"/>
          <w:numId w:val="2"/>
        </w:numPr>
        <w:spacing w:after="30" w:before="30"/>
      </w:pPr>
      <w:r>
        <w:rPr>
          <w:rFonts w:ascii="Arial" w:cs="Arial" w:eastAsia="Arial" w:hAnsi="Arial"/>
          <w:sz w:val="20"/>
          <w:szCs w:val="20"/>
        </w:rPr>
        <w:t xml:space="preserve">If asset is put to use for less than 180 days in the year of acquisition: only 50% of additional depreciation (i.e., 10%) is allowed in year 1; remaining 10% is allowed in the next year</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new_asset.type IN QUALIFYING_MANUFACTURING_PLANT: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additional_depreciation = new_asset.cost * 0.20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days_used_in_year &lt; 180: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current_year_additional_dep = new_asset.cost * 0.10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next_year_additional_dep    = new_asset.cost * 0.10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ELSE: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current_year_additional_dep = new_asset.cost * 0.20</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8.5  Goodwill — Post Finance Act 2021 Amendment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GOODWILL NO LONGER DEPRECIABLE</w:t>
            </w:r>
          </w:p>
          <w:p>
            <w:pPr>
              <w:spacing w:after="20" w:before="0"/>
            </w:pPr>
            <w:r>
              <w:rPr>
                <w:rFonts w:ascii="Arial" w:cs="Arial" w:eastAsia="Arial" w:hAnsi="Arial"/>
                <w:sz w:val="19"/>
                <w:szCs w:val="19"/>
              </w:rPr>
              <w:t xml:space="preserve">Finance Act 2021 amended s.32 to EXCLUDE goodwill from the block of assets with effect from AY 2021-22.</w:t>
            </w:r>
          </w:p>
          <w:p>
            <w:pPr>
              <w:spacing w:after="20" w:before="0"/>
            </w:pPr>
            <w:r>
              <w:rPr>
                <w:rFonts w:ascii="Arial" w:cs="Arial" w:eastAsia="Arial" w:hAnsi="Arial"/>
                <w:sz w:val="19"/>
                <w:szCs w:val="19"/>
              </w:rPr>
              <w:t xml:space="preserve">Goodwill is no longer eligible for depreciation under the Income Tax Act.</w:t>
            </w:r>
          </w:p>
          <w:p>
            <w:pPr>
              <w:spacing w:after="20" w:before="0"/>
            </w:pPr>
            <w:r>
              <w:rPr>
                <w:rFonts w:ascii="Arial" w:cs="Arial" w:eastAsia="Arial" w:hAnsi="Arial"/>
                <w:sz w:val="19"/>
                <w:szCs w:val="19"/>
              </w:rPr>
              <w:t xml:space="preserve">If goodwill was in the WDV block before AY 2021-22, the WDV as on 1 April 2020 was removed from the block and treated as cost of acquisition for capital gains purposes.</w:t>
            </w:r>
          </w:p>
          <w:p>
            <w:pPr>
              <w:spacing w:after="20" w:before="0"/>
            </w:pPr>
            <w:r>
              <w:rPr>
                <w:rFonts w:ascii="Arial" w:cs="Arial" w:eastAsia="Arial" w:hAnsi="Arial"/>
                <w:sz w:val="19"/>
                <w:szCs w:val="19"/>
              </w:rPr>
              <w:t xml:space="preserve">Engine must NOT allow depreciation on goodwill for any year from AY 2021-22 onwards.</w:t>
            </w:r>
          </w:p>
        </w:tc>
      </w:tr>
    </w:tbl>
    <w:p>
      <w:pPr>
        <w:spacing w:after="30" w:before="30"/>
      </w:pPr>
      <w:r>
        <w:t xml:space="preserve"/>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8.6  s.32AC and s.32AD — Investment Allowance</w:t>
      </w:r>
    </w:p>
    <w:p>
      <w:pPr>
        <w:spacing w:after="50" w:before="50"/>
      </w:pPr>
      <w:r>
        <w:rPr>
          <w:rFonts w:ascii="Arial" w:cs="Arial" w:eastAsia="Arial" w:hAnsi="Arial"/>
          <w:sz w:val="20"/>
          <w:szCs w:val="20"/>
        </w:rPr>
        <w:t xml:space="preserve">s.32AC provided an additional 15% deduction (investment allowance) for companies investing in new plant and machinery exceeding INR 100 crore in a year. This provision was available only to companies — NOT to individual taxpayers. Engine: out of scope for individual taxpayer spec.</w:t>
      </w:r>
    </w:p>
    <w:p>
      <w:pPr>
        <w:spacing w:after="30" w:before="30"/>
      </w:pPr>
      <w:r>
        <w:t xml:space="preserve"/>
      </w:r>
    </w:p>
    <w:p>
      <w:pPr>
        <w:spacing w:after="50" w:before="50"/>
      </w:pPr>
      <w:r>
        <w:rPr>
          <w:rFonts w:ascii="Arial" w:cs="Arial" w:eastAsia="Arial" w:hAnsi="Arial"/>
          <w:sz w:val="20"/>
          <w:szCs w:val="20"/>
        </w:rPr>
        <w:t xml:space="preserve">s.32AD: Additional 15% deduction for investment in new plant/machinery in notified backward areas (Bihar, West Bengal, Telangana, Andhra Pradesh as notified). Available to all assessees including individuals for manufacturing or production. Allowance is on the COST of new plant and machinery.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investment_in_notified_backward_area AND asset.is_new_plant_machinery: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s32AD_deduction = asset.cost * 0.15</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Available in addition to normal depreciation and s.32(1)(iia) additional depreciation</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8.7  Unabsorbed Depreciation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
              <w:left w:val="single" w:color="548235" w:sz="1"/>
              <w:bottom w:val="single" w:color="548235" w:sz="1"/>
              <w:right w:val="single" w:color="548235" w:sz="1"/>
            </w:tcBorders>
            <w:shd w:fill="E2EFDA" w:val="clear"/>
            <w:tcMar>
              <w:top w:type="dxa" w:w="80"/>
              <w:left w:type="dxa" w:w="180"/>
              <w:bottom w:type="dxa" w:w="80"/>
              <w:right w:type="dxa" w:w="180"/>
            </w:tcMar>
          </w:tcPr>
          <w:p>
            <w:pPr>
              <w:spacing w:after="20" w:before="30"/>
            </w:pPr>
            <w:r>
              <w:rPr>
                <w:rFonts w:ascii="Arial" w:cs="Arial" w:eastAsia="Arial" w:hAnsi="Arial"/>
                <w:b/>
                <w:bCs/>
                <w:color w:val="548235"/>
                <w:sz w:val="20"/>
                <w:szCs w:val="20"/>
              </w:rPr>
              <w:t xml:space="preserve">✅  SPECIAL RULE: UNABSORBED DEPRECIATION</w:t>
            </w:r>
          </w:p>
          <w:p>
            <w:pPr>
              <w:spacing w:after="20" w:before="0"/>
            </w:pPr>
            <w:r>
              <w:rPr>
                <w:rFonts w:ascii="Arial" w:cs="Arial" w:eastAsia="Arial" w:hAnsi="Arial"/>
                <w:sz w:val="19"/>
                <w:szCs w:val="19"/>
              </w:rPr>
              <w:t xml:space="preserve">If depreciation cannot be fully absorbed against business income in a year (because income is insufficient), the unabsorbed depreciation can be carried forward INDEFINITELY — no time limit.</w:t>
            </w:r>
          </w:p>
          <w:p>
            <w:pPr>
              <w:spacing w:after="20" w:before="0"/>
            </w:pPr>
            <w:r>
              <w:rPr>
                <w:rFonts w:ascii="Arial" w:cs="Arial" w:eastAsia="Arial" w:hAnsi="Arial"/>
                <w:sz w:val="19"/>
                <w:szCs w:val="19"/>
              </w:rPr>
              <w:t xml:space="preserve">Unabsorbed depreciation can be set off against income from ANY head in a subsequent year — not restricted to business income.</w:t>
            </w:r>
          </w:p>
          <w:p>
            <w:pPr>
              <w:spacing w:after="20" w:before="0"/>
            </w:pPr>
            <w:r>
              <w:rPr>
                <w:rFonts w:ascii="Arial" w:cs="Arial" w:eastAsia="Arial" w:hAnsi="Arial"/>
                <w:sz w:val="19"/>
                <w:szCs w:val="19"/>
              </w:rPr>
              <w:t xml:space="preserve">Critically: unabsorbed depreciation can be carried forward even if the return is filed AFTER the due date (unlike business losses which lapse if return is belated).</w:t>
            </w:r>
          </w:p>
          <w:p>
            <w:pPr>
              <w:spacing w:after="20" w:before="0"/>
            </w:pPr>
            <w:r>
              <w:rPr>
                <w:rFonts w:ascii="Arial" w:cs="Arial" w:eastAsia="Arial" w:hAnsi="Arial"/>
                <w:sz w:val="19"/>
                <w:szCs w:val="19"/>
              </w:rPr>
              <w:t xml:space="preserve">This makes unabsorbed depreciation the most flexible loss in the Act.</w:t>
            </w:r>
          </w:p>
        </w:tc>
      </w:tr>
    </w:tbl>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current_year_depreciation &gt; pgbp_income_before_dep:</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absorbed_dep = pgbp_income_before_dep</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unabsorbed_dep = current_year_depreciation - absorbed_dep</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carry_forward: indefinite, against ANY income head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even if: return_filed_after_due_date</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9  —  General Deduction s.37(1) and Disallowances s.40–s.40A</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9.1  s.37(1) — General Deduction</w:t>
      </w:r>
    </w:p>
    <w:p>
      <w:pPr>
        <w:spacing w:after="50" w:before="50"/>
      </w:pPr>
      <w:r>
        <w:rPr>
          <w:rFonts w:ascii="Arial" w:cs="Arial" w:eastAsia="Arial" w:hAnsi="Arial"/>
          <w:sz w:val="20"/>
          <w:szCs w:val="20"/>
        </w:rPr>
        <w:t xml:space="preserve">Any expenditure (not being expenditure of a capital nature or personal expenses of the assessee) laid out or expended wholly and exclusively for the purpose of the business or profession is deductible under s.37(1), provided:</w:t>
      </w:r>
    </w:p>
    <w:p>
      <w:pPr>
        <w:pStyle w:val="ListParagraph"/>
        <w:numPr>
          <w:ilvl w:val="0"/>
          <w:numId w:val="2"/>
        </w:numPr>
        <w:spacing w:after="30" w:before="30"/>
      </w:pPr>
      <w:r>
        <w:rPr>
          <w:rFonts w:ascii="Arial" w:cs="Arial" w:eastAsia="Arial" w:hAnsi="Arial"/>
          <w:sz w:val="20"/>
          <w:szCs w:val="20"/>
        </w:rPr>
        <w:t xml:space="preserve">It is a revenue expenditure (not capital)</w:t>
      </w:r>
    </w:p>
    <w:p>
      <w:pPr>
        <w:pStyle w:val="ListParagraph"/>
        <w:numPr>
          <w:ilvl w:val="0"/>
          <w:numId w:val="2"/>
        </w:numPr>
        <w:spacing w:after="30" w:before="30"/>
      </w:pPr>
      <w:r>
        <w:rPr>
          <w:rFonts w:ascii="Arial" w:cs="Arial" w:eastAsia="Arial" w:hAnsi="Arial"/>
          <w:sz w:val="20"/>
          <w:szCs w:val="20"/>
        </w:rPr>
        <w:t xml:space="preserve">Wholly and exclusively incurred for the business</w:t>
      </w:r>
    </w:p>
    <w:p>
      <w:pPr>
        <w:pStyle w:val="ListParagraph"/>
        <w:numPr>
          <w:ilvl w:val="0"/>
          <w:numId w:val="2"/>
        </w:numPr>
        <w:spacing w:after="30" w:before="30"/>
      </w:pPr>
      <w:r>
        <w:rPr>
          <w:rFonts w:ascii="Arial" w:cs="Arial" w:eastAsia="Arial" w:hAnsi="Arial"/>
          <w:sz w:val="20"/>
          <w:szCs w:val="20"/>
        </w:rPr>
        <w:t xml:space="preserve">Not in the nature of a personal expense</w:t>
      </w:r>
    </w:p>
    <w:p>
      <w:pPr>
        <w:pStyle w:val="ListParagraph"/>
        <w:numPr>
          <w:ilvl w:val="0"/>
          <w:numId w:val="2"/>
        </w:numPr>
        <w:spacing w:after="30" w:before="30"/>
      </w:pPr>
      <w:r>
        <w:rPr>
          <w:rFonts w:ascii="Arial" w:cs="Arial" w:eastAsia="Arial" w:hAnsi="Arial"/>
          <w:sz w:val="20"/>
          <w:szCs w:val="20"/>
        </w:rPr>
        <w:t xml:space="preserve">Not an offence or prohibited by law (explanation inserted to s.37(1) — expenditure for purposes which are an offence or prohibited by law is NOT deductible)</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9.2  s.40(a) — Absolute Disallowances</w:t>
      </w:r>
    </w:p>
    <w:p>
      <w:pPr>
        <w:pStyle w:val="Heading3"/>
        <w:spacing w:after="60" w:before="200"/>
      </w:pPr>
      <w:r>
        <w:rPr>
          <w:rFonts w:ascii="Arial" w:cs="Arial" w:eastAsia="Arial" w:hAnsi="Arial"/>
          <w:b/>
          <w:bCs/>
          <w:color w:val="2E75B6"/>
          <w:sz w:val="22"/>
          <w:szCs w:val="22"/>
        </w:rPr>
        <w:t xml:space="preserve">9.2.1  s.40(a)(i) — Payments to Non-Residents Without TDS</w:t>
      </w:r>
    </w:p>
    <w:p>
      <w:pPr>
        <w:spacing w:after="50" w:before="50"/>
      </w:pPr>
      <w:r>
        <w:rPr>
          <w:rFonts w:ascii="Arial" w:cs="Arial" w:eastAsia="Arial" w:hAnsi="Arial"/>
          <w:sz w:val="20"/>
          <w:szCs w:val="20"/>
        </w:rPr>
        <w:t xml:space="preserve">Any interest, royalty, fees for technical services, or other sum chargeable under the Act payable outside India or to a non-resident / foreign company — if TDS has NOT been deducted or after deduction, has not been deposited before the due date of return filing — is 100% disallowed.</w:t>
      </w:r>
    </w:p>
    <w:p>
      <w:pPr>
        <w:spacing w:after="30" w:before="30"/>
      </w:pPr>
      <w:r>
        <w:t xml:space="preserve"/>
      </w:r>
    </w:p>
    <w:p>
      <w:pPr>
        <w:pStyle w:val="Heading3"/>
        <w:spacing w:after="60" w:before="200"/>
      </w:pPr>
      <w:r>
        <w:rPr>
          <w:rFonts w:ascii="Arial" w:cs="Arial" w:eastAsia="Arial" w:hAnsi="Arial"/>
          <w:b/>
          <w:bCs/>
          <w:color w:val="2E75B6"/>
          <w:sz w:val="22"/>
          <w:szCs w:val="22"/>
        </w:rPr>
        <w:t xml:space="preserve">9.2.2  s.40(a)(ia) — Payments to Residents Without TDS</w:t>
      </w:r>
    </w:p>
    <w:p>
      <w:pPr>
        <w:spacing w:after="50" w:before="50"/>
      </w:pPr>
      <w:r>
        <w:rPr>
          <w:rFonts w:ascii="Arial" w:cs="Arial" w:eastAsia="Arial" w:hAnsi="Arial"/>
          <w:sz w:val="20"/>
          <w:szCs w:val="20"/>
        </w:rPr>
        <w:t xml:space="preserve">30% of any sum payable to a resident on which TDS was required under Chapter XVII-B but was NOT deducted, OR was deducted but NOT deposited by due date, is disallowed.</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FOR each payment TO resident: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tds_required AND NOT tds_deducted: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disallowance_40a_ia = payment_amount * 0.30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tds_deducted AND NOT deposited_by_return_due_date: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disallowance_40a_ia = payment_amount * 0.30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TDS_DEFAULT_DISALLOWANCE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CA_NOTE: "30% disallowance applied. TDS must be deposited to restore deduction."</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9E8F5" w:val="clear"/>
            <w:tcMar>
              <w:top w:type="dxa" w:w="80"/>
              <w:left w:type="dxa" w:w="180"/>
              <w:bottom w:type="dxa" w:w="80"/>
              <w:right w:type="dxa" w:w="180"/>
            </w:tcMar>
          </w:tcPr>
          <w:p>
            <w:pPr>
              <w:spacing w:after="20" w:before="30"/>
            </w:pPr>
            <w:r>
              <w:rPr>
                <w:rFonts w:ascii="Arial" w:cs="Arial" w:eastAsia="Arial" w:hAnsi="Arial"/>
                <w:b/>
                <w:bCs/>
                <w:color w:val="2E75B6"/>
                <w:sz w:val="20"/>
                <w:szCs w:val="20"/>
              </w:rPr>
              <w:t xml:space="preserve">📌  DEDUCTION IN SUBSEQUENT YEAR</w:t>
            </w:r>
          </w:p>
          <w:p>
            <w:pPr>
              <w:spacing w:after="20" w:before="0"/>
            </w:pPr>
            <w:r>
              <w:rPr>
                <w:rFonts w:ascii="Arial" w:cs="Arial" w:eastAsia="Arial" w:hAnsi="Arial"/>
                <w:sz w:val="19"/>
                <w:szCs w:val="19"/>
              </w:rPr>
              <w:t xml:space="preserve">The 30% disallowance under s.40(a)(ia) is NOT permanent. In the year in which TDS is actually deducted and deposited, the deduction is restored.</w:t>
            </w:r>
          </w:p>
          <w:p>
            <w:pPr>
              <w:spacing w:after="20" w:before="0"/>
            </w:pPr>
            <w:r>
              <w:rPr>
                <w:rFonts w:ascii="Arial" w:cs="Arial" w:eastAsia="Arial" w:hAnsi="Arial"/>
                <w:sz w:val="19"/>
                <w:szCs w:val="19"/>
              </w:rPr>
              <w:t xml:space="preserve">Engine must track these deferred deductions and apply them in the correct AY when TDS is eventually deposited.</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9.3  s.40(b) — Remuneration to Partners</w:t>
      </w:r>
    </w:p>
    <w:p>
      <w:pPr>
        <w:spacing w:after="50" w:before="50"/>
      </w:pPr>
      <w:r>
        <w:rPr>
          <w:rFonts w:ascii="Arial" w:cs="Arial" w:eastAsia="Arial" w:hAnsi="Arial"/>
          <w:sz w:val="20"/>
          <w:szCs w:val="20"/>
        </w:rPr>
        <w:t xml:space="preserve">In a partnership firm, salary / remuneration and interest paid to partners is deductible at firm level subject to limits under s.40(b). As this spec covers individual taxpayers, the RECEIVING side is relevant:</w:t>
      </w:r>
    </w:p>
    <w:p>
      <w:pPr>
        <w:pStyle w:val="ListParagraph"/>
        <w:numPr>
          <w:ilvl w:val="0"/>
          <w:numId w:val="2"/>
        </w:numPr>
        <w:spacing w:after="30" w:before="30"/>
      </w:pPr>
      <w:r>
        <w:rPr>
          <w:rFonts w:ascii="Arial" w:cs="Arial" w:eastAsia="Arial" w:hAnsi="Arial"/>
          <w:sz w:val="20"/>
          <w:szCs w:val="20"/>
        </w:rPr>
        <w:t xml:space="preserve">Salary / remuneration received by an individual partner from the firm: taxable as PGBP in the partner's hands</w:t>
      </w:r>
    </w:p>
    <w:p>
      <w:pPr>
        <w:pStyle w:val="ListParagraph"/>
        <w:numPr>
          <w:ilvl w:val="0"/>
          <w:numId w:val="2"/>
        </w:numPr>
        <w:spacing w:after="30" w:before="30"/>
      </w:pPr>
      <w:r>
        <w:rPr>
          <w:rFonts w:ascii="Arial" w:cs="Arial" w:eastAsia="Arial" w:hAnsi="Arial"/>
          <w:sz w:val="20"/>
          <w:szCs w:val="20"/>
        </w:rPr>
        <w:t xml:space="preserve">Interest on capital received by individual partner from the firm (up to 12% per annum): taxable as PGBP</w:t>
      </w:r>
    </w:p>
    <w:p>
      <w:pPr>
        <w:pStyle w:val="ListParagraph"/>
        <w:numPr>
          <w:ilvl w:val="0"/>
          <w:numId w:val="2"/>
        </w:numPr>
        <w:spacing w:after="30" w:before="30"/>
      </w:pPr>
      <w:r>
        <w:rPr>
          <w:rFonts w:ascii="Arial" w:cs="Arial" w:eastAsia="Arial" w:hAnsi="Arial"/>
          <w:sz w:val="20"/>
          <w:szCs w:val="20"/>
        </w:rPr>
        <w:t xml:space="preserve">Share of profit from firm: EXEMPT under s.10(2A)</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9.4  s.40(b) — Remuneration from LLP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LLP IS DIFFERENT FROM PARTNERSHIP FIRM</w:t>
            </w:r>
          </w:p>
          <w:p>
            <w:pPr>
              <w:spacing w:after="20" w:before="0"/>
            </w:pPr>
            <w:r>
              <w:rPr>
                <w:rFonts w:ascii="Arial" w:cs="Arial" w:eastAsia="Arial" w:hAnsi="Arial"/>
                <w:sz w:val="19"/>
                <w:szCs w:val="19"/>
              </w:rPr>
              <w:t xml:space="preserve">In an LLP (Limited Liability Partnership), remuneration received by a partner is taxable as PGBP.</w:t>
            </w:r>
          </w:p>
          <w:p>
            <w:pPr>
              <w:spacing w:after="20" w:before="0"/>
            </w:pPr>
            <w:r>
              <w:rPr>
                <w:rFonts w:ascii="Arial" w:cs="Arial" w:eastAsia="Arial" w:hAnsi="Arial"/>
                <w:sz w:val="19"/>
                <w:szCs w:val="19"/>
              </w:rPr>
              <w:t xml:space="preserve">However, unlike a registered partnership firm, the share of profit from an LLP is NOT exempt under s.10(2A) — s.10(2A) applies only to registered firms under the Partnership Act 1932.</w:t>
            </w:r>
          </w:p>
          <w:p>
            <w:pPr>
              <w:spacing w:after="20" w:before="0"/>
            </w:pPr>
            <w:r>
              <w:rPr>
                <w:rFonts w:ascii="Arial" w:cs="Arial" w:eastAsia="Arial" w:hAnsi="Arial"/>
                <w:sz w:val="19"/>
                <w:szCs w:val="19"/>
              </w:rPr>
              <w:t xml:space="preserve">Engine must distinguish: Partnership Firm partner (profit share exempt) vs LLP partner (profit share also taxable).</w:t>
            </w:r>
          </w:p>
          <w:p>
            <w:pPr>
              <w:spacing w:after="20" w:before="0"/>
            </w:pPr>
            <w:r>
              <w:rPr>
                <w:rFonts w:ascii="Arial" w:cs="Arial" w:eastAsia="Arial" w:hAnsi="Arial"/>
                <w:sz w:val="19"/>
                <w:szCs w:val="19"/>
              </w:rPr>
              <w:t xml:space="preserve">Engine must ask user whether the entity is a registered firm or LLP at onboarding.</w:t>
            </w:r>
          </w:p>
        </w:tc>
      </w:tr>
    </w:tbl>
    <w:p>
      <w:pPr>
        <w:spacing w:after="30" w:before="30"/>
      </w:pPr>
      <w:r>
        <w:t xml:space="preserve"/>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9.5  s.40A(2) — Excessive Payments to Related Parties</w:t>
      </w:r>
    </w:p>
    <w:p>
      <w:pPr>
        <w:spacing w:after="50" w:before="50"/>
      </w:pPr>
      <w:r>
        <w:rPr>
          <w:rFonts w:ascii="Arial" w:cs="Arial" w:eastAsia="Arial" w:hAnsi="Arial"/>
          <w:sz w:val="20"/>
          <w:szCs w:val="20"/>
        </w:rPr>
        <w:t xml:space="preserve">Where an assessee makes payments to specified persons (relatives, associated concerns) and the Assessing Officer considers the expenditure to be excessive or unreasonable having regard to the fair market value of the services or goods, the excess amount is disallowed. Engine note: Flag any payments to related parties for CA review. Engine cannot determine "excessive" — this requires professional judgment.</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payment.recipient IN related_parties_list: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RELATED_PARTY_PAYMENT_REVIEW</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CA_NOTE: "s.40A(2) — AO may disallow excess over fair market value"</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9.6  s.40A(3) — Cash Payment Disallowance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CASH PAYMENT LIMIT — STRICT ENFORCEMENT REQUIRED</w:t>
            </w:r>
          </w:p>
          <w:p>
            <w:pPr>
              <w:spacing w:after="20" w:before="0"/>
            </w:pPr>
            <w:r>
              <w:rPr>
                <w:rFonts w:ascii="Arial" w:cs="Arial" w:eastAsia="Arial" w:hAnsi="Arial"/>
                <w:sz w:val="19"/>
                <w:szCs w:val="19"/>
              </w:rPr>
              <w:t xml:space="preserve">Any payment exceeding INR 10,000 to a single party in a single day by cash is 100% DISALLOWED.</w:t>
            </w:r>
          </w:p>
          <w:p>
            <w:pPr>
              <w:spacing w:after="20" w:before="0"/>
            </w:pPr>
            <w:r>
              <w:rPr>
                <w:rFonts w:ascii="Arial" w:cs="Arial" w:eastAsia="Arial" w:hAnsi="Arial"/>
                <w:sz w:val="19"/>
                <w:szCs w:val="19"/>
              </w:rPr>
              <w:t xml:space="preserve">For payments to goods transporters: limit is INR 35,000 per day.</w:t>
            </w:r>
          </w:p>
          <w:p>
            <w:pPr>
              <w:spacing w:after="20" w:before="0"/>
            </w:pPr>
            <w:r>
              <w:rPr>
                <w:rFonts w:ascii="Arial" w:cs="Arial" w:eastAsia="Arial" w:hAnsi="Arial"/>
                <w:sz w:val="19"/>
                <w:szCs w:val="19"/>
              </w:rPr>
              <w:t xml:space="preserve">This applies to ALL business expenses — rent, salary to daily labour, materials, professional fees, etc.</w:t>
            </w:r>
          </w:p>
          <w:p>
            <w:pPr>
              <w:spacing w:after="20" w:before="0"/>
            </w:pPr>
            <w:r>
              <w:rPr>
                <w:rFonts w:ascii="Arial" w:cs="Arial" w:eastAsia="Arial" w:hAnsi="Arial"/>
                <w:sz w:val="19"/>
                <w:szCs w:val="19"/>
              </w:rPr>
              <w:t xml:space="preserve">Payment by account payee cheque, demand draft, NEFT, RTGS, IMPS, UPI, or other banking channel is exempt.</w:t>
            </w:r>
          </w:p>
          <w:p>
            <w:pPr>
              <w:spacing w:after="20" w:before="0"/>
            </w:pPr>
            <w:r>
              <w:rPr>
                <w:rFonts w:ascii="Arial" w:cs="Arial" w:eastAsia="Arial" w:hAnsi="Arial"/>
                <w:sz w:val="19"/>
                <w:szCs w:val="19"/>
              </w:rPr>
              <w:t xml:space="preserve">Engine must check ALL expense entries for payment mode flag and apply disallowance automatically.</w:t>
            </w:r>
          </w:p>
        </w:tc>
      </w:tr>
    </w:tbl>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FOR each expense IN business_expenses: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daily_cash_to_party = sum_cash_payments_to_same_party_on_same_day(expense)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limit = 35000 IF expense.category == TRANSPORT ELSE 10000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daily_cash_to_party &gt; limit: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disallowance_40A3 += daily_cash_to_party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CASH_PAYMENT_DISALLOWANCE</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10  —  s.43B: Actual Payment Rule</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10.1  Expenses Deductible Only on Actual Payment</w:t>
      </w:r>
    </w:p>
    <w:p>
      <w:pPr>
        <w:spacing w:after="50" w:before="50"/>
      </w:pPr>
      <w:r>
        <w:rPr>
          <w:rFonts w:ascii="Arial" w:cs="Arial" w:eastAsia="Arial" w:hAnsi="Arial"/>
          <w:sz w:val="20"/>
          <w:szCs w:val="20"/>
        </w:rPr>
        <w:t xml:space="preserve">Certain expenses are deductible ONLY in the year of ACTUAL PAYMENT, regardless of the year to which they pertain or the method of accounting (mercantile or cash basis). The key s.43B items are:</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Expense Type</w:t>
            </w:r>
          </w:p>
        </w:tc>
        <w:tc>
          <w:tcPr>
            <w:tcW w:type="dxa" w:w="3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Condition</w:t>
            </w:r>
          </w:p>
        </w:tc>
        <w:tc>
          <w:tcPr>
            <w:tcW w:type="dxa" w:w="31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Engine Action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Tax, duty, cess, fee under any law</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Must be paid before due date of return filing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Verify payment date; defer if not paid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Employer contribution to PF, ESI, Gratuity Fund, superannuation fund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Must be paid before due date of return filing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Flag unpaid contributions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Bonus or commission to employees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Must be paid before due date of return filing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Verify actual payment; apply deferral if not paid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Interest on loans from banks and public financial institutions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Must be paid — no accrual basis allowed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Verify bank statement payment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Interest on loans from scheduled banks (other)</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Must be actually paid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Same as above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Leave encashment / leave salary</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Must be paid before due date of return filing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Track payment date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Payment to railways or government utility for use of assets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Must be actually paid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Verify receipt / challan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MSME payments (Finance Act 2023 — new insertion)</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Payment to MSME supplier must be made within prescribed time under MSMED Act; else deferred to year of actual payment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Flag overdue MSME payables — new AY 2024-25 requirement</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MSME PAYMENT AMENDMENT — AY 2024-25 ONWARD</w:t>
            </w:r>
          </w:p>
          <w:p>
            <w:pPr>
              <w:spacing w:after="20" w:before="0"/>
            </w:pPr>
            <w:r>
              <w:rPr>
                <w:rFonts w:ascii="Arial" w:cs="Arial" w:eastAsia="Arial" w:hAnsi="Arial"/>
                <w:sz w:val="19"/>
                <w:szCs w:val="19"/>
              </w:rPr>
              <w:t xml:space="preserve">Finance Act 2023 inserted a new clause in s.43B: amounts payable to a micro or small enterprise (MSME) under the MSMED Act must be paid within the prescribed period (typically 45 days for MSME contracts).</w:t>
            </w:r>
          </w:p>
          <w:p>
            <w:pPr>
              <w:spacing w:after="20" w:before="0"/>
            </w:pPr>
            <w:r>
              <w:rPr>
                <w:rFonts w:ascii="Arial" w:cs="Arial" w:eastAsia="Arial" w:hAnsi="Arial"/>
                <w:sz w:val="19"/>
                <w:szCs w:val="19"/>
              </w:rPr>
              <w:t xml:space="preserve">If not paid within the prescribed period, the deduction is deferred to the year of actual payment — even if the expense is otherwise accounted for.</w:t>
            </w:r>
          </w:p>
          <w:p>
            <w:pPr>
              <w:spacing w:after="20" w:before="0"/>
            </w:pPr>
            <w:r>
              <w:rPr>
                <w:rFonts w:ascii="Arial" w:cs="Arial" w:eastAsia="Arial" w:hAnsi="Arial"/>
                <w:sz w:val="19"/>
                <w:szCs w:val="19"/>
              </w:rPr>
              <w:t xml:space="preserve">This is a NEW obligation from AY 2024-25. Engine must flag all MSME payables and verify payment within statutory period.</w:t>
            </w:r>
          </w:p>
        </w:tc>
      </w:tr>
    </w:tbl>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FOR each payable IN s43b_expenses: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payable.payment_date &lt;= return_filing_due_date: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ALLOW deduction in current AY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ELIF payable.type == MSME_PAYABLE: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days_outstanding &gt; msme_prescribed_period: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DEFER to AY of actual payment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MSME_PAYMENT_OVERDUE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ELSE: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DEFER deduction to AY of actual payment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S43B_PAYMENT_PENDING</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11  —  Special Computations: s.41, s.43CA, Closing Stock</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11.1  s.41 — Deemed Business Income: Remission and Recovery</w:t>
      </w:r>
    </w:p>
    <w:p>
      <w:pPr>
        <w:pStyle w:val="Heading3"/>
        <w:spacing w:after="60" w:before="200"/>
      </w:pPr>
      <w:r>
        <w:rPr>
          <w:rFonts w:ascii="Arial" w:cs="Arial" w:eastAsia="Arial" w:hAnsi="Arial"/>
          <w:b/>
          <w:bCs/>
          <w:color w:val="2E75B6"/>
          <w:sz w:val="22"/>
          <w:szCs w:val="22"/>
        </w:rPr>
        <w:t xml:space="preserve">11.1.1  s.41(1) — Remission of Liability</w:t>
      </w:r>
    </w:p>
    <w:p>
      <w:pPr>
        <w:spacing w:after="50" w:before="50"/>
      </w:pPr>
      <w:r>
        <w:rPr>
          <w:rFonts w:ascii="Arial" w:cs="Arial" w:eastAsia="Arial" w:hAnsi="Arial"/>
          <w:sz w:val="20"/>
          <w:szCs w:val="20"/>
        </w:rPr>
        <w:t xml:space="preserve">If a deduction has been allowed in respect of any loss, expenditure, or trading liability in any previous year, and subsequently in any previous year the assessee:</w:t>
      </w:r>
    </w:p>
    <w:p>
      <w:pPr>
        <w:pStyle w:val="ListParagraph"/>
        <w:numPr>
          <w:ilvl w:val="0"/>
          <w:numId w:val="2"/>
        </w:numPr>
        <w:spacing w:after="30" w:before="30"/>
      </w:pPr>
      <w:r>
        <w:rPr>
          <w:rFonts w:ascii="Arial" w:cs="Arial" w:eastAsia="Arial" w:hAnsi="Arial"/>
          <w:sz w:val="20"/>
          <w:szCs w:val="20"/>
        </w:rPr>
        <w:t xml:space="preserve">Obtains any amount by way of remission or cessation of such trading liability, OR</w:t>
      </w:r>
    </w:p>
    <w:p>
      <w:pPr>
        <w:pStyle w:val="ListParagraph"/>
        <w:numPr>
          <w:ilvl w:val="0"/>
          <w:numId w:val="2"/>
        </w:numPr>
        <w:spacing w:after="30" w:before="30"/>
      </w:pPr>
      <w:r>
        <w:rPr>
          <w:rFonts w:ascii="Arial" w:cs="Arial" w:eastAsia="Arial" w:hAnsi="Arial"/>
          <w:sz w:val="20"/>
          <w:szCs w:val="20"/>
        </w:rPr>
        <w:t xml:space="preserve">Receives, in cash or otherwise, the benefit in respect of such trading liability</w:t>
      </w:r>
    </w:p>
    <w:p>
      <w:pPr>
        <w:spacing w:after="50" w:before="50"/>
      </w:pPr>
      <w:r>
        <w:rPr>
          <w:rFonts w:ascii="Arial" w:cs="Arial" w:eastAsia="Arial" w:hAnsi="Arial"/>
          <w:sz w:val="20"/>
          <w:szCs w:val="20"/>
        </w:rPr>
        <w:t xml:space="preserve">then the amount obtained or benefit received is taxable as business income in the year of remission / recovery. This applies even if the assessee is no longer carrying on the business.</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Common examples: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1. Waiver of trade creditor balance previously deducted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2. Insurance claim received for loss previously expensed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3. Waiver of bank loan principal where interest was previously deducted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trading_liability.previously_deducted AND liability.remitted_or_waived: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business_income_s41 = amount_remitted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S41_DEEMED_INCOME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CA_NOTE: "Remission of previously deducted liability — taxable as PGBP"</w:t>
      </w:r>
    </w:p>
    <w:p>
      <w:pPr>
        <w:spacing w:after="30" w:before="30"/>
      </w:pPr>
      <w:r>
        <w:t xml:space="preserve"/>
      </w:r>
    </w:p>
    <w:p>
      <w:pPr>
        <w:pStyle w:val="Heading3"/>
        <w:spacing w:after="60" w:before="200"/>
      </w:pPr>
      <w:r>
        <w:rPr>
          <w:rFonts w:ascii="Arial" w:cs="Arial" w:eastAsia="Arial" w:hAnsi="Arial"/>
          <w:b/>
          <w:bCs/>
          <w:color w:val="2E75B6"/>
          <w:sz w:val="22"/>
          <w:szCs w:val="22"/>
        </w:rPr>
        <w:t xml:space="preserve">11.1.2  s.41(2) — Balancing Charge on Depreciable Asset</w:t>
      </w:r>
    </w:p>
    <w:p>
      <w:pPr>
        <w:spacing w:after="50" w:before="50"/>
      </w:pPr>
      <w:r>
        <w:rPr>
          <w:rFonts w:ascii="Arial" w:cs="Arial" w:eastAsia="Arial" w:hAnsi="Arial"/>
          <w:sz w:val="20"/>
          <w:szCs w:val="20"/>
        </w:rPr>
        <w:t xml:space="preserve">When a depreciable asset in a block is sold and the sale consideration exceeds the written down value of the block, the excess is taxable as STCG under s.50 (not s.41). However, when the block itself becomes nil (all assets in the block are sold), the negative WDV is treated as Short Term Capital Gain — routed to Capital Gains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6E" w:sz="1"/>
              <w:left w:val="single" w:color="1F7A6E" w:sz="1"/>
              <w:bottom w:val="single" w:color="1F7A6E" w:sz="1"/>
              <w:right w:val="single" w:color="1F7A6E" w:sz="1"/>
            </w:tcBorders>
            <w:shd w:fill="E0F0EE" w:val="clear"/>
            <w:tcMar>
              <w:top w:type="dxa" w:w="80"/>
              <w:left w:type="dxa" w:w="180"/>
              <w:bottom w:type="dxa" w:w="80"/>
              <w:right w:type="dxa" w:w="180"/>
            </w:tcMar>
          </w:tcPr>
          <w:p>
            <w:pPr>
              <w:spacing w:after="20" w:before="30"/>
            </w:pPr>
            <w:r>
              <w:rPr>
                <w:rFonts w:ascii="Arial" w:cs="Arial" w:eastAsia="Arial" w:hAnsi="Arial"/>
                <w:b/>
                <w:bCs/>
                <w:color w:val="1F7A6E"/>
                <w:sz w:val="20"/>
                <w:szCs w:val="20"/>
              </w:rPr>
              <w:t xml:space="preserve">↗  CROSS-REF: DOM_Tax_04_CapGains</w:t>
            </w:r>
          </w:p>
          <w:p>
            <w:pPr>
              <w:spacing w:after="20" w:before="0"/>
            </w:pPr>
            <w:r>
              <w:rPr>
                <w:rFonts w:ascii="Arial" w:cs="Arial" w:eastAsia="Arial" w:hAnsi="Arial"/>
                <w:sz w:val="19"/>
                <w:szCs w:val="19"/>
              </w:rPr>
              <w:t xml:space="preserve">Asset sold from depreciable block: if block WDV goes negative after sale, route negative WDV amount to Capital Gains module as STCG.</w:t>
            </w:r>
          </w:p>
          <w:p>
            <w:pPr>
              <w:spacing w:after="20" w:before="0"/>
            </w:pPr>
            <w:r>
              <w:rPr>
                <w:rFonts w:ascii="Arial" w:cs="Arial" w:eastAsia="Arial" w:hAnsi="Arial"/>
                <w:sz w:val="19"/>
                <w:szCs w:val="19"/>
              </w:rPr>
              <w:t xml:space="preserve">Engine must check block WDV after each asset sale event.</w:t>
            </w:r>
          </w:p>
        </w:tc>
      </w:tr>
    </w:tbl>
    <w:p>
      <w:pPr>
        <w:spacing w:after="30" w:before="30"/>
      </w:pPr>
      <w:r>
        <w:t xml:space="preserve"/>
      </w:r>
    </w:p>
    <w:p>
      <w:pPr>
        <w:pStyle w:val="Heading3"/>
        <w:spacing w:after="60" w:before="200"/>
      </w:pPr>
      <w:r>
        <w:rPr>
          <w:rFonts w:ascii="Arial" w:cs="Arial" w:eastAsia="Arial" w:hAnsi="Arial"/>
          <w:b/>
          <w:bCs/>
          <w:color w:val="2E75B6"/>
          <w:sz w:val="22"/>
          <w:szCs w:val="22"/>
        </w:rPr>
        <w:t xml:space="preserve">11.1.3  s.41(4) — Recovery of Bad Debts</w:t>
      </w:r>
    </w:p>
    <w:p>
      <w:pPr>
        <w:spacing w:after="50" w:before="50"/>
      </w:pPr>
      <w:r>
        <w:rPr>
          <w:rFonts w:ascii="Arial" w:cs="Arial" w:eastAsia="Arial" w:hAnsi="Arial"/>
          <w:sz w:val="20"/>
          <w:szCs w:val="20"/>
        </w:rPr>
        <w:t xml:space="preserve">Where a bad debt was previously allowed as a deduction under s.36(1)(vii) and subsequently any amount is recovered in respect of such debt: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bad_debt.previously_written_off AND bad_debt.recovery_received &gt; 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s41_income = min(bad_debt.recovery_received, bad_debt.previously_deducted_amount)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Excess recovery over previously deducted amount: taxable as income only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to the extent of prior deduction</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11.2  s.43CA — Stamp Duty Value as Deemed Sale Consideration (Immovable Property as Stock-in-Trade)</w:t>
      </w:r>
    </w:p>
    <w:p>
      <w:pPr>
        <w:spacing w:after="50" w:before="50"/>
      </w:pPr>
      <w:r>
        <w:rPr>
          <w:rFonts w:ascii="Arial" w:cs="Arial" w:eastAsia="Arial" w:hAnsi="Arial"/>
          <w:sz w:val="20"/>
          <w:szCs w:val="20"/>
        </w:rPr>
        <w:t xml:space="preserve">Where an immovable property is transferred by a business taxpayer (e.g., a real estate developer / builder) and the actual consideration is LESS than the stamp duty value (circle rate value), then the stamp duty value is deemed to be the full value of consideration for computing business income:</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business_sells_immovable_property_as_stock_in_trade: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actual_consideration = contract_value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stamp_duty_value      = guideline_value / circle_rate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actual_consideration &lt; stamp_duty_value: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deemed_consideration = stamp_duty_value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actual_consideration &gt;= stamp_duty_value * 0.90: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Safe harbour: if actual &gt;= 90% of stamp duty value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No uplift required — actual consideration accepted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deemed_consideration = actual_consideration</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9E8F5" w:val="clear"/>
            <w:tcMar>
              <w:top w:type="dxa" w:w="80"/>
              <w:left w:type="dxa" w:w="180"/>
              <w:bottom w:type="dxa" w:w="80"/>
              <w:right w:type="dxa" w:w="180"/>
            </w:tcMar>
          </w:tcPr>
          <w:p>
            <w:pPr>
              <w:spacing w:after="20" w:before="30"/>
            </w:pPr>
            <w:r>
              <w:rPr>
                <w:rFonts w:ascii="Arial" w:cs="Arial" w:eastAsia="Arial" w:hAnsi="Arial"/>
                <w:b/>
                <w:bCs/>
                <w:color w:val="2E75B6"/>
                <w:sz w:val="20"/>
                <w:szCs w:val="20"/>
              </w:rPr>
              <w:t xml:space="preserve">📌  s.43CA SAFE HARBOUR</w:t>
            </w:r>
          </w:p>
          <w:p>
            <w:pPr>
              <w:spacing w:after="20" w:before="0"/>
            </w:pPr>
            <w:r>
              <w:rPr>
                <w:rFonts w:ascii="Arial" w:cs="Arial" w:eastAsia="Arial" w:hAnsi="Arial"/>
                <w:sz w:val="19"/>
                <w:szCs w:val="19"/>
              </w:rPr>
              <w:t xml:space="preserve">No s.43CA adjustment if actual sale consideration is &gt;= 90% of stamp duty value.</w:t>
            </w:r>
          </w:p>
          <w:p>
            <w:pPr>
              <w:spacing w:after="20" w:before="0"/>
            </w:pPr>
            <w:r>
              <w:rPr>
                <w:rFonts w:ascii="Arial" w:cs="Arial" w:eastAsia="Arial" w:hAnsi="Arial"/>
                <w:sz w:val="19"/>
                <w:szCs w:val="19"/>
              </w:rPr>
              <w:t xml:space="preserve">The safe harbour was enhanced from 90% to 110% for residential properties sold by developers for FY 2020-21 and FY 2021-22 only — that special relaxation has since expired.</w:t>
            </w:r>
          </w:p>
          <w:p>
            <w:pPr>
              <w:spacing w:after="20" w:before="0"/>
            </w:pPr>
            <w:r>
              <w:rPr>
                <w:rFonts w:ascii="Arial" w:cs="Arial" w:eastAsia="Arial" w:hAnsi="Arial"/>
                <w:sz w:val="19"/>
                <w:szCs w:val="19"/>
              </w:rPr>
              <w:t xml:space="preserve">For AY 2025-26: standard safe harbour is 90%.</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11.3  Closing Stock Valuation</w:t>
      </w:r>
    </w:p>
    <w:p>
      <w:pPr>
        <w:spacing w:after="50" w:before="50"/>
      </w:pPr>
      <w:r>
        <w:rPr>
          <w:rFonts w:ascii="Arial" w:cs="Arial" w:eastAsia="Arial" w:hAnsi="Arial"/>
          <w:sz w:val="20"/>
          <w:szCs w:val="20"/>
        </w:rPr>
        <w:t xml:space="preserve">Business income is affected by closing stock valuation. The correct method for income tax purposes is:</w:t>
      </w:r>
    </w:p>
    <w:p>
      <w:pPr>
        <w:pStyle w:val="ListParagraph"/>
        <w:numPr>
          <w:ilvl w:val="0"/>
          <w:numId w:val="2"/>
        </w:numPr>
        <w:spacing w:after="30" w:before="30"/>
      </w:pPr>
      <w:r>
        <w:rPr>
          <w:rFonts w:ascii="Arial" w:cs="Arial" w:eastAsia="Arial" w:hAnsi="Arial"/>
          <w:sz w:val="20"/>
          <w:szCs w:val="20"/>
        </w:rPr>
        <w:t xml:space="preserve">Cost or Net Realisable Value — whichever is LOWER (consistent with AS 2 / Ind AS 2)</w:t>
      </w:r>
    </w:p>
    <w:p>
      <w:pPr>
        <w:pStyle w:val="ListParagraph"/>
        <w:numPr>
          <w:ilvl w:val="0"/>
          <w:numId w:val="2"/>
        </w:numPr>
        <w:spacing w:after="30" w:before="30"/>
      </w:pPr>
      <w:r>
        <w:rPr>
          <w:rFonts w:ascii="Arial" w:cs="Arial" w:eastAsia="Arial" w:hAnsi="Arial"/>
          <w:sz w:val="20"/>
          <w:szCs w:val="20"/>
        </w:rPr>
        <w:t xml:space="preserve">The assessee must consistently follow the same method year on year — change of method requires disclosure and approval</w:t>
      </w:r>
    </w:p>
    <w:p>
      <w:pPr>
        <w:pStyle w:val="ListParagraph"/>
        <w:numPr>
          <w:ilvl w:val="0"/>
          <w:numId w:val="2"/>
        </w:numPr>
        <w:spacing w:after="30" w:before="30"/>
      </w:pPr>
      <w:r>
        <w:rPr>
          <w:rFonts w:ascii="Arial" w:cs="Arial" w:eastAsia="Arial" w:hAnsi="Arial"/>
          <w:sz w:val="20"/>
          <w:szCs w:val="20"/>
        </w:rPr>
        <w:t xml:space="preserve">The Income Tax Act does not prescribe a specific method but follows commercial accounting conventions</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closing_stock_value = min(cost_of_stock, net_realisable_value)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business_income_impact = closing_stock - opening_stock  // Positive = income</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STOCK MANIPULATION CHECK</w:t>
            </w:r>
          </w:p>
          <w:p>
            <w:pPr>
              <w:spacing w:after="20" w:before="0"/>
            </w:pPr>
            <w:r>
              <w:rPr>
                <w:rFonts w:ascii="Arial" w:cs="Arial" w:eastAsia="Arial" w:hAnsi="Arial"/>
                <w:sz w:val="19"/>
                <w:szCs w:val="19"/>
              </w:rPr>
              <w:t xml:space="preserve">AOs frequently scrutinise closing stock valuations. Unexplained changes in GP ratio, low closing stock declarations, or inconsistency between books and physical inventory are common audit triggers.</w:t>
            </w:r>
          </w:p>
          <w:p>
            <w:pPr>
              <w:spacing w:after="20" w:before="0"/>
            </w:pPr>
            <w:r>
              <w:rPr>
                <w:rFonts w:ascii="Arial" w:cs="Arial" w:eastAsia="Arial" w:hAnsi="Arial"/>
                <w:sz w:val="19"/>
                <w:szCs w:val="19"/>
              </w:rPr>
              <w:t xml:space="preserve">Engine should flag: IF gross_profit_ratio deviation from prior year &gt; 10%, surface for CA review.</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11.4  Conversion of Capital Asset to Stock-in-Trade</w:t>
      </w:r>
    </w:p>
    <w:p>
      <w:pPr>
        <w:spacing w:after="50" w:before="50"/>
      </w:pPr>
      <w:r>
        <w:rPr>
          <w:rFonts w:ascii="Arial" w:cs="Arial" w:eastAsia="Arial" w:hAnsi="Arial"/>
          <w:sz w:val="20"/>
          <w:szCs w:val="20"/>
        </w:rPr>
        <w:t xml:space="preserve">When a personal capital asset is converted by the taxpayer into business stock-in-trade:</w:t>
      </w:r>
    </w:p>
    <w:p>
      <w:pPr>
        <w:pStyle w:val="ListParagraph"/>
        <w:numPr>
          <w:ilvl w:val="0"/>
          <w:numId w:val="2"/>
        </w:numPr>
        <w:spacing w:after="30" w:before="30"/>
      </w:pPr>
      <w:r>
        <w:rPr>
          <w:rFonts w:ascii="Arial" w:cs="Arial" w:eastAsia="Arial" w:hAnsi="Arial"/>
          <w:sz w:val="20"/>
          <w:szCs w:val="20"/>
        </w:rPr>
        <w:t xml:space="preserve">A deemed capital gain arises on the DATE OF CONVERSION — computed as FMV on conversion date minus original cost of acquisition</w:t>
      </w:r>
    </w:p>
    <w:p>
      <w:pPr>
        <w:pStyle w:val="ListParagraph"/>
        <w:numPr>
          <w:ilvl w:val="0"/>
          <w:numId w:val="2"/>
        </w:numPr>
        <w:spacing w:after="30" w:before="30"/>
      </w:pPr>
      <w:r>
        <w:rPr>
          <w:rFonts w:ascii="Arial" w:cs="Arial" w:eastAsia="Arial" w:hAnsi="Arial"/>
          <w:sz w:val="20"/>
          <w:szCs w:val="20"/>
        </w:rPr>
        <w:t xml:space="preserve">The FMV on conversion date becomes the cost of stock for business income purposes</w:t>
      </w:r>
    </w:p>
    <w:p>
      <w:pPr>
        <w:pStyle w:val="ListParagraph"/>
        <w:numPr>
          <w:ilvl w:val="0"/>
          <w:numId w:val="2"/>
        </w:numPr>
        <w:spacing w:after="30" w:before="30"/>
      </w:pPr>
      <w:r>
        <w:rPr>
          <w:rFonts w:ascii="Arial" w:cs="Arial" w:eastAsia="Arial" w:hAnsi="Arial"/>
          <w:sz w:val="20"/>
          <w:szCs w:val="20"/>
        </w:rPr>
        <w:t xml:space="preserve">Business income on eventual sale = Sale Price minus FMV on conversion date</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Step 1: Conversion event — Capital Gains head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deemed_cg = fmv_on_conversion - original_cost_of_acquisition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route_to: DOM_Tax_04_CapGains (LTCG or STCG based on holding period)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Step 2: Eventual sale — PGBP head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business_income_on_sale = sale_price - fmv_on_conversion</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11.5  Discontinuation of Business</w:t>
      </w:r>
    </w:p>
    <w:p>
      <w:pPr>
        <w:spacing w:after="50" w:before="50"/>
      </w:pPr>
      <w:r>
        <w:rPr>
          <w:rFonts w:ascii="Arial" w:cs="Arial" w:eastAsia="Arial" w:hAnsi="Arial"/>
          <w:sz w:val="20"/>
          <w:szCs w:val="20"/>
        </w:rPr>
        <w:t xml:space="preserve">When a business is discontinued or wound up:</w:t>
      </w:r>
    </w:p>
    <w:p>
      <w:pPr>
        <w:pStyle w:val="ListParagraph"/>
        <w:numPr>
          <w:ilvl w:val="0"/>
          <w:numId w:val="2"/>
        </w:numPr>
        <w:spacing w:after="30" w:before="30"/>
      </w:pPr>
      <w:r>
        <w:rPr>
          <w:rFonts w:ascii="Arial" w:cs="Arial" w:eastAsia="Arial" w:hAnsi="Arial"/>
          <w:sz w:val="20"/>
          <w:szCs w:val="20"/>
        </w:rPr>
        <w:t xml:space="preserve">Unsold closing stock must be brought to book at FMV / market value in the final year — not at cost. Income arises on mark-up from cost to FMV.</w:t>
      </w:r>
    </w:p>
    <w:p>
      <w:pPr>
        <w:pStyle w:val="ListParagraph"/>
        <w:numPr>
          <w:ilvl w:val="0"/>
          <w:numId w:val="2"/>
        </w:numPr>
        <w:spacing w:after="30" w:before="30"/>
      </w:pPr>
      <w:r>
        <w:rPr>
          <w:rFonts w:ascii="Arial" w:cs="Arial" w:eastAsia="Arial" w:hAnsi="Arial"/>
          <w:sz w:val="20"/>
          <w:szCs w:val="20"/>
        </w:rPr>
        <w:t xml:space="preserve">Uncollected debtors written off: allowable as bad debts if previously included in income</w:t>
      </w:r>
    </w:p>
    <w:p>
      <w:pPr>
        <w:pStyle w:val="ListParagraph"/>
        <w:numPr>
          <w:ilvl w:val="0"/>
          <w:numId w:val="2"/>
        </w:numPr>
        <w:spacing w:after="30" w:before="30"/>
      </w:pPr>
      <w:r>
        <w:rPr>
          <w:rFonts w:ascii="Arial" w:cs="Arial" w:eastAsia="Arial" w:hAnsi="Arial"/>
          <w:sz w:val="20"/>
          <w:szCs w:val="20"/>
        </w:rPr>
        <w:t xml:space="preserve">Sale of business assets after discontinuation: Capital Gains provisions apply (not PGBP)</w:t>
      </w:r>
    </w:p>
    <w:p>
      <w:pPr>
        <w:pStyle w:val="ListParagraph"/>
        <w:numPr>
          <w:ilvl w:val="0"/>
          <w:numId w:val="2"/>
        </w:numPr>
        <w:spacing w:after="30" w:before="30"/>
      </w:pPr>
      <w:r>
        <w:rPr>
          <w:rFonts w:ascii="Arial" w:cs="Arial" w:eastAsia="Arial" w:hAnsi="Arial"/>
          <w:sz w:val="20"/>
          <w:szCs w:val="20"/>
        </w:rPr>
        <w:t xml:space="preserve">Carried forward business losses: continue to be eligible for set-off in post-discontinuation years against income from the same business, if revived, OR against other income under normal rules</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12  —  Loss Set-Off and Carry Forward: s.72, s.73, s.74</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12.1  Loss Priority and Sequence</w:t>
      </w:r>
    </w:p>
    <w:p>
      <w:pPr>
        <w:spacing w:after="50" w:before="50"/>
      </w:pPr>
      <w:r>
        <w:rPr>
          <w:rFonts w:ascii="Arial" w:cs="Arial" w:eastAsia="Arial" w:hAnsi="Arial"/>
          <w:sz w:val="20"/>
          <w:szCs w:val="20"/>
        </w:rPr>
        <w:t xml:space="preserve">The engine must apply set-off in the correct statutory sequence. Skipping steps or applying set-off out of order can result in incorrect tax computation:</w:t>
      </w:r>
    </w:p>
    <w:p>
      <w:pPr>
        <w:spacing w:after="30" w:before="30"/>
      </w:pPr>
      <w:r>
        <w:t xml:space="preserve"/>
      </w:r>
    </w:p>
    <w:p>
      <w:pPr>
        <w:pStyle w:val="ListParagraph"/>
        <w:numPr>
          <w:ilvl w:val="0"/>
          <w:numId w:val="3"/>
        </w:numPr>
        <w:spacing w:after="30" w:before="30"/>
      </w:pPr>
      <w:r>
        <w:rPr>
          <w:rFonts w:ascii="Arial" w:cs="Arial" w:eastAsia="Arial" w:hAnsi="Arial"/>
          <w:sz w:val="20"/>
          <w:szCs w:val="20"/>
        </w:rPr>
        <w:t xml:space="preserve">Speculative losses: set off ONLY against speculative profits (same year first, then brought forward — oldest first, max 4 years)</w:t>
      </w:r>
    </w:p>
    <w:p>
      <w:pPr>
        <w:pStyle w:val="ListParagraph"/>
        <w:numPr>
          <w:ilvl w:val="0"/>
          <w:numId w:val="3"/>
        </w:numPr>
        <w:spacing w:after="30" w:before="30"/>
      </w:pPr>
      <w:r>
        <w:rPr>
          <w:rFonts w:ascii="Arial" w:cs="Arial" w:eastAsia="Arial" w:hAnsi="Arial"/>
          <w:sz w:val="20"/>
          <w:szCs w:val="20"/>
        </w:rPr>
        <w:t xml:space="preserve">Non-speculative business losses: set off against any PGBP income (speculative or non-speculative) in the same year</w:t>
      </w:r>
    </w:p>
    <w:p>
      <w:pPr>
        <w:pStyle w:val="ListParagraph"/>
        <w:numPr>
          <w:ilvl w:val="0"/>
          <w:numId w:val="3"/>
        </w:numPr>
        <w:spacing w:after="30" w:before="30"/>
      </w:pPr>
      <w:r>
        <w:rPr>
          <w:rFonts w:ascii="Arial" w:cs="Arial" w:eastAsia="Arial" w:hAnsi="Arial"/>
          <w:sz w:val="20"/>
          <w:szCs w:val="20"/>
        </w:rPr>
        <w:t xml:space="preserve">Remaining non-speculative loss: set off against any other income EXCEPT salary (rental income, capital gains, other sources — all eligible)</w:t>
      </w:r>
    </w:p>
    <w:p>
      <w:pPr>
        <w:pStyle w:val="ListParagraph"/>
        <w:numPr>
          <w:ilvl w:val="0"/>
          <w:numId w:val="3"/>
        </w:numPr>
        <w:spacing w:after="30" w:before="30"/>
      </w:pPr>
      <w:r>
        <w:rPr>
          <w:rFonts w:ascii="Arial" w:cs="Arial" w:eastAsia="Arial" w:hAnsi="Arial"/>
          <w:sz w:val="20"/>
          <w:szCs w:val="20"/>
        </w:rPr>
        <w:t xml:space="preserve">Unabsorbed depreciation: applied last, against income from ANY head including salary — no restrictions</w:t>
      </w:r>
    </w:p>
    <w:p>
      <w:pPr>
        <w:pStyle w:val="ListParagraph"/>
        <w:numPr>
          <w:ilvl w:val="0"/>
          <w:numId w:val="3"/>
        </w:numPr>
        <w:spacing w:after="30" w:before="30"/>
      </w:pPr>
      <w:r>
        <w:rPr>
          <w:rFonts w:ascii="Arial" w:cs="Arial" w:eastAsia="Arial" w:hAnsi="Arial"/>
          <w:sz w:val="20"/>
          <w:szCs w:val="20"/>
        </w:rPr>
        <w:t xml:space="preserve">Carry forward of residual unabsorbed losses per the applicable time limits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12.2  Complete Loss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Loss Type</w:t>
            </w:r>
          </w:p>
        </w:tc>
        <w:tc>
          <w:tcPr>
            <w:tcW w:type="dxa" w:w="2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Intra-Head Set-Off (PGBP)</w:t>
            </w:r>
          </w:p>
        </w:tc>
        <w:tc>
          <w:tcPr>
            <w:tcW w:type="dxa" w:w="26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Inter-Head Set-Off</w:t>
            </w:r>
          </w:p>
        </w:tc>
        <w:tc>
          <w:tcPr>
            <w:tcW w:type="dxa" w:w="25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Carry Forward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Speculative Loss (s.73)</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Against speculative profit only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NOT permitted</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4 years — only vs speculative profit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Non-Speculative Business Loss (s.72)</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Against any PGBP income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Against all income EXCEPT salary</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8 years — against PGBP income only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Unabsorbed Depreciation (s.32)</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Against any PGBP income first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Against income from ANY head</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Indefinite — even against salary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F&amp;O Loss (sub-type of non-speculative)</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Against any PGBP income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Against rental, CG, other sources — NOT salary</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8 years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Professional Loss (non-speculative)</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Against any PGBP income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Against rental, CG, other sources — NOT salary</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8 years</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DECEA" w:val="clear"/>
            <w:tcMar>
              <w:top w:type="dxa" w:w="80"/>
              <w:left w:type="dxa" w:w="180"/>
              <w:bottom w:type="dxa" w:w="80"/>
              <w:right w:type="dxa" w:w="180"/>
            </w:tcMar>
          </w:tcPr>
          <w:p>
            <w:pPr>
              <w:spacing w:after="20" w:before="30"/>
            </w:pPr>
            <w:r>
              <w:rPr>
                <w:rFonts w:ascii="Arial" w:cs="Arial" w:eastAsia="Arial" w:hAnsi="Arial"/>
                <w:b/>
                <w:bCs/>
                <w:color w:val="C00000"/>
                <w:sz w:val="20"/>
                <w:szCs w:val="20"/>
              </w:rPr>
              <w:t xml:space="preserve">🚫  SALARY CANNOT ABSORB BUSINESS LOSSES</w:t>
            </w:r>
          </w:p>
          <w:p>
            <w:pPr>
              <w:spacing w:after="20" w:before="0"/>
            </w:pPr>
            <w:r>
              <w:rPr>
                <w:rFonts w:ascii="Arial" w:cs="Arial" w:eastAsia="Arial" w:hAnsi="Arial"/>
                <w:sz w:val="19"/>
                <w:szCs w:val="19"/>
              </w:rPr>
              <w:t xml:space="preserve">This is the most commonly misunderstood rule in PGBP taxation.</w:t>
            </w:r>
          </w:p>
          <w:p>
            <w:pPr>
              <w:spacing w:after="20" w:before="0"/>
            </w:pPr>
            <w:r>
              <w:rPr>
                <w:rFonts w:ascii="Arial" w:cs="Arial" w:eastAsia="Arial" w:hAnsi="Arial"/>
                <w:sz w:val="19"/>
                <w:szCs w:val="19"/>
              </w:rPr>
              <w:t xml:space="preserve">A salaried individual who also has F&amp;O losses CANNOT reduce their salary income by F&amp;O losses.</w:t>
            </w:r>
          </w:p>
          <w:p>
            <w:pPr>
              <w:spacing w:after="20" w:before="0"/>
            </w:pPr>
            <w:r>
              <w:rPr>
                <w:rFonts w:ascii="Arial" w:cs="Arial" w:eastAsia="Arial" w:hAnsi="Arial"/>
                <w:sz w:val="19"/>
                <w:szCs w:val="19"/>
              </w:rPr>
              <w:t xml:space="preserve">Salary is FULLY protected from any business loss set-off — both current year and brought-forward.</w:t>
            </w:r>
          </w:p>
          <w:p>
            <w:pPr>
              <w:spacing w:after="20" w:before="0"/>
            </w:pPr>
            <w:r>
              <w:rPr>
                <w:rFonts w:ascii="Arial" w:cs="Arial" w:eastAsia="Arial" w:hAnsi="Arial"/>
                <w:sz w:val="19"/>
                <w:szCs w:val="19"/>
              </w:rPr>
              <w:t xml:space="preserve">The F&amp;O loss is either set off against other non-salary income (if any) or carried forward to next year.</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12.3  Carry Forward — Return Filing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BELATED RETURN FORFEITS LOSS CARRY FORWARD</w:t>
            </w:r>
          </w:p>
          <w:p>
            <w:pPr>
              <w:spacing w:after="20" w:before="0"/>
            </w:pPr>
            <w:r>
              <w:rPr>
                <w:rFonts w:ascii="Arial" w:cs="Arial" w:eastAsia="Arial" w:hAnsi="Arial"/>
                <w:sz w:val="19"/>
                <w:szCs w:val="19"/>
              </w:rPr>
              <w:t xml:space="preserve">Business losses (both speculative and non-speculative) can be carried forward ONLY if the return is filed ON OR BEFORE the due date (s.80).</w:t>
            </w:r>
          </w:p>
          <w:p>
            <w:pPr>
              <w:spacing w:after="20" w:before="0"/>
            </w:pPr>
            <w:r>
              <w:rPr>
                <w:rFonts w:ascii="Arial" w:cs="Arial" w:eastAsia="Arial" w:hAnsi="Arial"/>
                <w:sz w:val="19"/>
                <w:szCs w:val="19"/>
              </w:rPr>
              <w:t xml:space="preserve">A belated return filed after the due date permanently forfeits the right to carry forward these losses.</w:t>
            </w:r>
          </w:p>
          <w:p>
            <w:pPr>
              <w:spacing w:after="20" w:before="0"/>
            </w:pPr>
            <w:r>
              <w:rPr>
                <w:rFonts w:ascii="Arial" w:cs="Arial" w:eastAsia="Arial" w:hAnsi="Arial"/>
                <w:sz w:val="19"/>
                <w:szCs w:val="19"/>
              </w:rPr>
              <w:t xml:space="preserve">Unabsorbed depreciation is the SOLE EXCEPTION — it can be carried forward even with a belated return.</w:t>
            </w:r>
          </w:p>
          <w:p>
            <w:pPr>
              <w:spacing w:after="20" w:before="0"/>
            </w:pPr>
            <w:r>
              <w:rPr>
                <w:rFonts w:ascii="Arial" w:cs="Arial" w:eastAsia="Arial" w:hAnsi="Arial"/>
                <w:sz w:val="19"/>
                <w:szCs w:val="19"/>
              </w:rPr>
              <w:t xml:space="preserve">Engine must display this warning prominently for any taxpayer with business losses AND must check return filing date.</w:t>
            </w:r>
          </w:p>
        </w:tc>
      </w:tr>
    </w:tbl>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return_filing_date &gt; return_due_date: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DISALLOW carry forward: speculative_loss, non_speculative_loss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ALLOW carry forward:    unabsorbed_depreciation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LOSS_CARRY_FORWARD_LAPSED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CA_NOTE: "File return before due date to preserve loss carry forward"</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12.4  Brought-Forward Loss Priority Queue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Engine carry-forward application logic</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bf_losses.sort_by(year_of_origin, ascending)  // Oldest loss consumed first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FOR each bf_loss IN bf_losses: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years_elapsed = current_ay - bf_loss.origin_ay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years_elapsed &gt; bf_loss.max_carryforward_years: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EXPIRE bf_loss; FLAG: LOSS_LAPSED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CONTINUE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bf_loss.type == SPECULATIVE: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absorb(bf_loss, available_speculative_profit)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ELIF bf_loss.type == NON_SPECULATIVE: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absorb(bf_loss, available_pgbp_income)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ELIF bf_loss.type == UNABSORBED_DEPRECIATION: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absorb(bf_loss, any_available_income_all_heads)</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13  —  Alternative Minimum Tax (AMT): s.115JC</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13.1  AMT Applicability to Individual Business Taxpayers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AMT APPLIES TO INDIVIDUALS WITH CERTAIN DEDUCTIONS</w:t>
            </w:r>
          </w:p>
          <w:p>
            <w:pPr>
              <w:spacing w:after="20" w:before="0"/>
            </w:pPr>
            <w:r>
              <w:rPr>
                <w:rFonts w:ascii="Arial" w:cs="Arial" w:eastAsia="Arial" w:hAnsi="Arial"/>
                <w:sz w:val="19"/>
                <w:szCs w:val="19"/>
              </w:rPr>
              <w:t xml:space="preserve">AMT under s.115JC applies to INDIVIDUALS (and other non-corporate taxpayers) who have claimed deductions under:</w:t>
            </w:r>
          </w:p>
          <w:p>
            <w:pPr>
              <w:spacing w:after="20" w:before="0"/>
            </w:pPr>
            <w:r>
              <w:rPr>
                <w:rFonts w:ascii="Arial" w:cs="Arial" w:eastAsia="Arial" w:hAnsi="Arial"/>
                <w:sz w:val="19"/>
                <w:szCs w:val="19"/>
              </w:rPr>
              <w:t xml:space="preserve">s.80H to s.80RRB (profit-linked deductions: 80IC, 80IE, 80-IB, 80-IA etc.)</w:t>
            </w:r>
          </w:p>
          <w:p>
            <w:pPr>
              <w:spacing w:after="20" w:before="0"/>
            </w:pPr>
            <w:r>
              <w:rPr>
                <w:rFonts w:ascii="Arial" w:cs="Arial" w:eastAsia="Arial" w:hAnsi="Arial"/>
                <w:sz w:val="19"/>
                <w:szCs w:val="19"/>
              </w:rPr>
              <w:t xml:space="preserve">s.10AA (SEZ unit deduction)</w:t>
            </w:r>
          </w:p>
          <w:p>
            <w:pPr>
              <w:spacing w:after="20" w:before="0"/>
            </w:pPr>
            <w:r>
              <w:rPr>
                <w:rFonts w:ascii="Arial" w:cs="Arial" w:eastAsia="Arial" w:hAnsi="Arial"/>
                <w:sz w:val="19"/>
                <w:szCs w:val="19"/>
              </w:rPr>
              <w:t xml:space="preserve">s.35AD (capital expenditure deduction for specified businesses)</w:t>
            </w:r>
          </w:p>
          <w:p>
            <w:pPr>
              <w:spacing w:after="20" w:before="0"/>
            </w:pPr>
            <w:r>
              <w:rPr>
                <w:rFonts w:ascii="Arial" w:cs="Arial" w:eastAsia="Arial" w:hAnsi="Arial"/>
                <w:sz w:val="19"/>
                <w:szCs w:val="19"/>
              </w:rPr>
              <w:t xml:space="preserve">If adjusted total income exceeds INR 20 lakh, AMT at 18.5% (plus surcharge and cess) applies if it exceeds normal tax.</w:t>
            </w:r>
          </w:p>
          <w:p>
            <w:pPr>
              <w:spacing w:after="20" w:before="0"/>
            </w:pPr>
            <w:r>
              <w:rPr>
                <w:rFonts w:ascii="Arial" w:cs="Arial" w:eastAsia="Arial" w:hAnsi="Arial"/>
                <w:sz w:val="19"/>
                <w:szCs w:val="19"/>
              </w:rPr>
              <w:t xml:space="preserve">MAT (s.115JB) applies to COMPANIES ONLY — NOT to individual taxpayers.</w:t>
            </w:r>
          </w:p>
        </w:tc>
      </w:tr>
    </w:tbl>
    <w:p>
      <w:pPr>
        <w:spacing w:after="30" w:before="30"/>
      </w:pPr>
      <w:r>
        <w:t xml:space="preserve"/>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Parameter</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Applicable To</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Individual, HUF, AOP, BOI, Artificial Juridical Person — NOT companies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Trigger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Claiming deductions under s.10AA, s.35AD, s.80H to s.80RRB</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AMT Rate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18.5% on Adjusted Total Income (plus 15% surcharge if ATI &gt; 1 crore, 25% &gt; 2 crore)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Adjusted Total Income (ATI)</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income AFTER adding back deductions under s.10AA, s.35AD, s.80H to s.80RRB</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AMT Credit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AMT paid over normal tax becomes AMT credit — can be carried forward for 15 years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ATI Threshold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AMT applies only if ATI &gt; INR 20 lakh</w:t>
            </w:r>
          </w:p>
        </w:tc>
      </w:tr>
    </w:tbl>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ati = total_income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deductions_claimed_under_s10AA</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deductions_claimed_under_s35AD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 deductions_claimed_under_s80H_to_s80RRB</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ati &gt; 20_lakh:</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amt_liability = ati * 0.185  // + surcharge + cess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normal_tax    = compute_slab_tax(total_income)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amt_liability &gt; normal_tax:</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tax_payable = amt_liability</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amt_credit  = amt_liability - normal_tax</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AMT_APPLICABLE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ELSE: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tax_payable = normal_tax</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13.2  MAT is NOT Applicable to Individuals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
              <w:left w:val="single" w:color="548235" w:sz="1"/>
              <w:bottom w:val="single" w:color="548235" w:sz="1"/>
              <w:right w:val="single" w:color="548235" w:sz="1"/>
            </w:tcBorders>
            <w:shd w:fill="E2EFDA" w:val="clear"/>
            <w:tcMar>
              <w:top w:type="dxa" w:w="80"/>
              <w:left w:type="dxa" w:w="180"/>
              <w:bottom w:type="dxa" w:w="80"/>
              <w:right w:type="dxa" w:w="180"/>
            </w:tcMar>
          </w:tcPr>
          <w:p>
            <w:pPr>
              <w:spacing w:after="20" w:before="30"/>
            </w:pPr>
            <w:r>
              <w:rPr>
                <w:rFonts w:ascii="Arial" w:cs="Arial" w:eastAsia="Arial" w:hAnsi="Arial"/>
                <w:b/>
                <w:bCs/>
                <w:color w:val="548235"/>
                <w:sz w:val="20"/>
                <w:szCs w:val="20"/>
              </w:rPr>
              <w:t xml:space="preserve">✅  MAT CLARIFICATION</w:t>
            </w:r>
          </w:p>
          <w:p>
            <w:pPr>
              <w:spacing w:after="20" w:before="0"/>
            </w:pPr>
            <w:r>
              <w:rPr>
                <w:rFonts w:ascii="Arial" w:cs="Arial" w:eastAsia="Arial" w:hAnsi="Arial"/>
                <w:sz w:val="19"/>
                <w:szCs w:val="19"/>
              </w:rPr>
              <w:t xml:space="preserve">MAT (Minimum Alternate Tax) under s.115JB applies ONLY to companies.</w:t>
            </w:r>
          </w:p>
          <w:p>
            <w:pPr>
              <w:spacing w:after="20" w:before="0"/>
            </w:pPr>
            <w:r>
              <w:rPr>
                <w:rFonts w:ascii="Arial" w:cs="Arial" w:eastAsia="Arial" w:hAnsi="Arial"/>
                <w:sz w:val="19"/>
                <w:szCs w:val="19"/>
              </w:rPr>
              <w:t xml:space="preserve">Individual taxpayers — including those with substantial business income — are NOT subject to MAT.</w:t>
            </w:r>
          </w:p>
          <w:p>
            <w:pPr>
              <w:spacing w:after="20" w:before="0"/>
            </w:pPr>
            <w:r>
              <w:rPr>
                <w:rFonts w:ascii="Arial" w:cs="Arial" w:eastAsia="Arial" w:hAnsi="Arial"/>
                <w:sz w:val="19"/>
                <w:szCs w:val="19"/>
              </w:rPr>
              <w:t xml:space="preserve">Engine must NOT compute MAT for any individual taxpayer. Only AMT (s.115JC) is relevant.</w:t>
            </w:r>
          </w:p>
        </w:tc>
      </w:tr>
    </w:tbl>
    <w:p>
      <w:pPr>
        <w:spacing w:after="30" w:before="30"/>
      </w:pPr>
      <w:r>
        <w:t xml:space="preserve"/>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14  —  Chapter VI-A Deductions Available to Business Taxpayers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14.1  General Deductions Available Regardless of Income Head</w:t>
      </w:r>
    </w:p>
    <w:p>
      <w:pPr>
        <w:spacing w:after="50" w:before="50"/>
      </w:pPr>
      <w:r>
        <w:rPr>
          <w:rFonts w:ascii="Arial" w:cs="Arial" w:eastAsia="Arial" w:hAnsi="Arial"/>
          <w:sz w:val="20"/>
          <w:szCs w:val="20"/>
        </w:rPr>
        <w:t xml:space="preserve">These deductions are available to an individual taxpayer with business income (under Old Regime):</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Section</w:t>
            </w:r>
          </w:p>
        </w:tc>
        <w:tc>
          <w:tcPr>
            <w:tcW w:type="dxa" w:w="3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Deduction</w:t>
            </w:r>
          </w:p>
        </w:tc>
        <w:tc>
          <w:tcPr>
            <w:tcW w:type="dxa" w:w="31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Limit / 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s.80C</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LIC, PPF, EPF, NSC, ELSS, Home Loan Principal, Tuition Fees, 5-yr FD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INR 1.5 lakh per year (combined)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s.80CCC</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Premium for annuity plan of LIC or other insurer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Within 80C limit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s.80CCD(1)</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NPS contribution by individual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10% of gross total income; within 80C limit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s.80CCD(1B)</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Additional NPS contribution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INR 50,000 over and above 80C limit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Health insurance premium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INR 25,000 (self/family); INR 50,000 if any member is senior citizen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s.80DD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Disabled dependent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INR 75,000 or INR 1,25,000 for severe disability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s.80DDB</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Treatment of specified diseases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INR 40,000 (INR 1 lakh for senior citizen)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Interest on education loan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Full interest for 8 years from start of repayment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s.80EEB</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Interest on loan for electric vehicle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INR 1.5 lakh; loan sanctioned between 01/04/2019 and 31/03/2023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s.80G</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Donations to approved funds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50% to 100% of donation depending on fund; some with qualifying limits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s.80GG</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Rent paid (if not in salaried HRA)</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INR 5,000/month or 25% of income or rent - 10% of income — least of three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s.80TTA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Interest on savings bank account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INR 10,000 (not applicable to senior citizens — use 80TTB)</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s.80TTB</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Interest from bank deposits (senior citizens)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INR 50,000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s.80U</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Self with disability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INR 75,000 or INR 1,25,000 for severe disability</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14.2  Business-Specific Deductions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Section</w:t>
            </w:r>
          </w:p>
        </w:tc>
        <w:tc>
          <w:tcPr>
            <w:tcW w:type="dxa" w:w="3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Deduction</w:t>
            </w:r>
          </w:p>
        </w:tc>
        <w:tc>
          <w:tcPr>
            <w:tcW w:type="dxa" w:w="31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s.80-IA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Profits of infrastructure development undertakings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100% of profits for 10 years out of 15/20 years; subject to conditions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s.80-IB</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Profits from industrial undertakings (various)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Multiple sub-clauses; percentage varies from 25% to 100%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s.80IC</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Profits from business in special category states (Himachal Pradesh, Uttaranchal, NE states)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100% deduction for initial years; 30% thereafter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s.80IE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Profits from manufacturing in NE states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100% deduction for 10 consecutive AYs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s.80JJAA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30% of additional wages paid to new regular employees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Employee must be employed for 240+ days in year; applicable to taxpayer with audit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s.10AA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Profits of SEZ units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Tax holiday — 100% for 5 years, 50% for next 5 years, 50% of export profits reinvested for next 5 years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s.35AD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Capital expenditure for specified businesses (cold chain, hospital, hotel, affordable housing, etc.)</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100% of capital expenditure deductible in year of commencement; triggers AMT</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14.3  s.80JJAA — New Employee Deduction (Detail)</w:t>
      </w:r>
    </w:p>
    <w:p>
      <w:pPr>
        <w:spacing w:after="50" w:before="50"/>
      </w:pPr>
      <w:r>
        <w:rPr>
          <w:rFonts w:ascii="Arial" w:cs="Arial" w:eastAsia="Arial" w:hAnsi="Arial"/>
          <w:sz w:val="20"/>
          <w:szCs w:val="20"/>
        </w:rPr>
        <w:t xml:space="preserve">s.80JJAA provides a deduction of 30% of additional employee cost for 3 consecutive assessment years. Conditions:</w:t>
      </w:r>
    </w:p>
    <w:p>
      <w:pPr>
        <w:pStyle w:val="ListParagraph"/>
        <w:numPr>
          <w:ilvl w:val="0"/>
          <w:numId w:val="2"/>
        </w:numPr>
        <w:spacing w:after="30" w:before="30"/>
      </w:pPr>
      <w:r>
        <w:rPr>
          <w:rFonts w:ascii="Arial" w:cs="Arial" w:eastAsia="Arial" w:hAnsi="Arial"/>
          <w:sz w:val="20"/>
          <w:szCs w:val="20"/>
        </w:rPr>
        <w:t xml:space="preserve">The taxpayer's accounts must be audited under s.44AB</w:t>
      </w:r>
    </w:p>
    <w:p>
      <w:pPr>
        <w:pStyle w:val="ListParagraph"/>
        <w:numPr>
          <w:ilvl w:val="0"/>
          <w:numId w:val="2"/>
        </w:numPr>
        <w:spacing w:after="30" w:before="30"/>
      </w:pPr>
      <w:r>
        <w:rPr>
          <w:rFonts w:ascii="Arial" w:cs="Arial" w:eastAsia="Arial" w:hAnsi="Arial"/>
          <w:sz w:val="20"/>
          <w:szCs w:val="20"/>
        </w:rPr>
        <w:t xml:space="preserve">New employee must be employed for a minimum of 240 days during the year (150 days for footwear, leather, apparel industries)</w:t>
      </w:r>
    </w:p>
    <w:p>
      <w:pPr>
        <w:pStyle w:val="ListParagraph"/>
        <w:numPr>
          <w:ilvl w:val="0"/>
          <w:numId w:val="2"/>
        </w:numPr>
        <w:spacing w:after="30" w:before="30"/>
      </w:pPr>
      <w:r>
        <w:rPr>
          <w:rFonts w:ascii="Arial" w:cs="Arial" w:eastAsia="Arial" w:hAnsi="Arial"/>
          <w:sz w:val="20"/>
          <w:szCs w:val="20"/>
        </w:rPr>
        <w:t xml:space="preserve">Employee's monthly emoluments must not exceed INR 25,000</w:t>
      </w:r>
    </w:p>
    <w:p>
      <w:pPr>
        <w:pStyle w:val="ListParagraph"/>
        <w:numPr>
          <w:ilvl w:val="0"/>
          <w:numId w:val="2"/>
        </w:numPr>
        <w:spacing w:after="30" w:before="30"/>
      </w:pPr>
      <w:r>
        <w:rPr>
          <w:rFonts w:ascii="Arial" w:cs="Arial" w:eastAsia="Arial" w:hAnsi="Arial"/>
          <w:sz w:val="20"/>
          <w:szCs w:val="20"/>
        </w:rPr>
        <w:t xml:space="preserve">Employee must be a new employee — not employed for the preceding year</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s.80JJAA Computation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new_employees = [e for e in employees if e.employment_start &gt;= fy_start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and e.monthly_emoluments &lt;= 25000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and e.days_employed &gt;= 240]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additional_employee_cost = sum(e.annual_emoluments for e in new_employees)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s80JJAA_deduction = additional_employee_cost * 0.30</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Available for 3 consecutive AYs from year of employment</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15  —  Tax Audit Requirements: s.44AB</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15.1  Mandatory Audit Trigger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Condition</w:t>
            </w:r>
          </w:p>
        </w:tc>
        <w:tc>
          <w:tcPr>
            <w:tcW w:type="dxa" w:w="3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Threshold</w:t>
            </w:r>
          </w:p>
        </w:tc>
        <w:tc>
          <w:tcPr>
            <w:tcW w:type="dxa" w:w="31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Applicable Section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Business turnover — cash / cheque / normal</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&gt; INR 1 crore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s.44AB(a)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Business turnover — &gt;= 95% digital receipts AND payments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&gt; INR 10 crore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s.44AB(a) enhanced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Professional gross receipts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&gt; INR 50 lakh</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s.44AB(b)</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s.44AD opted out — income declared below presumptive, income exceeds exemption limit</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Any turnover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s.44AB(e)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s.44ADA opted out — income below 50% of receipts, income exceeds exemption limit</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Any receipts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s.44AB(e)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F&amp;O loss in the year AND total income exceeds basic exemption limit</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Any F&amp;O turnover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s.44AB(a) read with s.73A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Speculative business loss (intraday equity) — income exceeds basic exemption limit</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Any speculative turnover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s.44AB(a)</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15.2  Audit Report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Form</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When Used</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Form 3CA + Form 3CD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When accounts are already audited under another Act (e.g., Companies Act — not applicable to individual)</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Form 3CB + Form 3CD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When accounts are audited ONLY under the Income Tax Act — applicable to individual / HUF / firm</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Form 3CD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Mandatory detail report accompanying 3CA or 3CB — contains 44 clauses of detailed disclosure</w:t>
            </w:r>
          </w:p>
        </w:tc>
      </w:tr>
    </w:tbl>
    <w:p>
      <w:pPr>
        <w:spacing w:after="30" w:before="30"/>
      </w:pPr>
      <w:r>
        <w:t xml:space="preserve"/>
      </w:r>
    </w:p>
    <w:p>
      <w:pPr>
        <w:pStyle w:val="ListParagraph"/>
        <w:numPr>
          <w:ilvl w:val="0"/>
          <w:numId w:val="2"/>
        </w:numPr>
        <w:spacing w:after="30" w:before="30"/>
      </w:pPr>
      <w:r>
        <w:rPr>
          <w:rFonts w:ascii="Arial" w:cs="Arial" w:eastAsia="Arial" w:hAnsi="Arial"/>
          <w:sz w:val="20"/>
          <w:szCs w:val="20"/>
        </w:rPr>
        <w:t xml:space="preserve">Audit must be conducted by a practising Chartered Accountant with a valid certificate of practice</w:t>
      </w:r>
    </w:p>
    <w:p>
      <w:pPr>
        <w:pStyle w:val="ListParagraph"/>
        <w:numPr>
          <w:ilvl w:val="0"/>
          <w:numId w:val="2"/>
        </w:numPr>
        <w:spacing w:after="30" w:before="30"/>
      </w:pPr>
      <w:r>
        <w:rPr>
          <w:rFonts w:ascii="Arial" w:cs="Arial" w:eastAsia="Arial" w:hAnsi="Arial"/>
          <w:sz w:val="20"/>
          <w:szCs w:val="20"/>
        </w:rPr>
        <w:t xml:space="preserve">UDIN (Unique Document Identification Number) is mandatory from AY 2019-20 — without UDIN, audit report is invalid</w:t>
      </w:r>
    </w:p>
    <w:p>
      <w:pPr>
        <w:pStyle w:val="ListParagraph"/>
        <w:numPr>
          <w:ilvl w:val="0"/>
          <w:numId w:val="2"/>
        </w:numPr>
        <w:spacing w:after="30" w:before="30"/>
      </w:pPr>
      <w:r>
        <w:rPr>
          <w:rFonts w:ascii="Arial" w:cs="Arial" w:eastAsia="Arial" w:hAnsi="Arial"/>
          <w:sz w:val="20"/>
          <w:szCs w:val="20"/>
        </w:rPr>
        <w:t xml:space="preserve">Audit report must be uploaded on the income tax e-filing portal before filing the return</w:t>
      </w:r>
    </w:p>
    <w:p>
      <w:pPr>
        <w:pStyle w:val="ListParagraph"/>
        <w:numPr>
          <w:ilvl w:val="0"/>
          <w:numId w:val="2"/>
        </w:numPr>
        <w:spacing w:after="30" w:before="30"/>
      </w:pPr>
      <w:r>
        <w:rPr>
          <w:rFonts w:ascii="Arial" w:cs="Arial" w:eastAsia="Arial" w:hAnsi="Arial"/>
          <w:sz w:val="20"/>
          <w:szCs w:val="20"/>
        </w:rPr>
        <w:t xml:space="preserve">Due date: 30 September of the assessment year (may be extended by CBDT notification)</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15.3  Penalty for Non-Compliance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Default</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Penalty</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Failure to get accounts audited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Lower of: 0.5% of turnover or INR 1,50,000 — s.271B</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Failure to furnish audit report by due date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Same as above — s.271B</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Failure to maintain books under s.44AA</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INR 25,000 — s.271A</w:t>
            </w:r>
          </w:p>
        </w:tc>
      </w:tr>
    </w:tbl>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16  —  Advance Tax, TDS, and Interest Provisions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16.1  Advance Tax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Instalment</w:t>
            </w:r>
          </w:p>
        </w:tc>
        <w:tc>
          <w:tcPr>
            <w:tcW w:type="dxa" w:w="2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Due Date</w:t>
            </w:r>
          </w:p>
        </w:tc>
        <w:tc>
          <w:tcPr>
            <w:tcW w:type="dxa" w:w="26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Normal Business Taxpayer</w:t>
            </w:r>
          </w:p>
        </w:tc>
        <w:tc>
          <w:tcPr>
            <w:tcW w:type="dxa" w:w="25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s.44AD / s.44ADA Taxpayer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1st</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15 June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At least 15% of estimated annual tax</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NOT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2nd</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15 September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At least 45% of estimated annual tax</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NOT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3rd</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15 December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At least 75% of estimated annual tax</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NOT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4th</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15 March</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100% of estimated annual tax</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100% in single instalment</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9E8F5" w:val="clear"/>
            <w:tcMar>
              <w:top w:type="dxa" w:w="80"/>
              <w:left w:type="dxa" w:w="180"/>
              <w:bottom w:type="dxa" w:w="80"/>
              <w:right w:type="dxa" w:w="180"/>
            </w:tcMar>
          </w:tcPr>
          <w:p>
            <w:pPr>
              <w:spacing w:after="20" w:before="30"/>
            </w:pPr>
            <w:r>
              <w:rPr>
                <w:rFonts w:ascii="Arial" w:cs="Arial" w:eastAsia="Arial" w:hAnsi="Arial"/>
                <w:b/>
                <w:bCs/>
                <w:color w:val="2E75B6"/>
                <w:sz w:val="20"/>
                <w:szCs w:val="20"/>
              </w:rPr>
              <w:t xml:space="preserve">📌  F&amp;O TAXPAYERS</w:t>
            </w:r>
          </w:p>
          <w:p>
            <w:pPr>
              <w:spacing w:after="20" w:before="0"/>
            </w:pPr>
            <w:r>
              <w:rPr>
                <w:rFonts w:ascii="Arial" w:cs="Arial" w:eastAsia="Arial" w:hAnsi="Arial"/>
                <w:sz w:val="19"/>
                <w:szCs w:val="19"/>
              </w:rPr>
              <w:t xml:space="preserve">F&amp;O traders are treated as regular business taxpayers for advance tax — NOT as s.44AD taxpayers.</w:t>
            </w:r>
          </w:p>
          <w:p>
            <w:pPr>
              <w:spacing w:after="20" w:before="0"/>
            </w:pPr>
            <w:r>
              <w:rPr>
                <w:rFonts w:ascii="Arial" w:cs="Arial" w:eastAsia="Arial" w:hAnsi="Arial"/>
                <w:sz w:val="19"/>
                <w:szCs w:val="19"/>
              </w:rPr>
              <w:t xml:space="preserve">They must follow the 4-instalment schedule (15 June, 15 September, 15 December, 15 March).</w:t>
            </w:r>
          </w:p>
          <w:p>
            <w:pPr>
              <w:spacing w:after="20" w:before="0"/>
            </w:pPr>
            <w:r>
              <w:rPr>
                <w:rFonts w:ascii="Arial" w:cs="Arial" w:eastAsia="Arial" w:hAnsi="Arial"/>
                <w:sz w:val="19"/>
                <w:szCs w:val="19"/>
              </w:rPr>
              <w:t xml:space="preserve">The simplified single-instalment rule (15 March only) applies ONLY to s.44AD and s.44ADA opted taxpayers.</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16.2  Interest for Default: s.234B and s.234C</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s.234B — Default in Payment of Advance Tax</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assessed_tax     = total_tax_liability - TDS_credit - relief_u87A - MAT_credit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advance_tax_paid = sum(all_advance_tax_payments &lt;= 31_march)</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advance_tax_paid &lt; 0.90 * assessed_tax:</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shortfall_234B   = assessed_tax - advance_tax_paid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months_234B      = months from April to month of assessment / filing</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interest_234B    = shortfall_234B * 0.01 * months_234B</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s.234C — Deferment of Advance Tax Instalments</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For 15 June instalment: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advance_tax_by_15june &lt; 0.12 * assessed_tax:</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interest_234C_june = (0.15 * assessed_tax - paid_by_june) * 0.01 * 3</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Similar computation for September and December</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16.3  TDS Sections Applicable to Business / Professional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Payment Type</w:t>
            </w:r>
          </w:p>
        </w:tc>
        <w:tc>
          <w:tcPr>
            <w:tcW w:type="dxa" w:w="2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TDS Section</w:t>
            </w:r>
          </w:p>
        </w:tc>
        <w:tc>
          <w:tcPr>
            <w:tcW w:type="dxa" w:w="26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Rate</w:t>
            </w:r>
          </w:p>
        </w:tc>
        <w:tc>
          <w:tcPr>
            <w:tcW w:type="dxa" w:w="25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Threshold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Professional fees — doctors, lawyers, CAs, engineers, architects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s.194J</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&gt; INR 30,000 per year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Technical services fees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s.194J</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&gt; INR 30,000 per year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Contractual payments — labour / job work</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s.194C</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 individual / HUF, 2% others</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Single &gt; INR 30,000 or annual &gt; INR 1,00,000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Commission or brokerage</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s.194H</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5%</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&gt; INR 15,000 per year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Rent — plant and machinery</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s.194I</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&gt; INR 2,40,000 per year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Rent — land / building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s.194I</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&gt; INR 2,40,000 per year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Payment to contractor (e-commerce operator)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s.194O</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1%</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Any amount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Lottery / crossword puzzle winnings</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s.194B</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7"/>
                <w:szCs w:val="17"/>
              </w:rPr>
              <w:t xml:space="preserve">30%</w:t>
            </w:r>
          </w:p>
        </w:tc>
        <w:tc>
          <w:tcPr>
            <w:tcW w:type="dxa" w:w="2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1A1A1A"/>
                <w:sz w:val="17"/>
                <w:szCs w:val="17"/>
              </w:rPr>
              <w:t xml:space="preserve">&gt; INR 10,000 per win</w:t>
            </w:r>
          </w:p>
        </w:tc>
      </w:tr>
    </w:tbl>
    <w:p>
      <w:pPr>
        <w:spacing w:after="30" w:before="30"/>
      </w:pPr>
      <w:r>
        <w:t xml:space="preserve"/>
      </w:r>
    </w:p>
    <w:p>
      <w:pPr>
        <w:spacing w:after="50" w:before="50"/>
      </w:pPr>
      <w:r>
        <w:rPr>
          <w:rFonts w:ascii="Arial" w:cs="Arial" w:eastAsia="Arial" w:hAnsi="Arial"/>
          <w:sz w:val="20"/>
          <w:szCs w:val="20"/>
        </w:rPr>
        <w:t xml:space="preserve">All TDS deducted must be reconciled against income declared. Engine must cross-check total TDS reflected in Form 26AS / AIS against income declared and surface discrepancies for CA review.</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17  —  Return Filing: ITR Form Selection and Due Dates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17.1  ITR Form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ITR Form</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Applicable To</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ITR-4 (Sugam)</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Individual / HUF / Firm opting for presumptive taxation under s.44AD, s.44ADA, or s.44AE ONLY; income &lt;= INR 50 lakh; NO capital gains; NO speculative income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ITR-3</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Individual / HUF having income from business or profession (including F&amp;O, intraday, regular business) that is NOT covered under ITR-4; also used when taxpayer has both business income and capital gains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ITR-2</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Individual / HUF with no business income — if taxpayer inadvertently files ITR-2 with business income, it will be marked defective</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ITR FORM MISMATCH</w:t>
            </w:r>
          </w:p>
          <w:p>
            <w:pPr>
              <w:spacing w:after="20" w:before="0"/>
            </w:pPr>
            <w:r>
              <w:rPr>
                <w:rFonts w:ascii="Arial" w:cs="Arial" w:eastAsia="Arial" w:hAnsi="Arial"/>
                <w:sz w:val="19"/>
                <w:szCs w:val="19"/>
              </w:rPr>
              <w:t xml:space="preserve">Filing the wrong ITR form can result in the return being treated as DEFECTIVE under s.139(9).</w:t>
            </w:r>
          </w:p>
          <w:p>
            <w:pPr>
              <w:spacing w:after="20" w:before="0"/>
            </w:pPr>
            <w:r>
              <w:rPr>
                <w:rFonts w:ascii="Arial" w:cs="Arial" w:eastAsia="Arial" w:hAnsi="Arial"/>
                <w:sz w:val="19"/>
                <w:szCs w:val="19"/>
              </w:rPr>
              <w:t xml:space="preserve">Any taxpayer with F&amp;O income, intraday speculative income, or regular business income (other than presumptive) MUST file ITR-3.</w:t>
            </w:r>
          </w:p>
          <w:p>
            <w:pPr>
              <w:spacing w:after="20" w:before="0"/>
            </w:pPr>
            <w:r>
              <w:rPr>
                <w:rFonts w:ascii="Arial" w:cs="Arial" w:eastAsia="Arial" w:hAnsi="Arial"/>
                <w:sz w:val="19"/>
                <w:szCs w:val="19"/>
              </w:rPr>
              <w:t xml:space="preserve">ITR-4 cannot be used if the taxpayer also has capital gains from equity, property, or any other source.</w:t>
            </w:r>
          </w:p>
          <w:p>
            <w:pPr>
              <w:spacing w:after="20" w:before="0"/>
            </w:pPr>
            <w:r>
              <w:rPr>
                <w:rFonts w:ascii="Arial" w:cs="Arial" w:eastAsia="Arial" w:hAnsi="Arial"/>
                <w:sz w:val="19"/>
                <w:szCs w:val="19"/>
              </w:rPr>
              <w:t xml:space="preserve">Engine must auto-select the correct ITR form based on income classification and surface this to the user.</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17.2  Return Filing Due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Category</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Due Date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Non-audit cases (individual, business income, no international transactions)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31 July of the assessment year</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Audit cases (s.44AB applicable)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31 October of the assessment year</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Transfer pricing / international transactions (Form 3CEB required)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30 November of the assessment year</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Belated return (u/s 139(4))</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31 December of the assessment year</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Updated return (u/s 139(8A))</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 years from end of relevant assessment year; additional tax 25% / 50%</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17.3  Belated Return and Loss Carry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BELATED RETURN IMPACT</w:t>
            </w:r>
          </w:p>
          <w:p>
            <w:pPr>
              <w:spacing w:after="20" w:before="0"/>
            </w:pPr>
            <w:r>
              <w:rPr>
                <w:rFonts w:ascii="Arial" w:cs="Arial" w:eastAsia="Arial" w:hAnsi="Arial"/>
                <w:sz w:val="19"/>
                <w:szCs w:val="19"/>
              </w:rPr>
              <w:t xml:space="preserve">A return filed after the due date (31 July / 31 October as applicable) is a "belated return" under s.139(4).</w:t>
            </w:r>
          </w:p>
          <w:p>
            <w:pPr>
              <w:spacing w:after="20" w:before="0"/>
            </w:pPr>
            <w:r>
              <w:rPr>
                <w:rFonts w:ascii="Arial" w:cs="Arial" w:eastAsia="Arial" w:hAnsi="Arial"/>
                <w:sz w:val="19"/>
                <w:szCs w:val="19"/>
              </w:rPr>
              <w:t xml:space="preserve">Business losses (speculative and non-speculative) CANNOT be carried forward if filed as a belated return.</w:t>
            </w:r>
          </w:p>
          <w:p>
            <w:pPr>
              <w:spacing w:after="20" w:before="0"/>
            </w:pPr>
            <w:r>
              <w:rPr>
                <w:rFonts w:ascii="Arial" w:cs="Arial" w:eastAsia="Arial" w:hAnsi="Arial"/>
                <w:sz w:val="19"/>
                <w:szCs w:val="19"/>
              </w:rPr>
              <w:t xml:space="preserve">Only unabsorbed depreciation retains carry-forward right despite belated filing.</w:t>
            </w:r>
          </w:p>
          <w:p>
            <w:pPr>
              <w:spacing w:after="20" w:before="0"/>
            </w:pPr>
            <w:r>
              <w:rPr>
                <w:rFonts w:ascii="Arial" w:cs="Arial" w:eastAsia="Arial" w:hAnsi="Arial"/>
                <w:sz w:val="19"/>
                <w:szCs w:val="19"/>
              </w:rPr>
              <w:t xml:space="preserve">Interest under s.234A accrues for delay in filing: 1% per month or part on unpaid tax.</w:t>
            </w:r>
          </w:p>
          <w:p>
            <w:pPr>
              <w:spacing w:after="20" w:before="0"/>
            </w:pPr>
            <w:r>
              <w:rPr>
                <w:rFonts w:ascii="Arial" w:cs="Arial" w:eastAsia="Arial" w:hAnsi="Arial"/>
                <w:sz w:val="19"/>
                <w:szCs w:val="19"/>
              </w:rPr>
              <w:t xml:space="preserve">Revised return CANNOT be filed if original return was a belated return (w.e.f. AY 2017-18).</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17.4  Updated Return (u/s 139(8A))</w:t>
      </w:r>
    </w:p>
    <w:p>
      <w:pPr>
        <w:spacing w:after="50" w:before="50"/>
      </w:pPr>
      <w:r>
        <w:rPr>
          <w:rFonts w:ascii="Arial" w:cs="Arial" w:eastAsia="Arial" w:hAnsi="Arial"/>
          <w:sz w:val="20"/>
          <w:szCs w:val="20"/>
        </w:rPr>
        <w:t xml:space="preserve">An "Updated Return" allows a taxpayer to file or revise their return for any AY within 2 years from the end of the relevant AY, subject to:</w:t>
      </w:r>
    </w:p>
    <w:p>
      <w:pPr>
        <w:pStyle w:val="ListParagraph"/>
        <w:numPr>
          <w:ilvl w:val="0"/>
          <w:numId w:val="2"/>
        </w:numPr>
        <w:spacing w:after="30" w:before="30"/>
      </w:pPr>
      <w:r>
        <w:rPr>
          <w:rFonts w:ascii="Arial" w:cs="Arial" w:eastAsia="Arial" w:hAnsi="Arial"/>
          <w:sz w:val="20"/>
          <w:szCs w:val="20"/>
        </w:rPr>
        <w:t xml:space="preserve">Additional tax of 25% on incremental tax + interest if updated return is filed within 12 months of end of AY</w:t>
      </w:r>
    </w:p>
    <w:p>
      <w:pPr>
        <w:pStyle w:val="ListParagraph"/>
        <w:numPr>
          <w:ilvl w:val="0"/>
          <w:numId w:val="2"/>
        </w:numPr>
        <w:spacing w:after="30" w:before="30"/>
      </w:pPr>
      <w:r>
        <w:rPr>
          <w:rFonts w:ascii="Arial" w:cs="Arial" w:eastAsia="Arial" w:hAnsi="Arial"/>
          <w:sz w:val="20"/>
          <w:szCs w:val="20"/>
        </w:rPr>
        <w:t xml:space="preserve">Additional tax of 50% on incremental tax + interest if filed between 12 and 24 months from end of AY</w:t>
      </w:r>
    </w:p>
    <w:p>
      <w:pPr>
        <w:pStyle w:val="ListParagraph"/>
        <w:numPr>
          <w:ilvl w:val="0"/>
          <w:numId w:val="2"/>
        </w:numPr>
        <w:spacing w:after="30" w:before="30"/>
      </w:pPr>
      <w:r>
        <w:rPr>
          <w:rFonts w:ascii="Arial" w:cs="Arial" w:eastAsia="Arial" w:hAnsi="Arial"/>
          <w:sz w:val="20"/>
          <w:szCs w:val="20"/>
        </w:rPr>
        <w:t xml:space="preserve">Cannot be filed if: the return results in a refund, or reduces tax liability, or assessment / search proceeding is pending</w:t>
      </w:r>
    </w:p>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18  —  Special Topics and Edge Cases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18.1  GST Interaction with Business Income</w:t>
      </w:r>
    </w:p>
    <w:p>
      <w:pPr>
        <w:spacing w:after="50" w:before="50"/>
      </w:pPr>
      <w:r>
        <w:rPr>
          <w:rFonts w:ascii="Arial" w:cs="Arial" w:eastAsia="Arial" w:hAnsi="Arial"/>
          <w:sz w:val="20"/>
          <w:szCs w:val="20"/>
        </w:rPr>
        <w:t xml:space="preserve">GST collected from customers is a LIABILITY — not business income. GST paid on inputs (where ITC is available) is not an expense — it is an asset (ITC receivable). Engine rules:</w:t>
      </w:r>
    </w:p>
    <w:p>
      <w:pPr>
        <w:pStyle w:val="ListParagraph"/>
        <w:numPr>
          <w:ilvl w:val="0"/>
          <w:numId w:val="2"/>
        </w:numPr>
        <w:spacing w:after="30" w:before="30"/>
      </w:pPr>
      <w:r>
        <w:rPr>
          <w:rFonts w:ascii="Arial" w:cs="Arial" w:eastAsia="Arial" w:hAnsi="Arial"/>
          <w:sz w:val="20"/>
          <w:szCs w:val="20"/>
        </w:rPr>
        <w:t xml:space="preserve">Business income = turnover EXCLUDING GST collected</w:t>
      </w:r>
    </w:p>
    <w:p>
      <w:pPr>
        <w:pStyle w:val="ListParagraph"/>
        <w:numPr>
          <w:ilvl w:val="0"/>
          <w:numId w:val="2"/>
        </w:numPr>
        <w:spacing w:after="30" w:before="30"/>
      </w:pPr>
      <w:r>
        <w:rPr>
          <w:rFonts w:ascii="Arial" w:cs="Arial" w:eastAsia="Arial" w:hAnsi="Arial"/>
          <w:sz w:val="20"/>
          <w:szCs w:val="20"/>
        </w:rPr>
        <w:t xml:space="preserve">Only irrecoverable GST (on exempt supplies, or where ITC is blocked) becomes an allowable business expense</w:t>
      </w:r>
    </w:p>
    <w:p>
      <w:pPr>
        <w:pStyle w:val="ListParagraph"/>
        <w:numPr>
          <w:ilvl w:val="0"/>
          <w:numId w:val="2"/>
        </w:numPr>
        <w:spacing w:after="30" w:before="30"/>
      </w:pPr>
      <w:r>
        <w:rPr>
          <w:rFonts w:ascii="Arial" w:cs="Arial" w:eastAsia="Arial" w:hAnsi="Arial"/>
          <w:sz w:val="20"/>
          <w:szCs w:val="20"/>
        </w:rPr>
        <w:t xml:space="preserve">If taxpayer is under composition scheme: composition levy paid is an expense; ITC not available</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taxpayer.gst_registration == REGULAR:</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business_turnover = gross_receipts - gst_collected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gst_expense = gst_paid_where_itc_blocked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taxpayer.gst_registration == COMPOSITION:</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business_turnover = gross_receipts  // Composition includes implicit GST</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gst_expense = composition_levy_paid</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taxpayer.gst_registration == NONE: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business_turnover = gross_receipts  // All pre-GST</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18.2  VDA / Crypto Income — PGBP Does NOT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DECEA" w:val="clear"/>
            <w:tcMar>
              <w:top w:type="dxa" w:w="80"/>
              <w:left w:type="dxa" w:w="180"/>
              <w:bottom w:type="dxa" w:w="80"/>
              <w:right w:type="dxa" w:w="180"/>
            </w:tcMar>
          </w:tcPr>
          <w:p>
            <w:pPr>
              <w:spacing w:after="20" w:before="30"/>
            </w:pPr>
            <w:r>
              <w:rPr>
                <w:rFonts w:ascii="Arial" w:cs="Arial" w:eastAsia="Arial" w:hAnsi="Arial"/>
                <w:b/>
                <w:bCs/>
                <w:color w:val="C00000"/>
                <w:sz w:val="20"/>
                <w:szCs w:val="20"/>
              </w:rPr>
              <w:t xml:space="preserve">🚫  VDA IS NOT PGBP — s.115BBH OVERRIDES</w:t>
            </w:r>
          </w:p>
          <w:p>
            <w:pPr>
              <w:spacing w:after="20" w:before="0"/>
            </w:pPr>
            <w:r>
              <w:rPr>
                <w:rFonts w:ascii="Arial" w:cs="Arial" w:eastAsia="Arial" w:hAnsi="Arial"/>
                <w:sz w:val="19"/>
                <w:szCs w:val="19"/>
              </w:rPr>
              <w:t xml:space="preserve">Income from transfer of Virtual Digital Assets (crypto, NFTs, digital tokens) is taxed EXCLUSIVELY under s.115BBH at flat 30%.</w:t>
            </w:r>
          </w:p>
          <w:p>
            <w:pPr>
              <w:spacing w:after="20" w:before="0"/>
            </w:pPr>
            <w:r>
              <w:rPr>
                <w:rFonts w:ascii="Arial" w:cs="Arial" w:eastAsia="Arial" w:hAnsi="Arial"/>
                <w:sz w:val="19"/>
                <w:szCs w:val="19"/>
              </w:rPr>
              <w:t xml:space="preserve">This applies even if the taxpayer is a full-time crypto trader and it constitutes their primary business.</w:t>
            </w:r>
          </w:p>
          <w:p>
            <w:pPr>
              <w:spacing w:after="20" w:before="0"/>
            </w:pPr>
            <w:r>
              <w:rPr>
                <w:rFonts w:ascii="Arial" w:cs="Arial" w:eastAsia="Arial" w:hAnsi="Arial"/>
                <w:sz w:val="19"/>
                <w:szCs w:val="19"/>
              </w:rPr>
              <w:t xml:space="preserve">s.115BBH overrides PGBP classification.</w:t>
            </w:r>
          </w:p>
          <w:p>
            <w:pPr>
              <w:spacing w:after="20" w:before="0"/>
            </w:pPr>
            <w:r>
              <w:rPr>
                <w:rFonts w:ascii="Arial" w:cs="Arial" w:eastAsia="Arial" w:hAnsi="Arial"/>
                <w:sz w:val="19"/>
                <w:szCs w:val="19"/>
              </w:rPr>
              <w:t xml:space="preserve">No expense deduction allowed except cost of acquisition.</w:t>
            </w:r>
          </w:p>
          <w:p>
            <w:pPr>
              <w:spacing w:after="20" w:before="0"/>
            </w:pPr>
            <w:r>
              <w:rPr>
                <w:rFonts w:ascii="Arial" w:cs="Arial" w:eastAsia="Arial" w:hAnsi="Arial"/>
                <w:sz w:val="19"/>
                <w:szCs w:val="19"/>
              </w:rPr>
              <w:t xml:space="preserve">VDA losses cannot be set off against any other income — not even against other VDA gains in the same year (each token/asset type is treated separately as of AY 2023-24 onwards).</w:t>
            </w:r>
          </w:p>
          <w:p>
            <w:pPr>
              <w:spacing w:after="20" w:before="0"/>
            </w:pPr>
            <w:r>
              <w:rPr>
                <w:rFonts w:ascii="Arial" w:cs="Arial" w:eastAsia="Arial" w:hAnsi="Arial"/>
                <w:sz w:val="19"/>
                <w:szCs w:val="19"/>
              </w:rPr>
              <w:t xml:space="preserve">Engine must route ALL VDA income to the VDA module — never to the PGBP module.</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18.3  s.50B Slump Sale — Not Applicable to Individuals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DECEA" w:val="clear"/>
            <w:tcMar>
              <w:top w:type="dxa" w:w="80"/>
              <w:left w:type="dxa" w:w="180"/>
              <w:bottom w:type="dxa" w:w="80"/>
              <w:right w:type="dxa" w:w="180"/>
            </w:tcMar>
          </w:tcPr>
          <w:p>
            <w:pPr>
              <w:spacing w:after="20" w:before="30"/>
            </w:pPr>
            <w:r>
              <w:rPr>
                <w:rFonts w:ascii="Arial" w:cs="Arial" w:eastAsia="Arial" w:hAnsi="Arial"/>
                <w:b/>
                <w:bCs/>
                <w:color w:val="C00000"/>
                <w:sz w:val="20"/>
                <w:szCs w:val="20"/>
              </w:rPr>
              <w:t xml:space="preserve">🚫  s.50B OUT OF SCOPE FOR INDIVIDUALS</w:t>
            </w:r>
          </w:p>
          <w:p>
            <w:pPr>
              <w:spacing w:after="20" w:before="0"/>
            </w:pPr>
            <w:r>
              <w:rPr>
                <w:rFonts w:ascii="Arial" w:cs="Arial" w:eastAsia="Arial" w:hAnsi="Arial"/>
                <w:sz w:val="19"/>
                <w:szCs w:val="19"/>
              </w:rPr>
              <w:t xml:space="preserve">Slump sale (transfer of an entire business undertaking as a going concern for a lump sum consideration) under s.50B applies ONLY to companies and partnership firms.</w:t>
            </w:r>
          </w:p>
          <w:p>
            <w:pPr>
              <w:spacing w:after="20" w:before="0"/>
            </w:pPr>
            <w:r>
              <w:rPr>
                <w:rFonts w:ascii="Arial" w:cs="Arial" w:eastAsia="Arial" w:hAnsi="Arial"/>
                <w:sz w:val="19"/>
                <w:szCs w:val="19"/>
              </w:rPr>
              <w:t xml:space="preserve">An individual selling a freelance practice, consulting business, or trading operation sells INDIVIDUAL ASSETS separately.</w:t>
            </w:r>
          </w:p>
          <w:p>
            <w:pPr>
              <w:spacing w:after="20" w:before="0"/>
            </w:pPr>
            <w:r>
              <w:rPr>
                <w:rFonts w:ascii="Arial" w:cs="Arial" w:eastAsia="Arial" w:hAnsi="Arial"/>
                <w:sz w:val="19"/>
                <w:szCs w:val="19"/>
              </w:rPr>
              <w:t xml:space="preserve">Each asset is taxed under its applicable provision: goodwill under capital gains, equipment under depreciable asset rules, stock-in-trade as business income.</w:t>
            </w:r>
          </w:p>
          <w:p>
            <w:pPr>
              <w:spacing w:after="20" w:before="0"/>
            </w:pPr>
            <w:r>
              <w:rPr>
                <w:rFonts w:ascii="Arial" w:cs="Arial" w:eastAsia="Arial" w:hAnsi="Arial"/>
                <w:sz w:val="19"/>
                <w:szCs w:val="19"/>
              </w:rPr>
              <w:t xml:space="preserve">Engine must DISABLE the slump sale computation path for all individual taxpayers.</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18.4  s.55A — Valuation Officer Reference</w:t>
      </w:r>
    </w:p>
    <w:p>
      <w:pPr>
        <w:spacing w:after="50" w:before="50"/>
      </w:pPr>
      <w:r>
        <w:rPr>
          <w:rFonts w:ascii="Arial" w:cs="Arial" w:eastAsia="Arial" w:hAnsi="Arial"/>
          <w:sz w:val="20"/>
          <w:szCs w:val="20"/>
        </w:rPr>
        <w:t xml:space="preserve">When the Assessing Officer is dissatisfied with the FMV used by a taxpayer for capital gains computation (typically for unlisted shares, immovable property, or jewellery), the AO may refer the matter to a Valuation Officer (VO) for an independent FMV determination. This is a post-assessment process handled by the CA and AO — not computed by the engine.</w:t>
      </w:r>
    </w:p>
    <w:p>
      <w:pPr>
        <w:spacing w:after="30" w:before="30"/>
      </w:pPr>
      <w:r>
        <w:t xml:space="preserve"/>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IF asset.fmv_source == USER_ESTIMATE:</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FLAG: VALUATION_OFFICER_RISK</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CA_NOTE: "Obtain registered valuer certificate — AO may refer to VO</w:t>
      </w:r>
    </w:p>
    <w:p>
      <w:pPr>
        <w:pBdr>
          <w:left w:val="single" w:color="2E75B6" w:sz="10" w:space="6"/>
        </w:pBdr>
        <w:shd w:fill="F0F4F8" w:val="clear"/>
        <w:spacing w:after="30" w:before="30"/>
        <w:ind w:left="600"/>
      </w:pPr>
      <w:r>
        <w:rPr>
          <w:rFonts w:ascii="Courier New" w:cs="Courier New" w:eastAsia="Courier New" w:hAnsi="Courier New"/>
          <w:color w:val="1A1A1A"/>
          <w:sz w:val="17"/>
          <w:szCs w:val="17"/>
        </w:rPr>
        <w:t xml:space="preserve">            if FMV appears below expected market value"</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18.5  s.56(2)(x) vs PGBP — When is a Receipt Business Income vs Other Sources?</w:t>
      </w:r>
    </w:p>
    <w:p>
      <w:pPr>
        <w:spacing w:after="50" w:before="50"/>
      </w:pPr>
      <w:r>
        <w:rPr>
          <w:rFonts w:ascii="Arial" w:cs="Arial" w:eastAsia="Arial" w:hAnsi="Arial"/>
          <w:sz w:val="20"/>
          <w:szCs w:val="20"/>
        </w:rPr>
        <w:t xml:space="preserve">A receipt may be taxable under PGBP or under Other Sources (s.56) depending on its nature. Key distinctions:</w:t>
      </w:r>
    </w:p>
    <w:p>
      <w:pPr>
        <w:pStyle w:val="ListParagraph"/>
        <w:numPr>
          <w:ilvl w:val="0"/>
          <w:numId w:val="2"/>
        </w:numPr>
        <w:spacing w:after="30" w:before="30"/>
      </w:pPr>
      <w:r>
        <w:rPr>
          <w:rFonts w:ascii="Arial" w:cs="Arial" w:eastAsia="Arial" w:hAnsi="Arial"/>
          <w:sz w:val="20"/>
          <w:szCs w:val="20"/>
        </w:rPr>
        <w:t xml:space="preserve">If a receipt is in the course of carrying on a business and directly related to the business operations — taxable as PGBP</w:t>
      </w:r>
    </w:p>
    <w:p>
      <w:pPr>
        <w:pStyle w:val="ListParagraph"/>
        <w:numPr>
          <w:ilvl w:val="0"/>
          <w:numId w:val="2"/>
        </w:numPr>
        <w:spacing w:after="30" w:before="30"/>
      </w:pPr>
      <w:r>
        <w:rPr>
          <w:rFonts w:ascii="Arial" w:cs="Arial" w:eastAsia="Arial" w:hAnsi="Arial"/>
          <w:sz w:val="20"/>
          <w:szCs w:val="20"/>
        </w:rPr>
        <w:t xml:space="preserve">If a receipt is a windfall, non-recurring, or not in the ordinary course of business — potentially taxable under Other Sources</w:t>
      </w:r>
    </w:p>
    <w:p>
      <w:pPr>
        <w:pStyle w:val="ListParagraph"/>
        <w:numPr>
          <w:ilvl w:val="0"/>
          <w:numId w:val="2"/>
        </w:numPr>
        <w:spacing w:after="30" w:before="30"/>
      </w:pPr>
      <w:r>
        <w:rPr>
          <w:rFonts w:ascii="Arial" w:cs="Arial" w:eastAsia="Arial" w:hAnsi="Arial"/>
          <w:sz w:val="20"/>
          <w:szCs w:val="20"/>
        </w:rPr>
        <w:t xml:space="preserve">s.56(2)(x) — cash gift or property received without adequate consideration by an individual from non-relatives exceeding INR 50,000 — taxable under Other Sources, NOT PGBP</w:t>
      </w:r>
    </w:p>
    <w:p>
      <w:pPr>
        <w:pStyle w:val="ListParagraph"/>
        <w:numPr>
          <w:ilvl w:val="0"/>
          <w:numId w:val="2"/>
        </w:numPr>
        <w:spacing w:after="30" w:before="30"/>
      </w:pPr>
      <w:r>
        <w:rPr>
          <w:rFonts w:ascii="Arial" w:cs="Arial" w:eastAsia="Arial" w:hAnsi="Arial"/>
          <w:sz w:val="20"/>
          <w:szCs w:val="20"/>
        </w:rPr>
        <w:t xml:space="preserve">However: if a business person receives a gift or perquisite in the ordinary course of business (e.g., a dealer receiving goods as an incentive from a manufacturer) — taxable as PGBP under s.28(iv)</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18.6  Non-Resident Presumptive Schemes — Out of Scope</w:t>
      </w:r>
    </w:p>
    <w:p>
      <w:pPr>
        <w:spacing w:after="50" w:before="50"/>
      </w:pPr>
      <w:r>
        <w:rPr>
          <w:rFonts w:ascii="Arial" w:cs="Arial" w:eastAsia="Arial" w:hAnsi="Arial"/>
          <w:sz w:val="20"/>
          <w:szCs w:val="20"/>
        </w:rPr>
        <w:t xml:space="preserve">The following presumptive schemes apply to non-residents and are explicitly excluded from this spec:</w:t>
      </w:r>
    </w:p>
    <w:p>
      <w:pPr>
        <w:pStyle w:val="ListParagraph"/>
        <w:numPr>
          <w:ilvl w:val="0"/>
          <w:numId w:val="2"/>
        </w:numPr>
        <w:spacing w:after="30" w:before="30"/>
      </w:pPr>
      <w:r>
        <w:rPr>
          <w:rFonts w:ascii="Arial" w:cs="Arial" w:eastAsia="Arial" w:hAnsi="Arial"/>
          <w:sz w:val="20"/>
          <w:szCs w:val="20"/>
        </w:rPr>
        <w:t xml:space="preserve">s.44B — Shipping business of non-residents: 7.5% of freight receipts</w:t>
      </w:r>
    </w:p>
    <w:p>
      <w:pPr>
        <w:pStyle w:val="ListParagraph"/>
        <w:numPr>
          <w:ilvl w:val="0"/>
          <w:numId w:val="2"/>
        </w:numPr>
        <w:spacing w:after="30" w:before="30"/>
      </w:pPr>
      <w:r>
        <w:rPr>
          <w:rFonts w:ascii="Arial" w:cs="Arial" w:eastAsia="Arial" w:hAnsi="Arial"/>
          <w:sz w:val="20"/>
          <w:szCs w:val="20"/>
        </w:rPr>
        <w:t xml:space="preserve">s.44BB — Business of exploration of mineral oils: 10% of gross receipts</w:t>
      </w:r>
    </w:p>
    <w:p>
      <w:pPr>
        <w:pStyle w:val="ListParagraph"/>
        <w:numPr>
          <w:ilvl w:val="0"/>
          <w:numId w:val="2"/>
        </w:numPr>
        <w:spacing w:after="30" w:before="30"/>
      </w:pPr>
      <w:r>
        <w:rPr>
          <w:rFonts w:ascii="Arial" w:cs="Arial" w:eastAsia="Arial" w:hAnsi="Arial"/>
          <w:sz w:val="20"/>
          <w:szCs w:val="20"/>
        </w:rPr>
        <w:t xml:space="preserve">s.44BBA — Operation of aircraft by non-residents: 5% of receipts</w:t>
      </w:r>
    </w:p>
    <w:p>
      <w:pPr>
        <w:pStyle w:val="ListParagraph"/>
        <w:numPr>
          <w:ilvl w:val="0"/>
          <w:numId w:val="2"/>
        </w:numPr>
        <w:spacing w:after="30" w:before="30"/>
      </w:pPr>
      <w:r>
        <w:rPr>
          <w:rFonts w:ascii="Arial" w:cs="Arial" w:eastAsia="Arial" w:hAnsi="Arial"/>
          <w:sz w:val="20"/>
          <w:szCs w:val="20"/>
        </w:rPr>
        <w:t xml:space="preserve">s.44BBB — Turnkey power projects by foreign companies: 10% of receipts</w:t>
      </w:r>
    </w:p>
    <w:p>
      <w:pPr>
        <w:spacing w:after="50" w:before="50"/>
      </w:pPr>
      <w:r>
        <w:rPr>
          <w:rFonts w:ascii="Arial" w:cs="Arial" w:eastAsia="Arial" w:hAnsi="Arial"/>
          <w:sz w:val="20"/>
          <w:szCs w:val="20"/>
        </w:rPr>
        <w:t xml:space="preserve">These are out of scope for DOM_ (domestic resident individual) specs. Engine must disable these options for resident individual taxpayers.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18.7  s.10AA — SEZ Unit Deduction</w:t>
      </w:r>
    </w:p>
    <w:p>
      <w:pPr>
        <w:spacing w:after="50" w:before="50"/>
      </w:pPr>
      <w:r>
        <w:rPr>
          <w:rFonts w:ascii="Arial" w:cs="Arial" w:eastAsia="Arial" w:hAnsi="Arial"/>
          <w:sz w:val="20"/>
          <w:szCs w:val="20"/>
        </w:rPr>
        <w:t xml:space="preserve">An individual who operates a unit in a Special Economic Zone and derives profits from export of articles/goods/services is eligible for s.10AA deduction:</w:t>
      </w:r>
    </w:p>
    <w:p>
      <w:pPr>
        <w:pStyle w:val="ListParagraph"/>
        <w:numPr>
          <w:ilvl w:val="0"/>
          <w:numId w:val="2"/>
        </w:numPr>
        <w:spacing w:after="30" w:before="30"/>
      </w:pPr>
      <w:r>
        <w:rPr>
          <w:rFonts w:ascii="Arial" w:cs="Arial" w:eastAsia="Arial" w:hAnsi="Arial"/>
          <w:sz w:val="20"/>
          <w:szCs w:val="20"/>
        </w:rPr>
        <w:t xml:space="preserve">100% of profits for first 5 years (from year of commencement or 2006, whichever is later)</w:t>
      </w:r>
    </w:p>
    <w:p>
      <w:pPr>
        <w:pStyle w:val="ListParagraph"/>
        <w:numPr>
          <w:ilvl w:val="0"/>
          <w:numId w:val="2"/>
        </w:numPr>
        <w:spacing w:after="30" w:before="30"/>
      </w:pPr>
      <w:r>
        <w:rPr>
          <w:rFonts w:ascii="Arial" w:cs="Arial" w:eastAsia="Arial" w:hAnsi="Arial"/>
          <w:sz w:val="20"/>
          <w:szCs w:val="20"/>
        </w:rPr>
        <w:t xml:space="preserve">50% of export profits for next 5 years</w:t>
      </w:r>
    </w:p>
    <w:p>
      <w:pPr>
        <w:pStyle w:val="ListParagraph"/>
        <w:numPr>
          <w:ilvl w:val="0"/>
          <w:numId w:val="2"/>
        </w:numPr>
        <w:spacing w:after="30" w:before="30"/>
      </w:pPr>
      <w:r>
        <w:rPr>
          <w:rFonts w:ascii="Arial" w:cs="Arial" w:eastAsia="Arial" w:hAnsi="Arial"/>
          <w:sz w:val="20"/>
          <w:szCs w:val="20"/>
        </w:rPr>
        <w:t xml:space="preserve">50% of export profits reinvested in SEZ Reinvestment Reserve Account for next 5 years</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
              <w:left w:val="single" w:color="C8960C" w:sz="1"/>
              <w:bottom w:val="single" w:color="C8960C" w:sz="1"/>
              <w:right w:val="single" w:color="C8960C" w:sz="1"/>
            </w:tcBorders>
            <w:shd w:fill="FFF3CC" w:val="clear"/>
            <w:tcMar>
              <w:top w:type="dxa" w:w="80"/>
              <w:left w:type="dxa" w:w="180"/>
              <w:bottom w:type="dxa" w:w="80"/>
              <w:right w:type="dxa" w:w="180"/>
            </w:tcMar>
          </w:tcPr>
          <w:p>
            <w:pPr>
              <w:spacing w:after="20" w:before="30"/>
            </w:pPr>
            <w:r>
              <w:rPr>
                <w:rFonts w:ascii="Arial" w:cs="Arial" w:eastAsia="Arial" w:hAnsi="Arial"/>
                <w:b/>
                <w:bCs/>
                <w:color w:val="C8960C"/>
                <w:sz w:val="20"/>
                <w:szCs w:val="20"/>
              </w:rPr>
              <w:t xml:space="preserve">⚠  AMT TRIGGERED BY s.10AA</w:t>
            </w:r>
          </w:p>
          <w:p>
            <w:pPr>
              <w:spacing w:after="20" w:before="0"/>
            </w:pPr>
            <w:r>
              <w:rPr>
                <w:rFonts w:ascii="Arial" w:cs="Arial" w:eastAsia="Arial" w:hAnsi="Arial"/>
                <w:sz w:val="19"/>
                <w:szCs w:val="19"/>
              </w:rPr>
              <w:t xml:space="preserve">s.10AA deduction is an eligible trigger for AMT under s.115JC.</w:t>
            </w:r>
          </w:p>
          <w:p>
            <w:pPr>
              <w:spacing w:after="20" w:before="0"/>
            </w:pPr>
            <w:r>
              <w:rPr>
                <w:rFonts w:ascii="Arial" w:cs="Arial" w:eastAsia="Arial" w:hAnsi="Arial"/>
                <w:sz w:val="19"/>
                <w:szCs w:val="19"/>
              </w:rPr>
              <w:t xml:space="preserve">If the individual claims s.10AA and adjusted total income exceeds INR 20 lakh, AMT at 18.5% may apply.</w:t>
            </w:r>
          </w:p>
          <w:p>
            <w:pPr>
              <w:spacing w:after="20" w:before="0"/>
            </w:pPr>
            <w:r>
              <w:rPr>
                <w:rFonts w:ascii="Arial" w:cs="Arial" w:eastAsia="Arial" w:hAnsi="Arial"/>
                <w:sz w:val="19"/>
                <w:szCs w:val="19"/>
              </w:rPr>
              <w:t xml:space="preserve">Engine must compute AMT whenever s.10AA is claimed.</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18.8  Professional Income from Abroad — FEMA / DTAA Interaction</w:t>
      </w:r>
    </w:p>
    <w:p>
      <w:pPr>
        <w:spacing w:after="50" w:before="50"/>
      </w:pPr>
      <w:r>
        <w:rPr>
          <w:rFonts w:ascii="Arial" w:cs="Arial" w:eastAsia="Arial" w:hAnsi="Arial"/>
          <w:sz w:val="20"/>
          <w:szCs w:val="20"/>
        </w:rPr>
        <w:t xml:space="preserve">An Indian resident receiving professional income from foreign clients:</w:t>
      </w:r>
    </w:p>
    <w:p>
      <w:pPr>
        <w:pStyle w:val="ListParagraph"/>
        <w:numPr>
          <w:ilvl w:val="0"/>
          <w:numId w:val="2"/>
        </w:numPr>
        <w:spacing w:after="30" w:before="30"/>
      </w:pPr>
      <w:r>
        <w:rPr>
          <w:rFonts w:ascii="Arial" w:cs="Arial" w:eastAsia="Arial" w:hAnsi="Arial"/>
          <w:sz w:val="20"/>
          <w:szCs w:val="20"/>
        </w:rPr>
        <w:t xml:space="preserve">Income is fully taxable in India as PGBP (India taxes residents on worldwide income)</w:t>
      </w:r>
    </w:p>
    <w:p>
      <w:pPr>
        <w:pStyle w:val="ListParagraph"/>
        <w:numPr>
          <w:ilvl w:val="0"/>
          <w:numId w:val="2"/>
        </w:numPr>
        <w:spacing w:after="30" w:before="30"/>
      </w:pPr>
      <w:r>
        <w:rPr>
          <w:rFonts w:ascii="Arial" w:cs="Arial" w:eastAsia="Arial" w:hAnsi="Arial"/>
          <w:sz w:val="20"/>
          <w:szCs w:val="20"/>
        </w:rPr>
        <w:t xml:space="preserve">If the income is also taxed in the foreign country, DTAA relief is available — claim foreign tax credit under s.90/91</w:t>
      </w:r>
    </w:p>
    <w:p>
      <w:pPr>
        <w:pStyle w:val="ListParagraph"/>
        <w:numPr>
          <w:ilvl w:val="0"/>
          <w:numId w:val="2"/>
        </w:numPr>
        <w:spacing w:after="30" w:before="30"/>
      </w:pPr>
      <w:r>
        <w:rPr>
          <w:rFonts w:ascii="Arial" w:cs="Arial" w:eastAsia="Arial" w:hAnsi="Arial"/>
          <w:sz w:val="20"/>
          <w:szCs w:val="20"/>
        </w:rPr>
        <w:t xml:space="preserve">FEMA compliance: receipts must be repatriated to India within prescribed time if below FEMA threshold</w:t>
      </w:r>
    </w:p>
    <w:p>
      <w:pPr>
        <w:pStyle w:val="ListParagraph"/>
        <w:numPr>
          <w:ilvl w:val="0"/>
          <w:numId w:val="2"/>
        </w:numPr>
        <w:spacing w:after="30" w:before="30"/>
      </w:pPr>
      <w:r>
        <w:rPr>
          <w:rFonts w:ascii="Arial" w:cs="Arial" w:eastAsia="Arial" w:hAnsi="Arial"/>
          <w:sz w:val="20"/>
          <w:szCs w:val="20"/>
        </w:rPr>
        <w:t xml:space="preserve">Form 67 must be filed for foreign tax credit claim before filing the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6E" w:sz="1"/>
              <w:left w:val="single" w:color="1F7A6E" w:sz="1"/>
              <w:bottom w:val="single" w:color="1F7A6E" w:sz="1"/>
              <w:right w:val="single" w:color="1F7A6E" w:sz="1"/>
            </w:tcBorders>
            <w:shd w:fill="E0F0EE" w:val="clear"/>
            <w:tcMar>
              <w:top w:type="dxa" w:w="80"/>
              <w:left w:type="dxa" w:w="180"/>
              <w:bottom w:type="dxa" w:w="80"/>
              <w:right w:type="dxa" w:w="180"/>
            </w:tcMar>
          </w:tcPr>
          <w:p>
            <w:pPr>
              <w:spacing w:after="20" w:before="30"/>
            </w:pPr>
            <w:r>
              <w:rPr>
                <w:rFonts w:ascii="Arial" w:cs="Arial" w:eastAsia="Arial" w:hAnsi="Arial"/>
                <w:b/>
                <w:bCs/>
                <w:color w:val="1F7A6E"/>
                <w:sz w:val="20"/>
                <w:szCs w:val="20"/>
              </w:rPr>
              <w:t xml:space="preserve">↗  CROSS-REF: NRI / DTAA Spec</w:t>
            </w:r>
          </w:p>
          <w:p>
            <w:pPr>
              <w:spacing w:after="20" w:before="0"/>
            </w:pPr>
            <w:r>
              <w:rPr>
                <w:rFonts w:ascii="Arial" w:cs="Arial" w:eastAsia="Arial" w:hAnsi="Arial"/>
                <w:sz w:val="19"/>
                <w:szCs w:val="19"/>
              </w:rPr>
              <w:t xml:space="preserve">For NRIs receiving professional income: refer to NRI spec series.</w:t>
            </w:r>
          </w:p>
          <w:p>
            <w:pPr>
              <w:spacing w:after="20" w:before="0"/>
            </w:pPr>
            <w:r>
              <w:rPr>
                <w:rFonts w:ascii="Arial" w:cs="Arial" w:eastAsia="Arial" w:hAnsi="Arial"/>
                <w:sz w:val="19"/>
                <w:szCs w:val="19"/>
              </w:rPr>
              <w:t xml:space="preserve">For resident individuals with foreign professional income: DTAA relief computation is in DOM_Tax_06 or dedicated DTAA spec.</w:t>
            </w:r>
          </w:p>
          <w:p>
            <w:pPr>
              <w:spacing w:after="20" w:before="0"/>
            </w:pPr>
            <w:r>
              <w:rPr>
                <w:rFonts w:ascii="Arial" w:cs="Arial" w:eastAsia="Arial" w:hAnsi="Arial"/>
                <w:sz w:val="19"/>
                <w:szCs w:val="19"/>
              </w:rPr>
              <w:t xml:space="preserve">Form 67 filing is CA-handled — engine surfaces the requirement.</w:t>
            </w:r>
          </w:p>
        </w:tc>
      </w:tr>
    </w:tbl>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19  —  Engine Computation Flow and CA Dashboard Flags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19.1  Master Computation Sequence</w:t>
      </w:r>
    </w:p>
    <w:p>
      <w:pPr>
        <w:spacing w:after="30" w:before="30"/>
      </w:pPr>
      <w:r>
        <w:t xml:space="preserve"/>
      </w:r>
    </w:p>
    <w:p>
      <w:pPr>
        <w:pStyle w:val="ListParagraph"/>
        <w:numPr>
          <w:ilvl w:val="0"/>
          <w:numId w:val="3"/>
        </w:numPr>
        <w:spacing w:after="30" w:before="30"/>
      </w:pPr>
      <w:r>
        <w:rPr>
          <w:rFonts w:ascii="Arial" w:cs="Arial" w:eastAsia="Arial" w:hAnsi="Arial"/>
          <w:sz w:val="20"/>
          <w:szCs w:val="20"/>
        </w:rPr>
        <w:t xml:space="preserve">Classify all income streams at ingestion: speculative / non-speculative F&amp;O / professional / regular business / VDA</w:t>
      </w:r>
    </w:p>
    <w:p>
      <w:pPr>
        <w:pStyle w:val="ListParagraph"/>
        <w:numPr>
          <w:ilvl w:val="0"/>
          <w:numId w:val="3"/>
        </w:numPr>
        <w:spacing w:after="30" w:before="30"/>
      </w:pPr>
      <w:r>
        <w:rPr>
          <w:rFonts w:ascii="Arial" w:cs="Arial" w:eastAsia="Arial" w:hAnsi="Arial"/>
          <w:sz w:val="20"/>
          <w:szCs w:val="20"/>
        </w:rPr>
        <w:t xml:space="preserve">Route VDA income to VDA module — exclude from PGBP entirely</w:t>
      </w:r>
    </w:p>
    <w:p>
      <w:pPr>
        <w:pStyle w:val="ListParagraph"/>
        <w:numPr>
          <w:ilvl w:val="0"/>
          <w:numId w:val="3"/>
        </w:numPr>
        <w:spacing w:after="30" w:before="30"/>
      </w:pPr>
      <w:r>
        <w:rPr>
          <w:rFonts w:ascii="Arial" w:cs="Arial" w:eastAsia="Arial" w:hAnsi="Arial"/>
          <w:sz w:val="20"/>
          <w:szCs w:val="20"/>
        </w:rPr>
        <w:t xml:space="preserve">Check New Regime flag: if opted, display one-way lock-in warning before confirmation</w:t>
      </w:r>
    </w:p>
    <w:p>
      <w:pPr>
        <w:pStyle w:val="ListParagraph"/>
        <w:numPr>
          <w:ilvl w:val="0"/>
          <w:numId w:val="3"/>
        </w:numPr>
        <w:spacing w:after="30" w:before="30"/>
      </w:pPr>
      <w:r>
        <w:rPr>
          <w:rFonts w:ascii="Arial" w:cs="Arial" w:eastAsia="Arial" w:hAnsi="Arial"/>
          <w:sz w:val="20"/>
          <w:szCs w:val="20"/>
        </w:rPr>
        <w:t xml:space="preserve">Check s.44AD / s.44ADA / s.44AE eligibility and election; apply 5-year re-entry ban check for s.44AD</w:t>
      </w:r>
    </w:p>
    <w:p>
      <w:pPr>
        <w:pStyle w:val="ListParagraph"/>
        <w:numPr>
          <w:ilvl w:val="0"/>
          <w:numId w:val="3"/>
        </w:numPr>
        <w:spacing w:after="30" w:before="30"/>
      </w:pPr>
      <w:r>
        <w:rPr>
          <w:rFonts w:ascii="Arial" w:cs="Arial" w:eastAsia="Arial" w:hAnsi="Arial"/>
          <w:sz w:val="20"/>
          <w:szCs w:val="20"/>
        </w:rPr>
        <w:t xml:space="preserve">For presumptive taxpayers: compute presumptive income (split digital/cash for s.44AD); skip steps 5–9 for that income stream</w:t>
      </w:r>
    </w:p>
    <w:p>
      <w:pPr>
        <w:pStyle w:val="ListParagraph"/>
        <w:numPr>
          <w:ilvl w:val="0"/>
          <w:numId w:val="3"/>
        </w:numPr>
        <w:spacing w:after="30" w:before="30"/>
      </w:pPr>
      <w:r>
        <w:rPr>
          <w:rFonts w:ascii="Arial" w:cs="Arial" w:eastAsia="Arial" w:hAnsi="Arial"/>
          <w:sz w:val="20"/>
          <w:szCs w:val="20"/>
        </w:rPr>
        <w:t xml:space="preserve">For regular business income: collect gross receipts, begin allowable deductions computation</w:t>
      </w:r>
    </w:p>
    <w:p>
      <w:pPr>
        <w:pStyle w:val="ListParagraph"/>
        <w:numPr>
          <w:ilvl w:val="0"/>
          <w:numId w:val="3"/>
        </w:numPr>
        <w:spacing w:after="30" w:before="30"/>
      </w:pPr>
      <w:r>
        <w:rPr>
          <w:rFonts w:ascii="Arial" w:cs="Arial" w:eastAsia="Arial" w:hAnsi="Arial"/>
          <w:sz w:val="20"/>
          <w:szCs w:val="20"/>
        </w:rPr>
        <w:t xml:space="preserve">Apply specific deductions s.30–s.36 (rent, repairs, insurance, bad debts, s.35 research, s.35D preliminary expenses, s.35DDA VRS amortisation)</w:t>
      </w:r>
    </w:p>
    <w:p>
      <w:pPr>
        <w:pStyle w:val="ListParagraph"/>
        <w:numPr>
          <w:ilvl w:val="0"/>
          <w:numId w:val="3"/>
        </w:numPr>
        <w:spacing w:after="30" w:before="30"/>
      </w:pPr>
      <w:r>
        <w:rPr>
          <w:rFonts w:ascii="Arial" w:cs="Arial" w:eastAsia="Arial" w:hAnsi="Arial"/>
          <w:sz w:val="20"/>
          <w:szCs w:val="20"/>
        </w:rPr>
        <w:t xml:space="preserve">Compute depreciation: WDV block-wise, apply half-year rule, additional depreciation s.32(1)(iia), s.32AD backward area; check goodwill block (not depreciable)</w:t>
      </w:r>
    </w:p>
    <w:p>
      <w:pPr>
        <w:pStyle w:val="ListParagraph"/>
        <w:numPr>
          <w:ilvl w:val="0"/>
          <w:numId w:val="3"/>
        </w:numPr>
        <w:spacing w:after="30" w:before="30"/>
      </w:pPr>
      <w:r>
        <w:rPr>
          <w:rFonts w:ascii="Arial" w:cs="Arial" w:eastAsia="Arial" w:hAnsi="Arial"/>
          <w:sz w:val="20"/>
          <w:szCs w:val="20"/>
        </w:rPr>
        <w:t xml:space="preserve">Apply s.37(1) general deduction for remaining expenses; exclude personal expenses, capital expenditure</w:t>
      </w:r>
    </w:p>
    <w:p>
      <w:pPr>
        <w:pStyle w:val="ListParagraph"/>
        <w:numPr>
          <w:ilvl w:val="0"/>
          <w:numId w:val="3"/>
        </w:numPr>
        <w:spacing w:after="30" w:before="30"/>
      </w:pPr>
      <w:r>
        <w:rPr>
          <w:rFonts w:ascii="Arial" w:cs="Arial" w:eastAsia="Arial" w:hAnsi="Arial"/>
          <w:sz w:val="20"/>
          <w:szCs w:val="20"/>
        </w:rPr>
        <w:t xml:space="preserve">Apply disallowances: s.40(a)(ia) TDS default 30%, s.40A(3) cash payment, s.40A(2) related party flag, s.43B payment timing</w:t>
      </w:r>
    </w:p>
    <w:p>
      <w:pPr>
        <w:pStyle w:val="ListParagraph"/>
        <w:numPr>
          <w:ilvl w:val="0"/>
          <w:numId w:val="3"/>
        </w:numPr>
        <w:spacing w:after="30" w:before="30"/>
      </w:pPr>
      <w:r>
        <w:rPr>
          <w:rFonts w:ascii="Arial" w:cs="Arial" w:eastAsia="Arial" w:hAnsi="Arial"/>
          <w:sz w:val="20"/>
          <w:szCs w:val="20"/>
        </w:rPr>
        <w:t xml:space="preserve">Check s.41 deemed income: remissions, recoveries, bad debt recoveries</w:t>
      </w:r>
    </w:p>
    <w:p>
      <w:pPr>
        <w:pStyle w:val="ListParagraph"/>
        <w:numPr>
          <w:ilvl w:val="0"/>
          <w:numId w:val="3"/>
        </w:numPr>
        <w:spacing w:after="30" w:before="30"/>
      </w:pPr>
      <w:r>
        <w:rPr>
          <w:rFonts w:ascii="Arial" w:cs="Arial" w:eastAsia="Arial" w:hAnsi="Arial"/>
          <w:sz w:val="20"/>
          <w:szCs w:val="20"/>
        </w:rPr>
        <w:t xml:space="preserve">Check s.43CA: stamp duty uplift for immovable property sold as stock-in-trade</w:t>
      </w:r>
    </w:p>
    <w:p>
      <w:pPr>
        <w:pStyle w:val="ListParagraph"/>
        <w:numPr>
          <w:ilvl w:val="0"/>
          <w:numId w:val="3"/>
        </w:numPr>
        <w:spacing w:after="30" w:before="30"/>
      </w:pPr>
      <w:r>
        <w:rPr>
          <w:rFonts w:ascii="Arial" w:cs="Arial" w:eastAsia="Arial" w:hAnsi="Arial"/>
          <w:sz w:val="20"/>
          <w:szCs w:val="20"/>
        </w:rPr>
        <w:t xml:space="preserve">Validate closing stock valuation (cost vs NRV — lower of two)</w:t>
      </w:r>
    </w:p>
    <w:p>
      <w:pPr>
        <w:pStyle w:val="ListParagraph"/>
        <w:numPr>
          <w:ilvl w:val="0"/>
          <w:numId w:val="3"/>
        </w:numPr>
        <w:spacing w:after="30" w:before="30"/>
      </w:pPr>
      <w:r>
        <w:rPr>
          <w:rFonts w:ascii="Arial" w:cs="Arial" w:eastAsia="Arial" w:hAnsi="Arial"/>
          <w:sz w:val="20"/>
          <w:szCs w:val="20"/>
        </w:rPr>
        <w:t xml:space="preserve">Separate speculative income bucket and non-speculative income bucket</w:t>
      </w:r>
    </w:p>
    <w:p>
      <w:pPr>
        <w:pStyle w:val="ListParagraph"/>
        <w:numPr>
          <w:ilvl w:val="0"/>
          <w:numId w:val="3"/>
        </w:numPr>
        <w:spacing w:after="30" w:before="30"/>
      </w:pPr>
      <w:r>
        <w:rPr>
          <w:rFonts w:ascii="Arial" w:cs="Arial" w:eastAsia="Arial" w:hAnsi="Arial"/>
          <w:sz w:val="20"/>
          <w:szCs w:val="20"/>
        </w:rPr>
        <w:t xml:space="preserve">Apply intra-head set-off: speculative loss vs speculative profit; non-speculative loss vs other PGBP income</w:t>
      </w:r>
    </w:p>
    <w:p>
      <w:pPr>
        <w:pStyle w:val="ListParagraph"/>
        <w:numPr>
          <w:ilvl w:val="0"/>
          <w:numId w:val="3"/>
        </w:numPr>
        <w:spacing w:after="30" w:before="30"/>
      </w:pPr>
      <w:r>
        <w:rPr>
          <w:rFonts w:ascii="Arial" w:cs="Arial" w:eastAsia="Arial" w:hAnsi="Arial"/>
          <w:sz w:val="20"/>
          <w:szCs w:val="20"/>
        </w:rPr>
        <w:t xml:space="preserve">Apply brought-forward losses (oldest first): speculative BF vs speculative; non-speculative BF vs PGBP; unabsorbed depreciation vs any head</w:t>
      </w:r>
    </w:p>
    <w:p>
      <w:pPr>
        <w:pStyle w:val="ListParagraph"/>
        <w:numPr>
          <w:ilvl w:val="0"/>
          <w:numId w:val="3"/>
        </w:numPr>
        <w:spacing w:after="30" w:before="30"/>
      </w:pPr>
      <w:r>
        <w:rPr>
          <w:rFonts w:ascii="Arial" w:cs="Arial" w:eastAsia="Arial" w:hAnsi="Arial"/>
          <w:sz w:val="20"/>
          <w:szCs w:val="20"/>
        </w:rPr>
        <w:t xml:space="preserve">Apply inter-head set-off for residual non-speculative losses (against non-salary income)</w:t>
      </w:r>
    </w:p>
    <w:p>
      <w:pPr>
        <w:pStyle w:val="ListParagraph"/>
        <w:numPr>
          <w:ilvl w:val="0"/>
          <w:numId w:val="3"/>
        </w:numPr>
        <w:spacing w:after="30" w:before="30"/>
      </w:pPr>
      <w:r>
        <w:rPr>
          <w:rFonts w:ascii="Arial" w:cs="Arial" w:eastAsia="Arial" w:hAnsi="Arial"/>
          <w:sz w:val="20"/>
          <w:szCs w:val="20"/>
        </w:rPr>
        <w:t xml:space="preserve">Compute Chapter VI-A deductions (s.80C, 80D, 80JJAA, etc.) — Old Regime only</w:t>
      </w:r>
    </w:p>
    <w:p>
      <w:pPr>
        <w:pStyle w:val="ListParagraph"/>
        <w:numPr>
          <w:ilvl w:val="0"/>
          <w:numId w:val="3"/>
        </w:numPr>
        <w:spacing w:after="30" w:before="30"/>
      </w:pPr>
      <w:r>
        <w:rPr>
          <w:rFonts w:ascii="Arial" w:cs="Arial" w:eastAsia="Arial" w:hAnsi="Arial"/>
          <w:sz w:val="20"/>
          <w:szCs w:val="20"/>
        </w:rPr>
        <w:t xml:space="preserve">Check AMT applicability: compute ATI if s.10AA / s.35AD / s.80H–80RRB claimed; compare AMT vs normal tax</w:t>
      </w:r>
    </w:p>
    <w:p>
      <w:pPr>
        <w:pStyle w:val="ListParagraph"/>
        <w:numPr>
          <w:ilvl w:val="0"/>
          <w:numId w:val="3"/>
        </w:numPr>
        <w:spacing w:after="30" w:before="30"/>
      </w:pPr>
      <w:r>
        <w:rPr>
          <w:rFonts w:ascii="Arial" w:cs="Arial" w:eastAsia="Arial" w:hAnsi="Arial"/>
          <w:sz w:val="20"/>
          <w:szCs w:val="20"/>
        </w:rPr>
        <w:t xml:space="preserve">Compute advance tax schedule (4-instalment for regular; 1-instalment for presumptive)</w:t>
      </w:r>
    </w:p>
    <w:p>
      <w:pPr>
        <w:pStyle w:val="ListParagraph"/>
        <w:numPr>
          <w:ilvl w:val="0"/>
          <w:numId w:val="3"/>
        </w:numPr>
        <w:spacing w:after="30" w:before="30"/>
      </w:pPr>
      <w:r>
        <w:rPr>
          <w:rFonts w:ascii="Arial" w:cs="Arial" w:eastAsia="Arial" w:hAnsi="Arial"/>
          <w:sz w:val="20"/>
          <w:szCs w:val="20"/>
        </w:rPr>
        <w:t xml:space="preserve">Determine ITR form: ITR-4 for pure presumptive without CG; ITR-3 for all other business income</w:t>
      </w:r>
    </w:p>
    <w:p>
      <w:pPr>
        <w:pStyle w:val="ListParagraph"/>
        <w:numPr>
          <w:ilvl w:val="0"/>
          <w:numId w:val="3"/>
        </w:numPr>
        <w:spacing w:after="30" w:before="30"/>
      </w:pPr>
      <w:r>
        <w:rPr>
          <w:rFonts w:ascii="Arial" w:cs="Arial" w:eastAsia="Arial" w:hAnsi="Arial"/>
          <w:sz w:val="20"/>
          <w:szCs w:val="20"/>
        </w:rPr>
        <w:t xml:space="preserve">Determine audit requirement: check all s.44AB triggers</w:t>
      </w:r>
    </w:p>
    <w:p>
      <w:pPr>
        <w:pStyle w:val="ListParagraph"/>
        <w:numPr>
          <w:ilvl w:val="0"/>
          <w:numId w:val="3"/>
        </w:numPr>
        <w:spacing w:after="30" w:before="30"/>
      </w:pPr>
      <w:r>
        <w:rPr>
          <w:rFonts w:ascii="Arial" w:cs="Arial" w:eastAsia="Arial" w:hAnsi="Arial"/>
          <w:sz w:val="20"/>
          <w:szCs w:val="20"/>
        </w:rPr>
        <w:t xml:space="preserve">Generate CA dashboard flags</w:t>
      </w:r>
    </w:p>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19.2  CA Dashboard Flags — Complete List</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Flag</w:t>
            </w:r>
          </w:p>
        </w:tc>
        <w:tc>
          <w:tcPr>
            <w:tcW w:type="dxa" w:w="3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Trigger</w:t>
            </w:r>
          </w:p>
        </w:tc>
        <w:tc>
          <w:tcPr>
            <w:tcW w:type="dxa" w:w="31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AUDIT_REQUIRED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Any s.44AB threshold breached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LOSS_CARRY_FORWARD_LAPSED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Return filed after due date with business losses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S44AD_REENTRY_BLOCKED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Within 5-year ban window after opt-out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NEW_REGIME_LOCK_IN_WARNING</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Business income taxpayer selecting New Regime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AMT_APPLICABLE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AMT exceeds normal tax</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BOOKS_MAINTENANCE_REQUIRED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Income exceeds s.44AA threshold or opted out below presumptive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VALUATION_OFFICER_RISK</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User-estimated FMV on unlisted shares, property, jewellery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CASH_PAYMENT_DISALLOWANCE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Cash payments exceeding INR 10,000 / 35,000 limit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TDS_DEFAULT_DISALLOWANCE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30% disallowance under s.40(a)(ia)</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S43B_PAYMENT_PENDING</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Statutory dues not paid before due date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MSME_PAYMENT_OVERDUE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MSME payable outstanding beyond prescribed period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RELATED_PARTY_PAYMENT_REVIEW</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Payments to related parties — s.40A(2) exposure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DEPRECIABLE_ASSET_STCG</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Block WDV goes negative after asset sale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S41_DEEMED_INCOME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Trading liability remitted or bad debt recovered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S43CA_STAMP_DUTY_UPLIFT</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Business immovable property sold below 90% of circle rate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GROSS_PROFIT_RATIO_VARIANCE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GP ratio change &gt; 10% vs prior year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LLP_PROFIT_SHARE_TAXABLE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User is LLP partner — profit share not exempt unlike firm partner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RETURN_BEFORE_DUE_DATE_ALERT</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Taxpayer has business losses — reminder to file on time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FOREIGN_INCOME_FORM67</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Resident with foreign professional income — Form 67 required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SEZ_AMT_TRIGGER</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s.10AA claimed — AMT check required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High</w:t>
            </w:r>
          </w:p>
        </w:tc>
      </w:tr>
    </w:tbl>
    <w:p>
      <w:pPr>
        <w:spacing w:after="30" w:before="30"/>
      </w:pPr>
      <w:r>
        <w:t xml:space="preserve"/>
      </w:r>
    </w:p>
    <w:p>
      <w:pPr>
        <w:pStyle w:val="Heading2"/>
        <w:pBdr>
          <w:bottom w:val="single" w:color="2E75B6" w:sz="6" w:space="2"/>
        </w:pBdr>
        <w:spacing w:after="100" w:before="280"/>
      </w:pPr>
      <w:r>
        <w:rPr>
          <w:rFonts w:ascii="Arial" w:cs="Arial" w:eastAsia="Arial" w:hAnsi="Arial"/>
          <w:b/>
          <w:bCs/>
          <w:color w:val="1F3864"/>
          <w:sz w:val="26"/>
          <w:szCs w:val="26"/>
        </w:rPr>
        <w:t xml:space="preserve">19.3  Required Data Inputs from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20"/>
            </w:tcMar>
          </w:tcPr>
          <w:p>
            <w:r>
              <w:rPr>
                <w:rFonts w:ascii="Arial" w:cs="Arial" w:eastAsia="Arial" w:hAnsi="Arial"/>
                <w:b/>
                <w:bCs/>
                <w:color w:val="FFFFFF"/>
                <w:sz w:val="19"/>
                <w:szCs w:val="19"/>
              </w:rPr>
              <w:t xml:space="preserve">Input</w:t>
            </w:r>
          </w:p>
        </w:tc>
        <w:tc>
          <w:tcPr>
            <w:tcW w:type="dxa" w:w="616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color w:val="FFFFFF"/>
                <w:sz w:val="19"/>
                <w:szCs w:val="19"/>
              </w:rPr>
              <w:t xml:space="preserve">Source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Nature of business / profession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User selection at onboarding</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Gross turnover / receipts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Manual entry or GST return import</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Payment mode breakdown (digital vs cash)</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Bank statement via Account Aggregator or manual</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F&amp;O trade ledger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Broker API — Zerodha, AngelOne, ICICI Direct, Upstox, Groww</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Intraday equity trade ledger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Same as above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Expense details with category and payment mode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User entry with category tags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Asset register (for depreciation)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Manual entry — maintained in Wising platform</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s.44AD / s.44ADA history (prior year elections)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User-provided or retained from prior year session</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Brought-forward losses from prior ITRs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User-provided ITR summary or AIS data</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TDS certificates (Form 26AS / AIS reconciliation)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Auto-populated via income tax portal API</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GST registration status and turnover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User input</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Related party list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User declaration at onboarding</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MSME payable details and payment dates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User entry — flag if outstanding beyond 45 days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1A1A1A"/>
                <w:sz w:val="19"/>
                <w:szCs w:val="19"/>
              </w:rPr>
              <w:t xml:space="preserve">Foreign income details (if any)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User input — cross-reference to DTAA module</w:t>
            </w:r>
          </w:p>
        </w:tc>
      </w:tr>
    </w:tbl>
    <w:p>
      <w:pPr>
        <w:spacing w:after="30" w:before="30"/>
      </w:pPr>
      <w:r>
        <w:t xml:space="preserve"/>
      </w:r>
    </w:p>
    <w:p>
      <w:pPr>
        <w:pStyle w:val="Heading1"/>
        <w:shd w:fill="1F3864" w:val="clear"/>
        <w:spacing w:after="120" w:before="400"/>
        <w:ind w:left="160" w:right="160"/>
      </w:pPr>
      <w:r>
        <w:rPr>
          <w:rFonts w:ascii="Arial" w:cs="Arial" w:eastAsia="Arial" w:hAnsi="Arial"/>
          <w:b/>
          <w:bCs/>
          <w:color w:val="FFFFFF"/>
          <w:sz w:val="30"/>
          <w:szCs w:val="30"/>
        </w:rPr>
        <w:t xml:space="preserve">Section 20  —  Statutory Reference Table</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Section / Rule</w:t>
            </w:r>
          </w:p>
        </w:tc>
        <w:tc>
          <w:tcPr>
            <w:tcW w:type="dxa" w:w="38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Subject</w:t>
            </w:r>
          </w:p>
        </w:tc>
        <w:tc>
          <w:tcPr>
            <w:tcW w:type="dxa" w:w="316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s.28</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Incomes chargeable under PGBP</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Lists all chargeability items including keyman insurance, export incentives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s.29</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Computation of income from PGBP</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Refers to s.30-s.43D for computation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s.30</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Rent, rates, taxes, repairs, insurance for buildings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Specific deduction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s.31</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Repairs and insurance for plant, machinery, furniture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Specific deduction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s.32</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Depreciation — WDV method, additional depreciation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Core depreciation section; goodwill excluded from AY 2021-22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s.32AC</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Investment allowance for companies (new plant &gt;100 crore)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Companies only — out of scope for individual spec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s.32AD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Investment allowance for new plant in notified backward areas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Available to individuals — 15% of cost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s.33AB</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Tea/Coffee/Rubber Development Account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Rare deduction — agricultural commodity businesses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s.35</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Scientific research expenditure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100% deduction post FA 2023; no weighted deduction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s.35D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Amortisation of preliminary expenses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1/5th per year over 5 years; max 5% of cost of project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s.35DDA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Amortisation of VRS payments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1/5th per year over 5 years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s.36</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Other specific deductions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Bonus (s.36(1)(ii)), interest on borrowed capital (s.36(1)(iii)), bad debts (s.36(1)(vii)), STT note (s.36(1)(xv))</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s.37(1)</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General deduction for business expenses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Revenue, wholly and exclusively for business, not offence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s.40(a)(i)</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Payments to non-residents — TDS default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100% disallowed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s.40(a)(ia)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Payments to residents — TDS default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30% disallowed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s.40(b)</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Remuneration to partners — limits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Applies at firm level; partner receives as PGBP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s.40A(2)</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Excessive payments to related parties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Flag for CA review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s.40A(3)</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Cash payments &gt; INR 10,000 in a day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100% disallowance; INR 35,000 for transporters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s.41</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Deemed business income: remissions, recoveries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s.41(1) cessation of liability; s.41(4) bad debt recovery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s.43(5)</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Definition of speculative transaction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Proviso (d): F&amp;O on recognised exchange is non-speculative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s.43B</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Actual payment rule for certain expenses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MSME payment clause added by FA 2023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s.43CA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Stamp duty value for business property transfers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Safe harbour: 90% of stamp duty value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Maintenance of accounts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Books required above prescribed income thresholds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s.44AB</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Tax audit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s.44AB(a): business; (b): professional; (e): presumptive opt-out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Presumptive — small business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8%/6% of turnover; 5-year re-entry ban; INR 2/3 crore threshold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s.44ADA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Presumptive — professionals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50% of gross receipts; INR 75 lakh threshold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s.44AE</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Presumptive — goods transport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INR 1,000/tonne/month or INR 7,500/vehicle/month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s.50</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STCG on depreciable assets (block goes negative)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Routes to capital gains module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s.50B</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Slump sale — NOT applicable to individuals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Companies and firms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s.55A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Valuation Officer reference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Flag if FMV is user-estimated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s.72</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Carry forward of non-speculative business loss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8 years; inter-head set-off except salary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s.73</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Carry forward of speculative business loss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4 years; intra-head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Condition for carry forward (must file on time)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Unabsorbed depreciation exempt from this condition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s.10(2A)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Share of profit from registered firm — exempt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Not applicable to LLP partner profits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s.10AA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SEZ unit deduction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Triggers AMT check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s.35AD</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Capital expenditure for specified businesses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Triggers AMT check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s.80JJAA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30% deduction for new employee wages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3 consecutive AYs; employee emoluments &lt;= INR 25,000/month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s.115BAC</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New Tax Regime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One-way lock-in for business income taxpayers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s.115JC</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Alternative Minimum Tax (AMT)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Applies to individuals with s.10AA / s.35AD / s.80H–80RRB claims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s.115BBH</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VDA/crypto income at flat 30%</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Overrides PGBP — crypto is NOT PGBP income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s.234A</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Interest for late return filing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 per month on unpaid tax</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s.234B</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Interest for default in advance tax</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 per month on shortfall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s.234C</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Interest for deferment of advance tax instalment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1% per month per instalment shortfall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Rule 6F (Income Tax Rules)</w:t>
            </w:r>
          </w:p>
        </w:tc>
        <w:tc>
          <w:tcPr>
            <w:tcW w:type="dxa" w:w="3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1A1A1A"/>
                <w:sz w:val="18"/>
                <w:szCs w:val="18"/>
              </w:rPr>
              <w:t xml:space="preserve">Prescribed books for professionals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Applies to s.44AA professions</w:t>
            </w:r>
          </w:p>
        </w:tc>
      </w:tr>
    </w:tbl>
    <w:p>
      <w:pPr>
        <w:spacing w:after="30" w:before="30"/>
      </w:pPr>
      <w:r>
        <w:t xml:space="preserve"/>
      </w:r>
    </w:p>
    <w:p>
      <w:pPr>
        <w:pBdr>
          <w:top w:val="single" w:color="BFBFBF" w:sz="6" w:space="6"/>
        </w:pBdr>
        <w:spacing w:after="120" w:before="320"/>
        <w:jc w:val="center"/>
      </w:pPr>
      <w:r>
        <w:rPr>
          <w:rFonts w:ascii="Arial" w:cs="Arial" w:eastAsia="Arial" w:hAnsi="Arial"/>
          <w:b/>
          <w:bCs/>
          <w:i/>
          <w:iCs/>
          <w:color w:val="BFBFBF"/>
          <w:sz w:val="18"/>
          <w:szCs w:val="18"/>
        </w:rPr>
        <w:t xml:space="preserve">END OF SPECIFICATION  —  DOM_Tax_03_Business_FnO  v2.0</w:t>
      </w:r>
    </w:p>
    <w:p>
      <w:pPr>
        <w:spacing w:after="80" w:before="0"/>
        <w:jc w:val="center"/>
      </w:pPr>
      <w:r>
        <w:rPr>
          <w:rFonts w:ascii="Arial" w:cs="Arial" w:eastAsia="Arial" w:hAnsi="Arial"/>
          <w:i/>
          <w:iCs/>
          <w:color w:val="BFBFBF"/>
          <w:sz w:val="16"/>
          <w:szCs w:val="16"/>
        </w:rPr>
        <w:t xml:space="preserve">All provisions as per Finance Act 2024 applicable for AY 2025-26  |  Wising Intelligence — CONFIDENTIAL</w:t>
      </w:r>
    </w:p>
    <w:sectPr>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right"/>
    </w:pPr>
    <w:r>
      <w:rPr>
        <w:rFonts w:ascii="Arial" w:cs="Arial" w:eastAsia="Arial" w:hAnsi="Arial"/>
        <w:color w:val="BFBFBF"/>
        <w:sz w:val="16"/>
        <w:szCs w:val="16"/>
      </w:rPr>
      <w:t xml:space="preserve">Wising Intelligence  |  DOM_Tax_03_Business_FnO  |  CONFIDENTIAL  |  Page </w:t>
    </w:r>
    <w:r>
      <w:rPr>
        <w:rFonts w:ascii="Arial" w:cs="Arial" w:eastAsia="Arial" w:hAnsi="Arial"/>
        <w:color w:val="BFBFBF"/>
        <w:sz w:val="16"/>
        <w:szCs w:val="16"/>
      </w:rPr>
      <w:fldChar w:fldCharType="begin"/>
      <w:instrText xml:space="preserve">PAGE</w:instrText>
      <w:fldChar w:fldCharType="separate"/>
      <w:fldChar w:fldCharType="end"/>
    </w:r>
    <w:r>
      <w:rPr>
        <w:rFonts w:ascii="Arial" w:cs="Arial" w:eastAsia="Arial" w:hAnsi="Arial"/>
        <w:color w:val="BFBFBF"/>
        <w:sz w:val="16"/>
        <w:szCs w:val="16"/>
      </w:rPr>
      <w:t xml:space="preserve"> of </w:t>
    </w:r>
    <w:r>
      <w:rPr>
        <w:rFonts w:ascii="Arial" w:cs="Arial" w:eastAsia="Arial" w:hAnsi="Arial"/>
        <w:color w:val="BFBFB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2026-04-01T13:11:22.565Z</dcterms:created>
  <dcterms:modified xsi:type="dcterms:W3CDTF">2026-04-01T13:11:22.620Z</dcterms:modified>
</cp:coreProperties>
</file>

<file path=docProps/custom.xml><?xml version="1.0" encoding="utf-8"?>
<Properties xmlns="http://schemas.openxmlformats.org/officeDocument/2006/custom-properties" xmlns:vt="http://schemas.openxmlformats.org/officeDocument/2006/docPropsVTypes"/>
</file>