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2E4057"/>
          <w:sz w:val="28"/>
          <w:szCs w:val="28"/>
        </w:rPr>
        <w:t xml:space="preserve">WISING INTELLIGENCE PRIVATE LIMITED</w:t>
      </w:r>
    </w:p>
    <w:p>
      <w:pPr>
        <w:spacing w:after="80"/>
      </w:pPr>
      <w:r>
        <w:rPr>
          <w:rFonts w:ascii="Arial" w:cs="Arial" w:eastAsia="Arial" w:hAnsi="Arial"/>
          <w:color w:val="666666"/>
          <w:sz w:val="22"/>
          <w:szCs w:val="22"/>
        </w:rPr>
        <w:t xml:space="preserve">India Tax Engine Specification</w:t>
      </w:r>
    </w:p>
    <w:p>
      <w:pPr>
        <w:spacing w:after="400"/>
      </w:pPr>
      <w:r>
        <w:rPr>
          <w:rFonts w:ascii="Arial" w:cs="Arial" w:eastAsia="Arial" w:hAnsi="Arial"/>
          <w:b/>
          <w:bCs/>
          <w:color w:val="2E4057"/>
          <w:sz w:val="36"/>
          <w:szCs w:val="36"/>
        </w:rPr>
        <w:t xml:space="preserve">Other Sources of Income — v2 (REIT/InvIT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WISING-DOM-TAX-004</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2.0 (v1 + REIT/InvIT section added)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Sarthak — CA, CEO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Consumer</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Devanshu (CTO) · Nihal (CPO)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DRAFT — CA sign-off required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Governing Law</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Income Tax Act 1961 · Finance Act 2023 · Finance Act 2024 · FEMA 1999 · RBI Master Directions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Companion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WISING-TAX-IN-002 v5 · DOM_Tax_05_GTI_Slab v2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March 2026</w:t>
            </w:r>
          </w:p>
        </w:tc>
      </w:tr>
    </w:tbl>
    <w:p>
      <w:pPr>
        <w:spacing w:after="100"/>
      </w:pPr>
      <w:r>
        <w:t xml:space="preserve"/>
      </w:r>
    </w:p>
    <w:p>
      <w:pPr>
        <w:pStyle w:val="Heading1"/>
        <w:spacing w:before="320" w:after="160"/>
      </w:pPr>
      <w:r>
        <w:rPr>
          <w:rFonts w:ascii="Arial" w:cs="Arial" w:eastAsia="Arial" w:hAnsi="Arial"/>
          <w:b/>
          <w:bCs/>
          <w:color w:val="2E4057"/>
          <w:sz w:val="32"/>
          <w:szCs w:val="32"/>
        </w:rPr>
        <w:t xml:space="preserve">Version 2.0 Change Log</w:t>
      </w:r>
    </w:p>
    <w:p>
      <w:pPr>
        <w:shd w:fill="E0F4FF" w:val="clear"/>
        <w:spacing w:before="100" w:after="100"/>
        <w:ind w:left="360" w:right="360"/>
      </w:pPr>
      <w:r>
        <w:rPr>
          <w:rFonts w:ascii="Arial" w:cs="Arial" w:eastAsia="Arial" w:hAnsi="Arial"/>
          <w:b/>
          <w:bCs/>
          <w:color w:val="004D8B"/>
          <w:sz w:val="20"/>
          <w:szCs w:val="20"/>
        </w:rPr>
        <w:t xml:space="preserve">★ New / Updated  </w:t>
      </w:r>
      <w:r>
        <w:rPr>
          <w:rFonts w:ascii="Arial" w:cs="Arial" w:eastAsia="Arial" w:hAnsi="Arial"/>
          <w:color w:val="004D8B"/>
          <w:sz w:val="20"/>
          <w:szCs w:val="20"/>
        </w:rPr>
        <w:t xml:space="preserve">v2 adds REIT and InvIT distribution taxation (Section X) to the existing other sources of income coverage. All v1 content unchanged.</w:t>
      </w:r>
    </w:p>
    <w:p>
      <w:pPr>
        <w:spacing w:after="100"/>
      </w:pPr>
      <w:r>
        <w:t xml:space="preserve"/>
      </w:r>
    </w:p>
    <w:p>
      <w:pPr>
        <w:pStyle w:val="Heading1"/>
        <w:spacing w:before="320" w:after="160"/>
      </w:pPr>
      <w:r>
        <w:rPr>
          <w:rFonts w:ascii="Arial" w:cs="Arial" w:eastAsia="Arial" w:hAnsi="Arial"/>
          <w:b/>
          <w:bCs/>
          <w:color w:val="2E4057"/>
          <w:sz w:val="32"/>
          <w:szCs w:val="32"/>
        </w:rPr>
        <w:t xml:space="preserve">Part A: Other Sources — v1 Content (unchanged)</w:t>
      </w:r>
    </w:p>
    <w:p>
      <w:pPr>
        <w:shd w:fill="E8F4F8" w:val="clear"/>
        <w:spacing w:before="100" w:after="100"/>
        <w:ind w:left="360" w:right="360"/>
      </w:pPr>
      <w:r>
        <w:rPr>
          <w:rFonts w:ascii="Arial" w:cs="Arial" w:eastAsia="Arial" w:hAnsi="Arial"/>
          <w:b/>
          <w:bCs/>
          <w:color w:val="004D6B"/>
          <w:sz w:val="20"/>
          <w:szCs w:val="20"/>
        </w:rPr>
        <w:t xml:space="preserve">ℹ Note  </w:t>
      </w:r>
      <w:r>
        <w:rPr>
          <w:rFonts w:ascii="Arial" w:cs="Arial" w:eastAsia="Arial" w:hAnsi="Arial"/>
          <w:color w:val="004D6B"/>
          <w:sz w:val="20"/>
          <w:szCs w:val="20"/>
        </w:rPr>
        <w:t xml:space="preserve">Sections covering interest income, dividend income, family pension, winning from lotteries/games, gifts under s.56(2)(x), and other sources covered in v1 remain authoritative. Refer v1 for those sections.</w:t>
      </w:r>
    </w:p>
    <w:p>
      <w:pPr>
        <w:spacing w:after="100"/>
      </w:pPr>
      <w:r>
        <w:t xml:space="preserve"/>
      </w:r>
    </w:p>
    <w:p>
      <w:pPr>
        <w:pStyle w:val="Heading1"/>
        <w:spacing w:before="320" w:after="160"/>
      </w:pPr>
      <w:r>
        <w:rPr>
          <w:rFonts w:ascii="Arial" w:cs="Arial" w:eastAsia="Arial" w:hAnsi="Arial"/>
          <w:b/>
          <w:bCs/>
          <w:color w:val="2E4057"/>
          <w:sz w:val="32"/>
          <w:szCs w:val="32"/>
        </w:rPr>
        <w:t xml:space="preserve">Part B: ★ REITs and InvITs — Distribution Tax Treatment</w:t>
      </w:r>
    </w:p>
    <w:p>
      <w:pPr>
        <w:shd w:fill="E0F4FF" w:val="clear"/>
        <w:spacing w:before="100" w:after="100"/>
        <w:ind w:left="360" w:right="360"/>
      </w:pPr>
      <w:r>
        <w:rPr>
          <w:rFonts w:ascii="Arial" w:cs="Arial" w:eastAsia="Arial" w:hAnsi="Arial"/>
          <w:b/>
          <w:bCs/>
          <w:color w:val="004D8B"/>
          <w:sz w:val="20"/>
          <w:szCs w:val="20"/>
        </w:rPr>
        <w:t xml:space="preserve">★ New / Updated  </w:t>
      </w:r>
      <w:r>
        <w:rPr>
          <w:rFonts w:ascii="Arial" w:cs="Arial" w:eastAsia="Arial" w:hAnsi="Arial"/>
          <w:color w:val="004D8B"/>
          <w:sz w:val="20"/>
          <w:szCs w:val="20"/>
        </w:rPr>
        <w:t xml:space="preserve">Fix CG-15 (MEDIUM). New in v2. REITs (Real Estate Investment Trusts listed under SEBI REIT Regulations 2014) and InvITs (Infrastructure Investment Trusts under SEBI InvIT Regulations 2014) have grown significantly as investment vehicles for Indian HNIs. Their distribution treatment follows a four-bucket model — each component taxed differently.</w:t>
      </w:r>
    </w:p>
    <w:p>
      <w:pPr>
        <w:pStyle w:val="Heading2"/>
        <w:spacing w:before="240" w:after="100"/>
      </w:pPr>
      <w:r>
        <w:rPr>
          <w:rFonts w:ascii="Arial" w:cs="Arial" w:eastAsia="Arial" w:hAnsi="Arial"/>
          <w:b/>
          <w:bCs/>
          <w:color w:val="2E4057"/>
          <w:sz w:val="26"/>
          <w:szCs w:val="26"/>
        </w:rPr>
        <w:t xml:space="preserve">B.1 What Are REITs and InvITs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REIT</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InvIT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Underlying asset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Income-generating commercial real estate (offices, malls, warehouses)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Infrastructure assets (roads, power plants, gas pipelines, telecom towers)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SEBI Regulation</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SEBI REIT Regulations 2014</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SEBI InvIT Regulations 2014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Listed on NSE/BSE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Listed on NSE/BSE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Minimum distribution</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At least 90% of distributable cash flows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At least 90% of distributable cash 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Key examples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Embassy REIT, Mindspace REIT, Brookfield REIT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IndiGrid, PowerGrid InvIT, IRB InvIT</w:t>
            </w:r>
          </w:p>
        </w:tc>
      </w:tr>
    </w:tbl>
    <w:p>
      <w:pPr>
        <w:spacing w:after="100"/>
      </w:pPr>
      <w:r>
        <w:t xml:space="preserve"/>
      </w:r>
    </w:p>
    <w:p>
      <w:pPr>
        <w:pStyle w:val="Heading2"/>
        <w:spacing w:before="240" w:after="100"/>
      </w:pPr>
      <w:r>
        <w:rPr>
          <w:rFonts w:ascii="Arial" w:cs="Arial" w:eastAsia="Arial" w:hAnsi="Arial"/>
          <w:b/>
          <w:bCs/>
          <w:color w:val="2E4057"/>
          <w:sz w:val="26"/>
          <w:szCs w:val="26"/>
        </w:rPr>
        <w:t xml:space="preserve">B.2 Distribution Components — Four Buckets</w:t>
      </w:r>
    </w:p>
    <w:p>
      <w:pPr>
        <w:shd w:fill="F0EAF9" w:val="clear"/>
        <w:spacing w:before="100" w:after="100"/>
        <w:ind w:left="360" w:right="360"/>
      </w:pPr>
      <w:r>
        <w:rPr>
          <w:rFonts w:ascii="Arial" w:cs="Arial" w:eastAsia="Arial" w:hAnsi="Arial"/>
          <w:b/>
          <w:bCs/>
          <w:color w:val="6B3FA0"/>
          <w:sz w:val="20"/>
          <w:szCs w:val="20"/>
        </w:rPr>
        <w:t xml:space="preserve">▌ India  </w:t>
      </w:r>
      <w:r>
        <w:rPr>
          <w:rFonts w:ascii="Arial" w:cs="Arial" w:eastAsia="Arial" w:hAnsi="Arial"/>
          <w:color w:val="6B3FA0"/>
          <w:sz w:val="20"/>
          <w:szCs w:val="20"/>
        </w:rPr>
        <w:t xml:space="preserve">Each distribution from a REIT/InvIT is classified into one of four components by the trust. The investor receives a certificate (similar to TDS certificate) specifying the split. Each component is taxed differently in the investor's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00"/>
        <w:gridCol w:w="2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Tax in Investor's Hands</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Loan given by REIT/InvIT to underlying Special Purpose Vehicle (SPV)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Taxable at applicable slab rate under 'other sources'. No deduction available.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TDS u/s 194LBA at 10% for residents; applicable DTAA rate for NRIs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Dividend from SPV</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Dividends received by REIT/InvIT from its SPV(s) and passed through</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 in investor's hands — if SPV has paid corporate tax and distributed through REIT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TDS on dividend component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Capital gains from asset sale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REIT/InvIT sells an underlying asset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LTCG or STCG based on holding period. Listed REIT/InvIT units: LTCG if held &gt;12m (12.5% above ₹1.25L), STCG if ≤12m (20%)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separate TDS — CG taxation at unit sale applies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Return of capital / amortisation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Principal repayment component in distributions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taxable — reduces cost of acquisition. Adjusted NAV is the correct cost basis for eventual sale.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TDS on return of capital</w:t>
            </w:r>
          </w:p>
        </w:tc>
      </w:tr>
    </w:tbl>
    <w:p>
      <w:pPr>
        <w:spacing w:after="100"/>
      </w:pPr>
      <w:r>
        <w:t xml:space="preserve"/>
      </w:r>
    </w:p>
    <w:p>
      <w:pPr>
        <w:pStyle w:val="Heading2"/>
        <w:spacing w:before="240" w:after="100"/>
      </w:pPr>
      <w:r>
        <w:rPr>
          <w:rFonts w:ascii="Arial" w:cs="Arial" w:eastAsia="Arial" w:hAnsi="Arial"/>
          <w:b/>
          <w:bCs/>
          <w:color w:val="2E4057"/>
          <w:sz w:val="26"/>
          <w:szCs w:val="26"/>
        </w:rPr>
        <w:t xml:space="preserve">B.3 Capital Gains on Sale of REIT/InvIT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Holding Period</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Tax Rate</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 months (STCG)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 + surcharge + 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STT paid on exchange-listed units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&gt;12 months (LTCG)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12.5% on gains above ₹1.25L + surcharge + cess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STT paid on exchange-listed units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Unlisted units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STCG: slab rate. LTCG (&gt;24m): 12.5%.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STT</w:t>
            </w:r>
          </w:p>
        </w:tc>
      </w:tr>
    </w:tbl>
    <w:p>
      <w:pPr>
        <w:spacing w:after="100"/>
      </w:pPr>
      <w:r>
        <w:t xml:space="preserve"/>
      </w:r>
    </w:p>
    <w:p>
      <w:pPr>
        <w:pStyle w:val="Heading2"/>
        <w:spacing w:before="240" w:after="100"/>
      </w:pPr>
      <w:r>
        <w:rPr>
          <w:rFonts w:ascii="Arial" w:cs="Arial" w:eastAsia="Arial" w:hAnsi="Arial"/>
          <w:b/>
          <w:bCs/>
          <w:color w:val="2E4057"/>
          <w:sz w:val="26"/>
          <w:szCs w:val="26"/>
        </w:rPr>
        <w:t xml:space="preserve">B.4 Cost Basis Adjustment for Return of Capital</w:t>
      </w:r>
    </w:p>
    <w:p>
      <w:pPr>
        <w:shd w:fill="FFE8E8" w:val="clear"/>
        <w:spacing w:before="100" w:after="100"/>
        <w:ind w:left="360" w:right="360"/>
      </w:pPr>
      <w:r>
        <w:rPr>
          <w:rFonts w:ascii="Arial" w:cs="Arial" w:eastAsia="Arial" w:hAnsi="Arial"/>
          <w:b/>
          <w:bCs/>
          <w:color w:val="8B0000"/>
          <w:sz w:val="20"/>
          <w:szCs w:val="20"/>
        </w:rPr>
        <w:t xml:space="preserve">🚫 Critical  </w:t>
      </w:r>
      <w:r>
        <w:rPr>
          <w:rFonts w:ascii="Arial" w:cs="Arial" w:eastAsia="Arial" w:hAnsi="Arial"/>
          <w:color w:val="8B0000"/>
          <w:sz w:val="20"/>
          <w:szCs w:val="20"/>
        </w:rPr>
        <w:t xml:space="preserve">This is the most commonly missed computation for REIT/InvIT investors. Each return-of-capital distribution reduces the investor's cost of acquisition. When units are eventually sold, the capital gain is computed on the adjusted (reduced) cost — not the original purchase price. Engine must track cumulative return-of-capital distributions per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Computation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Investor buys 1000 REIT units at ₹300 each (total cost: ₹3,00,000)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Initial cost of acquisition: ₹3,00,000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 2 years receives ₹15 per unit return-of-capital distributions (total ₹15,000)</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Adjusted cost of acquisition: ₹3,00,000 − ₹15,000 = ₹2,85,000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Sells units at ₹350 each (total ₹3,50,000). Held 18 months (LTCG)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LTCG = ₹3,50,000 − ₹2,85,000 = ₹65,000. LTCG tax: 12.5% on ₹65,000 = ₹8,125 (above ₹1.25L threshold — exempt here)</w:t>
            </w:r>
          </w:p>
        </w:tc>
      </w:tr>
    </w:tbl>
    <w:p>
      <w:pPr>
        <w:shd w:fill="FFF8DC" w:val="clear"/>
        <w:spacing w:before="100" w:after="100"/>
        <w:ind w:left="360" w:right="360"/>
      </w:pPr>
      <w:r>
        <w:rPr>
          <w:rFonts w:ascii="Arial" w:cs="Arial" w:eastAsia="Arial" w:hAnsi="Arial"/>
          <w:b/>
          <w:bCs/>
          <w:color w:val="8B6914"/>
          <w:sz w:val="20"/>
          <w:szCs w:val="20"/>
        </w:rPr>
        <w:t xml:space="preserve">⚑ Engine Flag  </w:t>
      </w:r>
      <w:r>
        <w:rPr>
          <w:rFonts w:ascii="Arial" w:cs="Arial" w:eastAsia="Arial" w:hAnsi="Arial"/>
          <w:color w:val="8B6914"/>
          <w:sz w:val="20"/>
          <w:szCs w:val="20"/>
        </w:rPr>
        <w:t xml:space="preserve">Engine flag: REIT_INVIT_DISTRIBUTION_TRACKING — when user holds REIT/InvIT units: track each distribution component. REIT_COST_BASIS_ADJUSTMENT — reduce cost of acquisition by cumulative return-of-capital received. Alert when cost of acquisition approaches zero (all distributions thereafter become taxable CG).</w:t>
      </w:r>
    </w:p>
    <w:p>
      <w:pPr>
        <w:spacing w:after="100"/>
      </w:pPr>
      <w:r>
        <w:t xml:space="preserve"/>
      </w:r>
    </w:p>
    <w:p>
      <w:pPr>
        <w:pStyle w:val="Heading2"/>
        <w:spacing w:before="240" w:after="100"/>
      </w:pPr>
      <w:r>
        <w:rPr>
          <w:rFonts w:ascii="Arial" w:cs="Arial" w:eastAsia="Arial" w:hAnsi="Arial"/>
          <w:b/>
          <w:bCs/>
          <w:color w:val="2E4057"/>
          <w:sz w:val="26"/>
          <w:szCs w:val="26"/>
        </w:rPr>
        <w:t xml:space="preserve">B.5 NRI Investors in REITs/InvITs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NRI Treatment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Interest component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TDS at applicable DTAA rate. India-US DTAA Art.11: 10-15% on interest.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Dividend component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 if SPV has paid corporate tax and REIT passes through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Capital gains on sale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STCG: 20%. LTCG: 12.5%. TDS by buyer/broker at applicable rates.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Repatriation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REIT distributions receivable into NRO/NRE account. Repatriation of REIT proceeds: standard NRO repatriation limits ($1M/year)</w:t>
            </w:r>
          </w:p>
        </w:tc>
      </w:tr>
    </w:tbl>
    <w:p>
      <w:pPr>
        <w:spacing w:after="100"/>
      </w:pPr>
      <w:r>
        <w:t xml:space="preserve"/>
      </w:r>
    </w:p>
    <w:p>
      <w:pPr>
        <w:spacing w:after="120"/>
      </w:pPr>
      <w:r>
        <w:rPr>
          <w:rFonts w:ascii="Arial" w:cs="Arial" w:eastAsia="Arial" w:hAnsi="Arial"/>
          <w:i/>
          <w:iCs/>
          <w:color w:val="888888"/>
          <w:sz w:val="20"/>
          <w:szCs w:val="20"/>
        </w:rPr>
        <w:t xml:space="preserve">Version 2.0 | March 2026 | WISING-DOM-TAX-004</w:t>
      </w:r>
    </w:p>
    <w:p>
      <w:pPr>
        <w:spacing w:after="120"/>
      </w:pPr>
      <w:r>
        <w:rPr>
          <w:rFonts w:ascii="Arial" w:cs="Arial" w:eastAsia="Arial" w:hAnsi="Arial"/>
          <w:i/>
          <w:iCs/>
          <w:color w:val="888888"/>
          <w:sz w:val="20"/>
          <w:szCs w:val="20"/>
        </w:rPr>
        <w:t xml:space="preserve">CA sign-off required before build.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WISING INTELLIGENCE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2026-03-17T12:59:50.760Z</dcterms:created>
  <dcterms:modified xsi:type="dcterms:W3CDTF">2026-03-17T12:59:50.760Z</dcterms:modified>
</cp:coreProperties>
</file>

<file path=docProps/custom.xml><?xml version="1.0" encoding="utf-8"?>
<Properties xmlns="http://schemas.openxmlformats.org/officeDocument/2006/custom-properties" xmlns:vt="http://schemas.openxmlformats.org/officeDocument/2006/docPropsVTypes"/>
</file>