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color w:val="1E2D3D"/>
          <w:sz w:val="34"/>
          <w:szCs w:val="34"/>
        </w:rPr>
        <w:t xml:space="preserve">WISING INTELLIGENCE</w:t>
      </w:r>
    </w:p>
    <w:p>
      <w:pPr>
        <w:spacing w:after="50"/>
      </w:pPr>
      <w:r>
        <w:rPr>
          <w:rFonts w:ascii="Arial" w:cs="Arial" w:eastAsia="Arial" w:hAnsi="Arial"/>
          <w:b/>
          <w:bCs/>
          <w:color w:val="1E2D3D"/>
          <w:sz w:val="28"/>
          <w:szCs w:val="28"/>
        </w:rPr>
        <w:t xml:space="preserve">Section 8A — Cost Inflation Index (CII) Table</w:t>
      </w:r>
    </w:p>
    <w:p>
      <w:pPr>
        <w:spacing w:after="40"/>
      </w:pPr>
      <w:r>
        <w:rPr>
          <w:rFonts w:ascii="Arial" w:cs="Arial" w:eastAsia="Arial" w:hAnsi="Arial"/>
          <w:b/>
          <w:bCs/>
          <w:color w:val="C9A84C"/>
          <w:sz w:val="20"/>
          <w:szCs w:val="20"/>
        </w:rPr>
        <w:t xml:space="preserve">Added in MVP Specification v3.0  |  March 2026</w:t>
      </w:r>
    </w:p>
    <w:p>
      <w:pPr>
        <w:spacing w:after="200"/>
      </w:pPr>
      <w:r>
        <w:rPr>
          <w:rFonts w:ascii="Arial" w:cs="Arial" w:eastAsia="Arial" w:hAnsi="Arial"/>
          <w:color w:val="566573"/>
          <w:sz w:val="18"/>
          <w:szCs w:val="18"/>
        </w:rPr>
        <w:t xml:space="preserve">Part of WISING-TAX-MVP-001 v3.0  |  Read alongside Section 8 (India Tax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Field</w:t>
            </w:r>
          </w:p>
        </w:tc>
        <w:tc>
          <w:tcPr>
            <w:tcW w:type="dxa" w:w="736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What this section covers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Complete CII table, database schema, seed SQL, annual update process, and how the engine uses CII</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Why it was missing from v2.0</w:t>
            </w:r>
          </w:p>
        </w:tc>
        <w:tc>
          <w:tcPr>
            <w:tcW w:type="dxa" w:w="7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Blocking dependency 4 referenced the CII table as a data load requirement but did not define the table structure, seed data, or engine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Legal basis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Income Tax Act 2025 Section 70 (formerly IT Act 1961 Section 48) · CBDT notifications under Section 48(2) · Base year FY 2001-02 per Finance Act 2017</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Source spec</w:t>
            </w:r>
          </w:p>
        </w:tc>
        <w:tc>
          <w:tcPr>
            <w:tcW w:type="dxa" w:w="73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Wising_India_Tax_Logic_Spec_v4.docx (WISING-TAX-SPEC-IND-003) Section 3 — references CII in LTCG computation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Blocking dependency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This is blocking dependency 4 in the MVP. The India LTCG engine for debt MF and property cannot compute indexed cost without this table being loaded.</w:t>
            </w:r>
          </w:p>
        </w:tc>
      </w:tr>
    </w:tbl>
    <w:p>
      <w:pPr>
        <w:spacing w:after="100"/>
      </w:pPr>
      <w:r>
        <w:t xml:space="preserve"/>
      </w:r>
    </w:p>
    <w:p>
      <w:pPr>
        <w:pStyle w:val="Heading1"/>
        <w:spacing w:before="400" w:after="160"/>
      </w:pPr>
      <w:r>
        <w:rPr>
          <w:rFonts w:ascii="Arial" w:cs="Arial" w:eastAsia="Arial" w:hAnsi="Arial"/>
          <w:b/>
          <w:bCs/>
          <w:color w:val="1E2D3D"/>
          <w:sz w:val="34"/>
          <w:szCs w:val="34"/>
        </w:rPr>
        <w:t xml:space="preserve">Section 8A — Cost Inflation Index (CII) Table</w:t>
      </w:r>
    </w:p>
    <w:p>
      <w:pPr>
        <w:shd w:fill="EBF5FB" w:val="clear"/>
        <w:spacing w:before="80" w:after="0"/>
        <w:ind w:left="360" w:right="360"/>
      </w:pPr>
      <w:r>
        <w:rPr>
          <w:rFonts w:ascii="Arial" w:cs="Arial" w:eastAsia="Arial" w:hAnsi="Arial"/>
          <w:b/>
          <w:bCs/>
          <w:color w:val="154360"/>
          <w:sz w:val="18"/>
          <w:szCs w:val="18"/>
        </w:rPr>
        <w:t xml:space="preserve">★  Added in v3.0  </w:t>
      </w:r>
      <w:r>
        <w:rPr>
          <w:rFonts w:ascii="Arial" w:cs="Arial" w:eastAsia="Arial" w:hAnsi="Arial"/>
          <w:color w:val="154360"/>
          <w:sz w:val="18"/>
          <w:szCs w:val="18"/>
        </w:rPr>
        <w:t xml:space="preserve">Added in v3.0. This section was missing from v1.0 and v2.0 of the MVP spec.</w:t>
      </w:r>
    </w:p>
    <w:p>
      <w:pPr>
        <w:shd w:fill="EBF5FB" w:val="clear"/>
        <w:spacing w:before="0" w:after="80"/>
        <w:ind w:left="360" w:right="360"/>
      </w:pPr>
      <w:r>
        <w:rPr>
          <w:rFonts w:ascii="Arial" w:cs="Arial" w:eastAsia="Arial" w:hAnsi="Arial"/>
          <w:color w:val="154360"/>
          <w:sz w:val="18"/>
          <w:szCs w:val="18"/>
        </w:rPr>
        <w:t xml:space="preserve">       Blocking dependency 4 said 'CII table FY 2001-02 onwards must be loaded.' This section defines exactly what to load, how to structure it, and how the engine uses it.</w:t>
      </w:r>
    </w:p>
    <w:p>
      <w:pPr>
        <w:spacing w:after="60"/>
      </w:pPr>
      <w:r>
        <w:t xml:space="preserve"/>
      </w:r>
    </w:p>
    <w:p>
      <w:pPr>
        <w:shd w:fill="F4ECF7" w:val="clear"/>
        <w:spacing w:before="80" w:after="80"/>
        <w:ind w:left="360" w:right="360"/>
      </w:pPr>
      <w:r>
        <w:rPr>
          <w:rFonts w:ascii="Arial" w:cs="Arial" w:eastAsia="Arial" w:hAnsi="Arial"/>
          <w:b/>
          <w:bCs/>
          <w:color w:val="512E8B"/>
          <w:sz w:val="18"/>
          <w:szCs w:val="18"/>
        </w:rPr>
        <w:t xml:space="preserve">↗  Source  </w:t>
      </w:r>
      <w:r>
        <w:rPr>
          <w:rFonts w:ascii="Arial" w:cs="Arial" w:eastAsia="Arial" w:hAnsi="Arial"/>
          <w:color w:val="512E8B"/>
          <w:sz w:val="18"/>
          <w:szCs w:val="18"/>
        </w:rPr>
        <w:t xml:space="preserve">Source: Wising_India_Tax_Logic_Spec_v4.docx (WISING-TAX-SPEC-IND-003) Section 3. CII values are from official CBDT notifications. Legal basis: IT Act 2025 Section 70 (formerly IT Act 1961 Section 48).</w:t>
      </w:r>
    </w:p>
    <w:p>
      <w:pPr>
        <w:spacing w:after="60"/>
      </w:pPr>
      <w:r>
        <w:t xml:space="preserve"/>
      </w:r>
    </w:p>
    <w:p>
      <w:pPr>
        <w:pStyle w:val="Heading2"/>
        <w:spacing w:before="280" w:after="120"/>
      </w:pPr>
      <w:r>
        <w:rPr>
          <w:rFonts w:ascii="Arial" w:cs="Arial" w:eastAsia="Arial" w:hAnsi="Arial"/>
          <w:b/>
          <w:bCs/>
          <w:color w:val="1E2D3D"/>
          <w:sz w:val="26"/>
          <w:szCs w:val="26"/>
        </w:rPr>
        <w:t xml:space="preserve">8A.1 What CII Is and Why the Engine Needs It</w:t>
      </w:r>
    </w:p>
    <w:p>
      <w:pPr>
        <w:spacing w:after="100"/>
      </w:pPr>
      <w:r>
        <w:rPr>
          <w:rFonts w:ascii="Arial" w:cs="Arial" w:eastAsia="Arial" w:hAnsi="Arial"/>
          <w:sz w:val="20"/>
          <w:szCs w:val="20"/>
        </w:rPr>
        <w:t xml:space="preserve">The Cost Inflation Index is a number notified annually by CBDT that measures inflation for the purpose of computing indexed cost of acquisition. It is used in the LTCG computation to adjust the original purchase price of an asset for inflation, thereby reducing the taxable capital gain.</w:t>
      </w:r>
    </w:p>
    <w:p>
      <w:pPr>
        <w:spacing w:after="60"/>
      </w:pPr>
      <w:r>
        <w:t xml:space="preserve"/>
      </w:r>
    </w:p>
    <w:p>
      <w:pPr>
        <w:spacing w:after="100"/>
      </w:pPr>
      <w:r>
        <w:rPr>
          <w:rFonts w:ascii="Arial" w:cs="Arial" w:eastAsia="Arial" w:hAnsi="Arial"/>
          <w:sz w:val="20"/>
          <w:szCs w:val="20"/>
        </w:rPr>
        <w:t xml:space="preserve">The formula for indexed cost of acquisition is: Indexed Cost = Actual Cost multiplied by (CII of the financial year of sale divided by CII of the financial year of acquisition or FY 2001-02 if acquired before that year, whichever is later).</w:t>
      </w:r>
    </w:p>
    <w:p>
      <w:pPr>
        <w:spacing w:after="60"/>
      </w:pPr>
      <w:r>
        <w:t xml:space="preserve"/>
      </w:r>
    </w:p>
    <w:p>
      <w:pPr>
        <w:shd w:fill="FEF9E7" w:val="clear"/>
        <w:spacing w:before="80" w:after="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CII indexation applies to: property held for 24 or more months (pre-Budget 2024 acquisition — see note below), debt mutual funds acquired before 1 April 2023, unlisted equity or securities.</w:t>
      </w:r>
    </w:p>
    <w:p>
      <w:pPr>
        <w:shd w:fill="FEF9E7" w:val="clear"/>
        <w:spacing w:before="0" w:after="0"/>
        <w:ind w:left="360" w:right="360"/>
      </w:pPr>
      <w:r>
        <w:rPr>
          <w:rFonts w:ascii="Arial" w:cs="Arial" w:eastAsia="Arial" w:hAnsi="Arial"/>
          <w:color w:val="7D6608"/>
          <w:sz w:val="18"/>
          <w:szCs w:val="18"/>
        </w:rPr>
        <w:t xml:space="preserve">       CII indexation does NOT apply to: listed equity, equity mutual funds, VDA/crypto, assets sold after Budget 2024 rules where the 12.5% without indexation rate is used.</w:t>
      </w:r>
    </w:p>
    <w:p>
      <w:pPr>
        <w:shd w:fill="FEF9E7" w:val="clear"/>
        <w:spacing w:before="0" w:after="80"/>
        <w:ind w:left="360" w:right="360"/>
      </w:pPr>
      <w:r>
        <w:rPr>
          <w:rFonts w:ascii="Arial" w:cs="Arial" w:eastAsia="Arial" w:hAnsi="Arial"/>
          <w:color w:val="7D6608"/>
          <w:sz w:val="18"/>
          <w:szCs w:val="18"/>
        </w:rPr>
        <w:t xml:space="preserve">       Budget 2024 change: for property sales from 23 July 2024 onwards, the taxpayer can choose between 12.5% without indexation OR 20% with indexation (for assets acquired before 23 July 2024). The engine must support both scenarios and present the lower tax outcome.</w:t>
      </w:r>
    </w:p>
    <w:p>
      <w:pPr>
        <w:spacing w:after="60"/>
      </w:pPr>
      <w:r>
        <w:t xml:space="preserve"/>
      </w:r>
    </w:p>
    <w:p>
      <w:pPr>
        <w:pStyle w:val="Heading2"/>
        <w:spacing w:before="280" w:after="120"/>
      </w:pPr>
      <w:r>
        <w:rPr>
          <w:rFonts w:ascii="Arial" w:cs="Arial" w:eastAsia="Arial" w:hAnsi="Arial"/>
          <w:b/>
          <w:bCs/>
          <w:color w:val="1E2D3D"/>
          <w:sz w:val="26"/>
          <w:szCs w:val="26"/>
        </w:rPr>
        <w:t xml:space="preserve">8A.2 Database Schema — cost_inflation_index table</w:t>
      </w:r>
    </w:p>
    <w:p>
      <w:pPr>
        <w:spacing w:after="100"/>
      </w:pPr>
      <w:r>
        <w:rPr>
          <w:rFonts w:ascii="Arial" w:cs="Arial" w:eastAsia="Arial" w:hAnsi="Arial"/>
          <w:sz w:val="20"/>
          <w:szCs w:val="20"/>
        </w:rPr>
        <w:t xml:space="preserve">Create this table before the India tax engine is built. The engine queries it for every LTCG computation that involves indexed cost.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2200"/>
        <w:gridCol w:w="5160"/>
      </w:tblGrid>
      <w:tr>
        <w:trPr>
          <w:tblHeader/>
        </w:trPr>
        <w:tc>
          <w:tcPr>
            <w:tcW w:type="dxa" w:w="14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Field</w:t>
            </w:r>
          </w:p>
        </w:tc>
        <w:tc>
          <w:tcPr>
            <w:tcW w:type="dxa" w:w="8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Type</w:t>
            </w:r>
          </w:p>
        </w:tc>
        <w:tc>
          <w:tcPr>
            <w:tcW w:type="dxa" w:w="22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Constraints</w:t>
            </w:r>
          </w:p>
        </w:tc>
        <w:tc>
          <w:tcPr>
            <w:tcW w:type="dxa" w:w="516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PRIMARY KEY AUTOINCREMENT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Unique row identifier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financial_year</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NOT NULL UNIQUE — format FY2001-02</w:t>
            </w:r>
          </w:p>
        </w:tc>
        <w:tc>
          <w:tcPr>
            <w:tcW w:type="dxa" w:w="5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The financial year this CII value applies to. Must match the format used in india_trip_log.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cii_value</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NOT NULL CHECK &gt; 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The official CII value notified by CBDT for this financial year</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cbdt_notification</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TEXT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NULLABLE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The CBDT notification number and date that notified this value. For audit purposes.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is_confirmed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BOOLEAN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NOT NULL DEFAULT TRUE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TRUE for all officially notified values. FALSE for years where CBDT notification is still pending.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loaded_at</w:t>
            </w:r>
          </w:p>
        </w:tc>
        <w:tc>
          <w:tcPr>
            <w:tcW w:type="dxa" w:w="8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TIMESTAMPTZ</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DEFAULT NOW()</w:t>
            </w:r>
          </w:p>
        </w:tc>
        <w:tc>
          <w:tcPr>
            <w:tcW w:type="dxa" w:w="5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When this record was loaded into the database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updated_at</w:t>
            </w:r>
          </w:p>
        </w:tc>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TIMESTAMPTZ</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DEFAULT NOW()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When this record was last updated — used to track annual updates</w:t>
            </w:r>
          </w:p>
        </w:tc>
      </w:tr>
    </w:tbl>
    <w:p>
      <w:pPr>
        <w:spacing w:after="60"/>
      </w:pPr>
      <w:r>
        <w:t xml:space="preserve"/>
      </w:r>
    </w:p>
    <w:p>
      <w:pPr>
        <w:spacing w:after="100"/>
      </w:pPr>
      <w:r>
        <w:rPr>
          <w:rFonts w:ascii="Arial" w:cs="Arial" w:eastAsia="Arial" w:hAnsi="Arial"/>
          <w:sz w:val="20"/>
          <w:szCs w:val="20"/>
        </w:rPr>
        <w:t xml:space="preserve">Index to create: CREATE UNIQUE INDEX idx_cii_fy ON cost_inflation_index(financial_year). This index is queried every time the engine computes indexed cost for a capital asset.</w:t>
      </w:r>
    </w:p>
    <w:p>
      <w:pPr>
        <w:spacing w:after="60"/>
      </w:pPr>
      <w:r>
        <w:t xml:space="preserve"/>
      </w:r>
    </w:p>
    <w:p>
      <w:pPr>
        <w:pStyle w:val="Heading2"/>
        <w:spacing w:before="280" w:after="120"/>
      </w:pPr>
      <w:r>
        <w:rPr>
          <w:rFonts w:ascii="Arial" w:cs="Arial" w:eastAsia="Arial" w:hAnsi="Arial"/>
          <w:b/>
          <w:bCs/>
          <w:color w:val="1E2D3D"/>
          <w:sz w:val="26"/>
          <w:szCs w:val="26"/>
        </w:rPr>
        <w:t xml:space="preserve">8A.3 Complete CII Seed Data — Load on First Deploy</w:t>
      </w:r>
    </w:p>
    <w:p>
      <w:pPr>
        <w:shd w:fill="FDEDEC" w:val="clear"/>
        <w:spacing w:before="80" w:after="0"/>
        <w:ind w:left="360" w:right="360"/>
      </w:pPr>
      <w:r>
        <w:rPr>
          <w:rFonts w:ascii="Arial" w:cs="Arial" w:eastAsia="Arial" w:hAnsi="Arial"/>
          <w:b/>
          <w:bCs/>
          <w:color w:val="B03A2E"/>
          <w:sz w:val="18"/>
          <w:szCs w:val="18"/>
        </w:rPr>
        <w:t xml:space="preserve">🚫 Critical  </w:t>
      </w:r>
      <w:r>
        <w:rPr>
          <w:rFonts w:ascii="Arial" w:cs="Arial" w:eastAsia="Arial" w:hAnsi="Arial"/>
          <w:color w:val="B03A2E"/>
          <w:sz w:val="18"/>
          <w:szCs w:val="18"/>
        </w:rPr>
        <w:t xml:space="preserve">Load all rows below on first database deployment. These are the official CBDT-notified values.</w:t>
      </w:r>
    </w:p>
    <w:p>
      <w:pPr>
        <w:shd w:fill="FDEDEC" w:val="clear"/>
        <w:spacing w:before="0" w:after="0"/>
        <w:ind w:left="360" w:right="360"/>
      </w:pPr>
      <w:r>
        <w:rPr>
          <w:rFonts w:ascii="Arial" w:cs="Arial" w:eastAsia="Arial" w:hAnsi="Arial"/>
          <w:color w:val="B03A2E"/>
          <w:sz w:val="18"/>
          <w:szCs w:val="18"/>
        </w:rPr>
        <w:t xml:space="preserve">       FY 2025-26 is pending — load as is_confirmed = FALSE with cii_value = NULL. Update when CBDT notifies (expected May/June 2026).</w:t>
      </w:r>
    </w:p>
    <w:p>
      <w:pPr>
        <w:shd w:fill="FDEDEC" w:val="clear"/>
        <w:spacing w:before="0" w:after="80"/>
        <w:ind w:left="360" w:right="360"/>
      </w:pPr>
      <w:r>
        <w:rPr>
          <w:rFonts w:ascii="Arial" w:cs="Arial" w:eastAsia="Arial" w:hAnsi="Arial"/>
          <w:color w:val="B03A2E"/>
          <w:sz w:val="18"/>
          <w:szCs w:val="18"/>
        </w:rPr>
        <w:t xml:space="preserve">       Do not hardcode CII values in application code. Always query the database. This allows annual updates without a code deployment.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960"/>
      </w:tblGrid>
      <w:tr>
        <w:trPr>
          <w:tblHeader/>
        </w:trPr>
        <w:tc>
          <w:tcPr>
            <w:tcW w:type="dxa" w:w="16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Financial year</w:t>
            </w:r>
          </w:p>
        </w:tc>
        <w:tc>
          <w:tcPr>
            <w:tcW w:type="dxa" w:w="12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CII value</w:t>
            </w:r>
          </w:p>
        </w:tc>
        <w:tc>
          <w:tcPr>
            <w:tcW w:type="dxa" w:w="696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CBDT notification /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2001-02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100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Base year — indexed cost cannot go below this year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2002-03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105</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2003-04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109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2004-05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113</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2005-06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2006-07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122</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2007-08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129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2008-09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137</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2009-10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148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2010-11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167</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2011-12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184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2012-13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200</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2013-14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220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2014-15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240</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2015-16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254</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2016-17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264</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2017-18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272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2018-19</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280</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2019-20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289</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2020-21</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301</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317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2022-23</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331</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2023-24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348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2024-25</w:t>
            </w:r>
          </w:p>
        </w:tc>
        <w:tc>
          <w:tcPr>
            <w:tcW w:type="dxa" w:w="1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363</w:t>
            </w:r>
          </w:p>
        </w:tc>
        <w:tc>
          <w:tcPr>
            <w:tcW w:type="dxa" w:w="69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CBDT Notification No. 44/2024 dated 24 May 2024</w:t>
            </w:r>
          </w:p>
        </w:tc>
      </w:tr>
      <w:tr>
        <w:tc>
          <w:tcPr>
            <w:tcW w:type="dxa" w:w="16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bCs/>
                <w:color w:val="7D6608"/>
                <w:sz w:val="17"/>
                <w:szCs w:val="17"/>
              </w:rPr>
              <w:t xml:space="preserve">FY 2025-26</w:t>
            </w:r>
          </w:p>
        </w:tc>
        <w:tc>
          <w:tcPr>
            <w:tcW w:type="dxa" w:w="120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val="false"/>
                <w:bCs w:val="false"/>
                <w:color w:val="7D6608"/>
                <w:sz w:val="17"/>
                <w:szCs w:val="17"/>
              </w:rPr>
              <w:t xml:space="preserve">PENDING</w:t>
            </w:r>
          </w:p>
        </w:tc>
        <w:tc>
          <w:tcPr>
            <w:tcW w:type="dxa" w:w="6960"/>
            <w:tcBorders>
              <w:top w:val="single" w:color="CCCCCC" w:sz="1"/>
              <w:left w:val="single" w:color="CCCCCC" w:sz="1"/>
              <w:bottom w:val="single" w:color="CCCCCC" w:sz="1"/>
              <w:right w:val="single" w:color="CCCCCC" w:sz="1"/>
            </w:tcBorders>
            <w:shd w:fill="FEF9E7" w:val="clear"/>
            <w:tcMar>
              <w:top w:type="dxa" w:w="80"/>
              <w:left w:type="dxa" w:w="100"/>
              <w:bottom w:type="dxa" w:w="80"/>
              <w:right w:type="dxa" w:w="100"/>
            </w:tcMar>
          </w:tcPr>
          <w:p>
            <w:r>
              <w:rPr>
                <w:rFonts w:ascii="Arial" w:cs="Arial" w:eastAsia="Arial" w:hAnsi="Arial"/>
                <w:b w:val="false"/>
                <w:bCs w:val="false"/>
                <w:color w:val="7D6608"/>
                <w:sz w:val="17"/>
                <w:szCs w:val="17"/>
              </w:rPr>
              <w:t xml:space="preserve">CBDT notification expected May/June 2026 — load when notified</w:t>
            </w:r>
          </w:p>
        </w:tc>
      </w:tr>
    </w:tbl>
    <w:p>
      <w:pPr>
        <w:spacing w:after="60"/>
      </w:pPr>
      <w:r>
        <w:t xml:space="preserve"/>
      </w:r>
    </w:p>
    <w:p>
      <w:pPr>
        <w:shd w:fill="FEF9E7" w:val="clear"/>
        <w:spacing w:before="80" w:after="8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FY 2025-26 value is PENDING as of March 2026. CBDT typically notifies this in May or June each year. Devanshu must monitor CBDT notifications and update the database immediately when notified. Set is_confirmed = TRUE and cii_value = notified value when available.</w:t>
      </w:r>
    </w:p>
    <w:p>
      <w:pPr>
        <w:spacing w:after="60"/>
      </w:pPr>
      <w:r>
        <w:t xml:space="preserve"/>
      </w:r>
    </w:p>
    <w:p>
      <w:pPr>
        <w:pStyle w:val="Heading2"/>
        <w:spacing w:before="280" w:after="120"/>
      </w:pPr>
      <w:r>
        <w:rPr>
          <w:rFonts w:ascii="Arial" w:cs="Arial" w:eastAsia="Arial" w:hAnsi="Arial"/>
          <w:b/>
          <w:bCs/>
          <w:color w:val="1E2D3D"/>
          <w:sz w:val="26"/>
          <w:szCs w:val="26"/>
        </w:rPr>
        <w:t xml:space="preserve">8A.4 How the Engine Uses CII</w:t>
      </w:r>
    </w:p>
    <w:p>
      <w:pPr>
        <w:spacing w:after="100"/>
      </w:pPr>
      <w:r>
        <w:rPr>
          <w:rFonts w:ascii="Arial" w:cs="Arial" w:eastAsia="Arial" w:hAnsi="Arial"/>
          <w:sz w:val="20"/>
          <w:szCs w:val="20"/>
        </w:rPr>
        <w:t xml:space="preserve">The engine queries cost_inflation_index in three scenarios:</w:t>
      </w:r>
    </w:p>
    <w:p>
      <w:pPr>
        <w:spacing w:after="40"/>
      </w:pPr>
      <w:r>
        <w:t xml:space="preserve"/>
      </w:r>
    </w:p>
    <w:p>
      <w:pPr>
        <w:spacing w:before="200" w:after="80"/>
      </w:pPr>
      <w:r>
        <w:rPr>
          <w:rFonts w:ascii="Arial" w:cs="Arial" w:eastAsia="Arial" w:hAnsi="Arial"/>
          <w:b/>
          <w:bCs/>
          <w:color w:val="048A81"/>
          <w:sz w:val="22"/>
          <w:szCs w:val="22"/>
        </w:rPr>
        <w:t xml:space="preserve">Scenario 1 — LTCG on debt mutual funds acquired before 1 April 2023</w:t>
      </w:r>
    </w:p>
    <w:p>
      <w:pPr>
        <w:spacing w:after="100"/>
      </w:pPr>
      <w:r>
        <w:rPr>
          <w:rFonts w:ascii="Arial" w:cs="Arial" w:eastAsia="Arial" w:hAnsi="Arial"/>
          <w:sz w:val="20"/>
          <w:szCs w:val="20"/>
        </w:rPr>
        <w:t xml:space="preserve">Debt MF acquired before 1 April 2023 are taxed as LTCG with indexation benefit (holding period 36 months or more). The engine fetches CII for the acquisition year and CII for the sale year. Indexed cost equals actual cost multiplied by (sale year CII divided by acquisition year CII). Taxable gain equals sale value minus indexed cost.</w:t>
      </w:r>
    </w:p>
    <w:p>
      <w:pPr>
        <w:spacing w:after="60"/>
      </w:pPr>
      <w:r>
        <w:t xml:space="preserve"/>
      </w:r>
    </w:p>
    <w:p>
      <w:pPr>
        <w:spacing w:before="200" w:after="80"/>
      </w:pPr>
      <w:r>
        <w:rPr>
          <w:rFonts w:ascii="Arial" w:cs="Arial" w:eastAsia="Arial" w:hAnsi="Arial"/>
          <w:b/>
          <w:bCs/>
          <w:color w:val="048A81"/>
          <w:sz w:val="22"/>
          <w:szCs w:val="22"/>
        </w:rPr>
        <w:t xml:space="preserve">Scenario 2 — LTCG on property with Budget 2024 option</w:t>
      </w:r>
    </w:p>
    <w:p>
      <w:pPr>
        <w:spacing w:after="100"/>
      </w:pPr>
      <w:r>
        <w:rPr>
          <w:rFonts w:ascii="Arial" w:cs="Arial" w:eastAsia="Arial" w:hAnsi="Arial"/>
          <w:sz w:val="20"/>
          <w:szCs w:val="20"/>
        </w:rPr>
        <w:t xml:space="preserve">For property sold from 23 July 2024 onwards where the acquisition date is before 23 July 2024, the engine must compute both scenarios and present the lower tax:</w:t>
      </w:r>
    </w:p>
    <w:p>
      <w:pPr>
        <w:pStyle w:val="ListParagraph"/>
        <w:numPr>
          <w:ilvl w:val="0"/>
          <w:numId w:val="1"/>
        </w:numPr>
        <w:spacing w:after="70"/>
      </w:pPr>
      <w:r>
        <w:rPr>
          <w:rFonts w:ascii="Arial" w:cs="Arial" w:eastAsia="Arial" w:hAnsi="Arial"/>
          <w:sz w:val="20"/>
          <w:szCs w:val="20"/>
        </w:rPr>
        <w:t xml:space="preserve">Option A: 12.5% tax without indexation on (sale value minus actual cost)</w:t>
      </w:r>
    </w:p>
    <w:p>
      <w:pPr>
        <w:pStyle w:val="ListParagraph"/>
        <w:numPr>
          <w:ilvl w:val="0"/>
          <w:numId w:val="1"/>
        </w:numPr>
        <w:spacing w:after="70"/>
      </w:pPr>
      <w:r>
        <w:rPr>
          <w:rFonts w:ascii="Arial" w:cs="Arial" w:eastAsia="Arial" w:hAnsi="Arial"/>
          <w:sz w:val="20"/>
          <w:szCs w:val="20"/>
        </w:rPr>
        <w:t xml:space="preserve">Option B: 20% tax with indexation on (sale value minus indexed cost)</w:t>
      </w:r>
    </w:p>
    <w:p>
      <w:pPr>
        <w:spacing w:after="100"/>
      </w:pPr>
      <w:r>
        <w:rPr>
          <w:rFonts w:ascii="Arial" w:cs="Arial" w:eastAsia="Arial" w:hAnsi="Arial"/>
          <w:sz w:val="20"/>
          <w:szCs w:val="20"/>
        </w:rPr>
        <w:t xml:space="preserve">Engine presents both computations and the RNOR scenario comparison uses whichever option produces lower India tax for the user. The user and CA decide which to claim — the engine does not make this election unilaterally.</w:t>
      </w:r>
    </w:p>
    <w:p>
      <w:pPr>
        <w:spacing w:after="60"/>
      </w:pPr>
      <w:r>
        <w:t xml:space="preserve"/>
      </w:r>
    </w:p>
    <w:p>
      <w:pPr>
        <w:spacing w:before="200" w:after="80"/>
      </w:pPr>
      <w:r>
        <w:rPr>
          <w:rFonts w:ascii="Arial" w:cs="Arial" w:eastAsia="Arial" w:hAnsi="Arial"/>
          <w:b/>
          <w:bCs/>
          <w:color w:val="048A81"/>
          <w:sz w:val="22"/>
          <w:szCs w:val="22"/>
        </w:rPr>
        <w:t xml:space="preserve">Scenario 3 — Acquisitions before FY 2001-02</w:t>
      </w:r>
    </w:p>
    <w:p>
      <w:pPr>
        <w:spacing w:after="100"/>
      </w:pPr>
      <w:r>
        <w:rPr>
          <w:rFonts w:ascii="Arial" w:cs="Arial" w:eastAsia="Arial" w:hAnsi="Arial"/>
          <w:sz w:val="20"/>
          <w:szCs w:val="20"/>
        </w:rPr>
        <w:t xml:space="preserve">For assets acquired before FY 2001-02, the engine uses FY 2001-02 CII value (100) as the denominator. The cost of acquisition for indexation purposes is the higher of actual cost or Fair Market Value on 1 April 2001. This FMV-on-01-Apr-2001 value must be either provided by the user or computed from historical price data where available.</w:t>
      </w:r>
    </w:p>
    <w:p>
      <w:pPr>
        <w:spacing w:after="60"/>
      </w:pPr>
      <w:r>
        <w:t xml:space="preserve"/>
      </w:r>
    </w:p>
    <w:p>
      <w:pPr>
        <w:shd w:fill="FEF9E7" w:val="clear"/>
        <w:spacing w:before="80" w:after="0"/>
        <w:ind w:left="360" w:right="360"/>
      </w:pPr>
      <w:r>
        <w:rPr>
          <w:rFonts w:ascii="Arial" w:cs="Arial" w:eastAsia="Arial" w:hAnsi="Arial"/>
          <w:b/>
          <w:bCs/>
          <w:color w:val="7D6608"/>
          <w:sz w:val="18"/>
          <w:szCs w:val="18"/>
        </w:rPr>
        <w:t xml:space="preserve">⚠  Warning  </w:t>
      </w:r>
      <w:r>
        <w:rPr>
          <w:rFonts w:ascii="Arial" w:cs="Arial" w:eastAsia="Arial" w:hAnsi="Arial"/>
          <w:color w:val="7D6608"/>
          <w:sz w:val="18"/>
          <w:szCs w:val="18"/>
        </w:rPr>
        <w:t xml:space="preserve">The engine must never apply CII to: listed equity, equity mutual funds, VDA/crypto, SGB, unlisted equity (separate treatment), or any asset where indexation is not available under current law.</w:t>
      </w:r>
    </w:p>
    <w:p>
      <w:pPr>
        <w:shd w:fill="FEF9E7" w:val="clear"/>
        <w:spacing w:before="0" w:after="80"/>
        <w:ind w:left="360" w:right="360"/>
      </w:pPr>
      <w:r>
        <w:rPr>
          <w:rFonts w:ascii="Arial" w:cs="Arial" w:eastAsia="Arial" w:hAnsi="Arial"/>
          <w:color w:val="7D6608"/>
          <w:sz w:val="18"/>
          <w:szCs w:val="18"/>
        </w:rPr>
        <w:t xml:space="preserve">       If cii_value is NULL (FY 2025-26 pending) and a transaction involves that year, the engine must flag: CII_PENDING — flag for CA review. Do not block the computation entirely — use the prior year CII as a conservative estimate and clearly mark as estimated.</w:t>
      </w:r>
    </w:p>
    <w:p>
      <w:pPr>
        <w:spacing w:after="60"/>
      </w:pPr>
      <w:r>
        <w:t xml:space="preserve"/>
      </w:r>
    </w:p>
    <w:p>
      <w:pPr>
        <w:pStyle w:val="Heading2"/>
        <w:spacing w:before="280" w:after="120"/>
      </w:pPr>
      <w:r>
        <w:rPr>
          <w:rFonts w:ascii="Arial" w:cs="Arial" w:eastAsia="Arial" w:hAnsi="Arial"/>
          <w:b/>
          <w:bCs/>
          <w:color w:val="1E2D3D"/>
          <w:sz w:val="26"/>
          <w:szCs w:val="26"/>
        </w:rPr>
        <w:t xml:space="preserve">8A.5 Annual CII Update Process</w:t>
      </w:r>
    </w:p>
    <w:p>
      <w:pPr>
        <w:spacing w:after="100"/>
      </w:pPr>
      <w:r>
        <w:rPr>
          <w:rFonts w:ascii="Arial" w:cs="Arial" w:eastAsia="Arial" w:hAnsi="Arial"/>
          <w:sz w:val="20"/>
          <w:szCs w:val="20"/>
        </w:rPr>
        <w:t xml:space="preserve">CBDT notifies the CII for each financial year in May or June of that year. For example, CII for FY 2024-25 was notified in May 2024 by CBDT Notification No. 44/2024.</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4160"/>
      </w:tblGrid>
      <w:tr>
        <w:trPr>
          <w:tblHeader/>
        </w:trPr>
        <w:tc>
          <w:tcPr>
            <w:tcW w:type="dxa" w:w="4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Step</w:t>
            </w:r>
          </w:p>
        </w:tc>
        <w:tc>
          <w:tcPr>
            <w:tcW w:type="dxa" w:w="32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Action</w:t>
            </w:r>
          </w:p>
        </w:tc>
        <w:tc>
          <w:tcPr>
            <w:tcW w:type="dxa" w:w="16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Owner</w:t>
            </w:r>
          </w:p>
        </w:tc>
        <w:tc>
          <w:tcPr>
            <w:tcW w:type="dxa" w:w="416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Timing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Monitor CBDT website (cbdt.gov.in) and Income Tax India portal for new CII notification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Sarthak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Every May and June</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When notification is published, note the CII value and notification number</w:t>
            </w:r>
          </w:p>
        </w:tc>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Sarthak</w:t>
            </w:r>
          </w:p>
        </w:tc>
        <w:tc>
          <w:tcPr>
            <w:tcW w:type="dxa" w:w="4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On publication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Update the cost_inflation_index table: set cii_value = notified value, is_confirmed = TRUE, cbdt_notification = notification number and date, updated_at = NOW() for the relevant financial year row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Devanshu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Within 24 hours of notification</w:t>
            </w:r>
          </w:p>
        </w:tc>
      </w:tr>
      <w:tr>
        <w:tc>
          <w:tcPr>
            <w:tcW w:type="dxa" w:w="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4</w:t>
            </w:r>
          </w:p>
        </w:tc>
        <w:tc>
          <w:tcPr>
            <w:tcW w:type="dxa" w:w="3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Verify the update by running the indexed cost computation for one known test case and checking the output matches expected result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Devanshu</w:t>
            </w:r>
          </w:p>
        </w:tc>
        <w:tc>
          <w:tcPr>
            <w:tcW w:type="dxa" w:w="41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Same day as update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No code deployment required. The engine queries the database — the update takes effect immediately for all future computations.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Devanshu</w:t>
            </w:r>
          </w:p>
        </w:tc>
        <w:tc>
          <w:tcPr>
            <w:tcW w:type="dxa" w:w="41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Automatic on DB update</w:t>
            </w:r>
          </w:p>
        </w:tc>
      </w:tr>
    </w:tbl>
    <w:p>
      <w:pPr>
        <w:spacing w:after="60"/>
      </w:pPr>
      <w:r>
        <w:t xml:space="preserve"/>
      </w:r>
    </w:p>
    <w:p>
      <w:pPr>
        <w:shd w:fill="E8F4F8" w:val="clear"/>
        <w:spacing w:before="80" w:after="80"/>
        <w:ind w:left="360" w:right="360"/>
      </w:pPr>
      <w:r>
        <w:rPr>
          <w:rFonts w:ascii="Arial" w:cs="Arial" w:eastAsia="Arial" w:hAnsi="Arial"/>
          <w:b/>
          <w:bCs/>
          <w:color w:val="004D6B"/>
          <w:sz w:val="18"/>
          <w:szCs w:val="18"/>
        </w:rPr>
        <w:t xml:space="preserve">ℹ  Note  </w:t>
      </w:r>
      <w:r>
        <w:rPr>
          <w:rFonts w:ascii="Arial" w:cs="Arial" w:eastAsia="Arial" w:hAnsi="Arial"/>
          <w:color w:val="004D6B"/>
          <w:sz w:val="18"/>
          <w:szCs w:val="18"/>
        </w:rPr>
        <w:t xml:space="preserve">Add a database-level alert or monitoring job that fires when a financial year row in cost_inflation_index has is_confirmed = FALSE AND the current date is after 30 June of that financial year. This means CBDT has not notified the CII and the team needs to follow up.</w:t>
      </w:r>
    </w:p>
    <w:p>
      <w:pPr>
        <w:spacing w:after="60"/>
      </w:pPr>
      <w:r>
        <w:t xml:space="preserve"/>
      </w:r>
    </w:p>
    <w:p>
      <w:pPr>
        <w:pStyle w:val="Heading2"/>
        <w:spacing w:before="280" w:after="120"/>
      </w:pPr>
      <w:r>
        <w:rPr>
          <w:rFonts w:ascii="Arial" w:cs="Arial" w:eastAsia="Arial" w:hAnsi="Arial"/>
          <w:b/>
          <w:bCs/>
          <w:color w:val="1E2D3D"/>
          <w:sz w:val="26"/>
          <w:szCs w:val="26"/>
        </w:rPr>
        <w:t xml:space="preserve">8A.6 Relationship to Blocking Dependency 4</w:t>
      </w:r>
    </w:p>
    <w:p>
      <w:pPr>
        <w:spacing w:after="100"/>
      </w:pPr>
      <w:r>
        <w:rPr>
          <w:rFonts w:ascii="Arial" w:cs="Arial" w:eastAsia="Arial" w:hAnsi="Arial"/>
          <w:sz w:val="20"/>
          <w:szCs w:val="20"/>
        </w:rPr>
        <w:t xml:space="preserve">Blocking dependency 4 in Section 3 of the MVP spec states: 'CII table FY 2001-02 onwards must be loaded into the database.' This section defines what that means specifically:</w:t>
      </w:r>
    </w:p>
    <w:p>
      <w:pPr>
        <w:spacing w:after="40"/>
      </w:pPr>
      <w:r>
        <w:t xml:space="preserve"/>
      </w:r>
    </w:p>
    <w:p>
      <w:pPr>
        <w:pStyle w:val="ListParagraph"/>
        <w:numPr>
          <w:ilvl w:val="0"/>
          <w:numId w:val="1"/>
        </w:numPr>
        <w:spacing w:after="70"/>
      </w:pPr>
      <w:r>
        <w:rPr>
          <w:rFonts w:ascii="Arial" w:cs="Arial" w:eastAsia="Arial" w:hAnsi="Arial"/>
          <w:sz w:val="20"/>
          <w:szCs w:val="20"/>
        </w:rPr>
        <w:t xml:space="preserve">The cost_inflation_index table must be created with the schema defined in Section 8A.2.</w:t>
      </w:r>
    </w:p>
    <w:p>
      <w:pPr>
        <w:pStyle w:val="ListParagraph"/>
        <w:numPr>
          <w:ilvl w:val="0"/>
          <w:numId w:val="1"/>
        </w:numPr>
        <w:spacing w:after="70"/>
      </w:pPr>
      <w:r>
        <w:rPr>
          <w:rFonts w:ascii="Arial" w:cs="Arial" w:eastAsia="Arial" w:hAnsi="Arial"/>
          <w:sz w:val="20"/>
          <w:szCs w:val="20"/>
        </w:rPr>
        <w:t xml:space="preserve">All 24 confirmed rows from Section 8A.3 must be loaded with is_confirmed = TRUE.</w:t>
      </w:r>
    </w:p>
    <w:p>
      <w:pPr>
        <w:pStyle w:val="ListParagraph"/>
        <w:numPr>
          <w:ilvl w:val="0"/>
          <w:numId w:val="1"/>
        </w:numPr>
        <w:spacing w:after="70"/>
      </w:pPr>
      <w:r>
        <w:rPr>
          <w:rFonts w:ascii="Arial" w:cs="Arial" w:eastAsia="Arial" w:hAnsi="Arial"/>
          <w:sz w:val="20"/>
          <w:szCs w:val="20"/>
        </w:rPr>
        <w:t xml:space="preserve">FY 2025-26 row must be loaded with is_confirmed = FALSE and cii_value = NULL.</w:t>
      </w:r>
    </w:p>
    <w:p>
      <w:pPr>
        <w:pStyle w:val="ListParagraph"/>
        <w:numPr>
          <w:ilvl w:val="0"/>
          <w:numId w:val="1"/>
        </w:numPr>
        <w:spacing w:after="70"/>
      </w:pPr>
      <w:r>
        <w:rPr>
          <w:rFonts w:ascii="Arial" w:cs="Arial" w:eastAsia="Arial" w:hAnsi="Arial"/>
          <w:sz w:val="20"/>
          <w:szCs w:val="20"/>
        </w:rPr>
        <w:t xml:space="preserve">The UNIQUE index on financial_year must be created.</w:t>
      </w:r>
    </w:p>
    <w:p>
      <w:pPr>
        <w:pStyle w:val="ListParagraph"/>
        <w:numPr>
          <w:ilvl w:val="0"/>
          <w:numId w:val="1"/>
        </w:numPr>
        <w:spacing w:after="70"/>
      </w:pPr>
      <w:r>
        <w:rPr>
          <w:rFonts w:ascii="Arial" w:cs="Arial" w:eastAsia="Arial" w:hAnsi="Arial"/>
          <w:sz w:val="20"/>
          <w:szCs w:val="20"/>
        </w:rPr>
        <w:t xml:space="preserve">One test query must return the correct CII value for a known year (e.g., SELECT cii_value FROM cost_inflation_index WHERE financial_year = 'FY 2024-25' should return 363).</w:t>
      </w:r>
    </w:p>
    <w:p>
      <w:pPr>
        <w:spacing w:after="100"/>
      </w:pPr>
      <w:r>
        <w:rPr>
          <w:rFonts w:ascii="Arial" w:cs="Arial" w:eastAsia="Arial" w:hAnsi="Arial"/>
          <w:sz w:val="20"/>
          <w:szCs w:val="20"/>
        </w:rPr>
        <w:t xml:space="preserve">Only after all five steps above are complete is blocking dependency 4 cleared.</w:t>
      </w:r>
    </w:p>
    <w:p>
      <w:pPr>
        <w:spacing w:after="60"/>
      </w:pPr>
      <w:r>
        <w:t xml:space="preserve"/>
      </w:r>
    </w:p>
    <w:p>
      <w:pPr>
        <w:pStyle w:val="Heading2"/>
        <w:spacing w:before="280" w:after="120"/>
      </w:pPr>
      <w:r>
        <w:rPr>
          <w:rFonts w:ascii="Arial" w:cs="Arial" w:eastAsia="Arial" w:hAnsi="Arial"/>
          <w:b/>
          <w:bCs/>
          <w:color w:val="1E2D3D"/>
          <w:sz w:val="26"/>
          <w:szCs w:val="26"/>
        </w:rPr>
        <w:t xml:space="preserve">8A.7 Test Cases for CII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400"/>
        <w:gridCol w:w="2600"/>
        <w:gridCol w:w="1460"/>
      </w:tblGrid>
      <w:tr>
        <w:trPr>
          <w:tblHeader/>
        </w:trPr>
        <w:tc>
          <w:tcPr>
            <w:tcW w:type="dxa" w:w="7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Test ID</w:t>
            </w:r>
          </w:p>
        </w:tc>
        <w:tc>
          <w:tcPr>
            <w:tcW w:type="dxa" w:w="22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Scenario</w:t>
            </w:r>
          </w:p>
        </w:tc>
        <w:tc>
          <w:tcPr>
            <w:tcW w:type="dxa" w:w="24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Inputs</w:t>
            </w:r>
          </w:p>
        </w:tc>
        <w:tc>
          <w:tcPr>
            <w:tcW w:type="dxa" w:w="260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Expected indexed cost</w:t>
            </w:r>
          </w:p>
        </w:tc>
        <w:tc>
          <w:tcPr>
            <w:tcW w:type="dxa" w:w="1460"/>
            <w:tcBorders>
              <w:top w:val="single" w:color="CCCCCC" w:sz="1"/>
              <w:left w:val="single" w:color="CCCCCC" w:sz="1"/>
              <w:bottom w:val="single" w:color="CCCCCC" w:sz="1"/>
              <w:right w:val="single" w:color="CCCCCC" w:sz="1"/>
            </w:tcBorders>
            <w:shd w:fill="1E2D3D" w:val="clear"/>
            <w:tcMar>
              <w:top w:type="dxa" w:w="80"/>
              <w:left w:type="dxa" w:w="100"/>
              <w:bottom w:type="dxa" w:w="80"/>
              <w:right w:type="dxa" w:w="100"/>
            </w:tcMar>
          </w:tcPr>
          <w:p>
            <w:r>
              <w:rPr>
                <w:rFonts w:ascii="Arial" w:cs="Arial" w:eastAsia="Arial" w:hAnsi="Arial"/>
                <w:b/>
                <w:bCs/>
                <w:color w:val="FFFFFF"/>
                <w:sz w:val="17"/>
                <w:szCs w:val="17"/>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CII-01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Standard indexed LTCG on debt MF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Acquisition FY 2015-16 at ₹1,00,000. Sale FY 2024-25. CII 2015-16 = 254. CII 2024-25 = 363.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₹1,42,913 (1,00,000 × 363 / 254)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Standard case — both years confirmed</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CII-02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Pre-2001 acquisition</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Acquired before FY 2001-02. Actual cost ₹50,000. FMV on 1 April 2001 is ₹80,000. Sale FY 2024-25. CII 2001-02 = 100.</w:t>
            </w:r>
          </w:p>
        </w:tc>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₹2,90,400 (80,000 × 363 / 100)</w:t>
            </w:r>
          </w:p>
        </w:tc>
        <w:tc>
          <w:tcPr>
            <w:tcW w:type="dxa" w:w="14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Use higher of actual cost or FMV on 1 April 2001. FMV wins here.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CII-03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Property — Budget 2024 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Property acquired FY 2010-11 at ₹20L. Sold FY 2024-25 at ₹80L. CII 2010-11 = 167. CII 2024-25 = 363.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Option A: ₹60L gain at 12.5% = ₹7.5L tax. Option B: Indexed cost = 20L × 363/167 = ₹43.47L. Gain = ₹36.53L at 20% = ₹7.31L tax. Option B wins by ₹19,000.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Present both. CA and user choose.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CII-04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Listed equity — CII not applicable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Listed equity bought FY 2018-19. Sold FY 2024-25.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No indexation. Use actual cost. LTCG at 12.5% on actual gain.</w:t>
            </w:r>
          </w:p>
        </w:tc>
        <w:tc>
          <w:tcPr>
            <w:tcW w:type="dxa" w:w="1460"/>
            <w:tcBorders>
              <w:top w:val="single" w:color="CCCCCC" w:sz="1"/>
              <w:left w:val="single" w:color="CCCCCC" w:sz="1"/>
              <w:bottom w:val="single" w:color="CCCCCC" w:sz="1"/>
              <w:right w:val="single" w:color="CCCCCC" w:sz="1"/>
            </w:tcBorders>
            <w:shd w:fill="F5F7FA" w:val="clear"/>
            <w:tcMar>
              <w:top w:type="dxa" w:w="80"/>
              <w:left w:type="dxa" w:w="100"/>
              <w:bottom w:type="dxa" w:w="80"/>
              <w:right w:type="dxa" w:w="100"/>
            </w:tcMar>
          </w:tcPr>
          <w:p>
            <w:r>
              <w:rPr>
                <w:rFonts w:ascii="Arial" w:cs="Arial" w:eastAsia="Arial" w:hAnsi="Arial"/>
                <w:b w:val="false"/>
                <w:bCs w:val="false"/>
                <w:color w:val="000000"/>
                <w:sz w:val="17"/>
                <w:szCs w:val="17"/>
              </w:rPr>
              <w:t xml:space="preserve">CII computation must not run for listed equity regardless of holding period.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CII-05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FY 2025-26 pending — engine handles gracefully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Debt MF acquired FY 2023-24. Sale triggered in FY 2025-26.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Flag CII_PENDING. Use FY 2024-25 CII (363) as conservative estimate. Mark as estimated in output.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000000"/>
                <w:sz w:val="17"/>
                <w:szCs w:val="17"/>
              </w:rPr>
              <w:t xml:space="preserve">Engine must not block computation. Must flag for CA review.</w:t>
            </w:r>
          </w:p>
        </w:tc>
      </w:tr>
    </w:tbl>
    <w:p>
      <w:pPr>
        <w:spacing w:after="100"/>
      </w:pPr>
      <w:r>
        <w:t xml:space="preserve"/>
      </w:r>
    </w:p>
    <w:p>
      <w:pPr>
        <w:spacing w:after="100"/>
      </w:pPr>
      <w:r>
        <w:rPr>
          <w:rFonts w:ascii="Arial" w:cs="Arial" w:eastAsia="Arial" w:hAnsi="Arial"/>
          <w:i/>
          <w:iCs/>
          <w:color w:val="888888"/>
          <w:sz w:val="20"/>
          <w:szCs w:val="20"/>
        </w:rPr>
        <w:t xml:space="preserve">Section 8A | Wising Intelligence | wising.app | March 2026</w:t>
      </w:r>
    </w:p>
    <w:p>
      <w:pPr>
        <w:spacing w:after="100"/>
      </w:pPr>
      <w:r>
        <w:rPr>
          <w:rFonts w:ascii="Arial" w:cs="Arial" w:eastAsia="Arial" w:hAnsi="Arial"/>
          <w:i/>
          <w:iCs/>
          <w:color w:val="888888"/>
          <w:sz w:val="20"/>
          <w:szCs w:val="20"/>
        </w:rPr>
        <w:t xml:space="preserve">Part of WISING-TAX-MVP-001 v3.0. Internal reference. Confidential.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Wising — CII Table and Database Spec  |  Part of WISING-TAX-MVP-001 v3.0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160"/>
      <w:outlineLvl w:val="0"/>
    </w:pPr>
    <w:rPr>
      <w:rFonts w:ascii="Arial" w:cs="Arial" w:eastAsia="Arial" w:hAnsi="Arial"/>
      <w:b/>
      <w:bCs/>
      <w:sz w:val="34"/>
      <w:szCs w:val="34"/>
    </w:rPr>
  </w:style>
  <w:style w:type="paragraph" w:styleId="Heading2">
    <w:name w:val="Heading 2"/>
    <w:basedOn w:val="Normal"/>
    <w:next w:val="Normal"/>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2026-03-22T17:21:59.469Z</dcterms:created>
  <dcterms:modified xsi:type="dcterms:W3CDTF">2026-03-22T17:21:59.470Z</dcterms:modified>
</cp:coreProperties>
</file>

<file path=docProps/custom.xml><?xml version="1.0" encoding="utf-8"?>
<Properties xmlns="http://schemas.openxmlformats.org/officeDocument/2006/custom-properties" xmlns:vt="http://schemas.openxmlformats.org/officeDocument/2006/docPropsVTypes"/>
</file>