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E2D3D"/>
          <w:sz w:val="34"/>
          <w:szCs w:val="34"/>
        </w:rPr>
        <w:t xml:space="preserve">WISING INTELLIGENCE PRIVATE LIMITED</w:t>
      </w:r>
    </w:p>
    <w:p>
      <w:pPr>
        <w:spacing w:after="40"/>
      </w:pPr>
      <w:r>
        <w:rPr>
          <w:rFonts w:ascii="Arial" w:cs="Arial" w:eastAsia="Arial" w:hAnsi="Arial"/>
          <w:b/>
          <w:bCs/>
          <w:color w:val="1E2D3D"/>
          <w:sz w:val="26"/>
          <w:szCs w:val="26"/>
        </w:rPr>
        <w:t xml:space="preserve">Tax Planning Engine — WISING-PLAN-001</w:t>
      </w:r>
    </w:p>
    <w:p>
      <w:pPr>
        <w:spacing w:after="200"/>
      </w:pPr>
      <w:r>
        <w:rPr>
          <w:rFonts w:ascii="Arial" w:cs="Arial" w:eastAsia="Arial" w:hAnsi="Arial"/>
          <w:b/>
          <w:bCs/>
          <w:color w:val="1E2D3D"/>
          <w:sz w:val="28"/>
          <w:szCs w:val="28"/>
        </w:rPr>
        <w:t xml:space="preserve">Consolidated Advisory and Recommendation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71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Document 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WISING-PLAN-001 v1.0</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Status</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DRAFT — CA + CPA sign-off required on advisory messages before user-facing deployment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Depends 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All 30 existing specs — WISING-TAX-RS-001 through NRI-TAX-008</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Purpose</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Converts tax computation outputs into ranked actionable deadline-bound recommendation cards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March 2026</w:t>
            </w:r>
          </w:p>
        </w:tc>
      </w:tr>
    </w:tbl>
    <w:p>
      <w:pPr>
        <w:spacing w:after="100"/>
      </w:pPr>
      <w:r>
        <w:t xml:space="preserve"/>
      </w:r>
    </w:p>
    <w:p>
      <w:pPr>
        <w:shd w:fill="E8F4F8" w:val="clear"/>
        <w:spacing w:after="0" w:before="80"/>
        <w:ind w:left="360" w:right="360"/>
      </w:pPr>
      <w:r>
        <w:rPr>
          <w:rFonts w:ascii="Arial" w:cs="Arial" w:eastAsia="Arial" w:hAnsi="Arial"/>
          <w:b/>
          <w:bCs/>
          <w:color w:val="004D6B"/>
          <w:sz w:val="18"/>
          <w:szCs w:val="18"/>
        </w:rPr>
        <w:t xml:space="preserve">ℹ   Note  </w:t>
      </w:r>
      <w:r>
        <w:rPr>
          <w:rFonts w:ascii="Arial" w:cs="Arial" w:eastAsia="Arial" w:hAnsi="Arial"/>
          <w:color w:val="004D6B"/>
          <w:sz w:val="18"/>
          <w:szCs w:val="18"/>
        </w:rPr>
        <w:t xml:space="preserve">This spec does NOT introduce new tax law. It assembles advisory flags already embedded across all 30 existing specs into a unified planning output layer.</w:t>
      </w:r>
    </w:p>
    <w:p>
      <w:pPr>
        <w:shd w:fill="E8F4F8" w:val="clear"/>
        <w:spacing w:after="0" w:before="0"/>
        <w:ind w:left="360" w:right="360"/>
      </w:pPr>
      <w:r>
        <w:rPr>
          <w:rFonts w:ascii="Arial" w:cs="Arial" w:eastAsia="Arial" w:hAnsi="Arial"/>
          <w:color w:val="004D6B"/>
          <w:sz w:val="18"/>
          <w:szCs w:val="18"/>
        </w:rPr>
        <w:t xml:space="preserve">       The planning engine fires AFTER the tax computation engine has run. It reads the output and converts flags into ranked user-facing recommendation cards.</w:t>
      </w:r>
    </w:p>
    <w:p>
      <w:pPr>
        <w:shd w:fill="E8F4F8" w:val="clear"/>
        <w:spacing w:after="80" w:before="0"/>
        <w:ind w:left="360" w:right="360"/>
      </w:pPr>
      <w:r>
        <w:rPr>
          <w:rFonts w:ascii="Arial" w:cs="Arial" w:eastAsia="Arial" w:hAnsi="Arial"/>
          <w:color w:val="004D6B"/>
          <w:sz w:val="18"/>
          <w:szCs w:val="18"/>
        </w:rPr>
        <w:t xml:space="preserve">       Every card in this spec traces directly to a flag already specced in an existing document.</w:t>
      </w:r>
    </w:p>
    <w:p>
      <w:pPr>
        <w:spacing w:after="100"/>
      </w:pPr>
      <w:r>
        <w:t xml:space="preserve"/>
      </w:r>
    </w:p>
    <w:p>
      <w:pPr>
        <w:pStyle w:val="Heading1"/>
        <w:spacing w:after="140" w:before="360"/>
      </w:pPr>
      <w:r>
        <w:rPr>
          <w:rFonts w:ascii="Arial" w:cs="Arial" w:eastAsia="Arial" w:hAnsi="Arial"/>
          <w:b/>
          <w:bCs/>
          <w:color w:val="1E2D3D"/>
          <w:sz w:val="32"/>
          <w:szCs w:val="32"/>
        </w:rPr>
        <w:t xml:space="preserve">Section 0: Architecture</w:t>
      </w:r>
    </w:p>
    <w:p>
      <w:pPr>
        <w:spacing w:after="90"/>
      </w:pPr>
      <w:r>
        <w:rPr>
          <w:rFonts w:ascii="Arial" w:cs="Arial" w:eastAsia="Arial" w:hAnsi="Arial"/>
          <w:sz w:val="20"/>
          <w:szCs w:val="20"/>
        </w:rPr>
        <w:t xml:space="preserve">The planning engine sits between the tax computation engine and the user interface. It reads the computed tax position, identifies actionable opportunities, computes financial impact, assigns deadlines, and presents ranked recommendation cards.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Layer</w:t>
            </w:r>
          </w:p>
        </w:tc>
        <w:tc>
          <w:tcPr>
            <w:tcW w:type="dxa" w:w="3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What it does</w:t>
            </w:r>
          </w:p>
        </w:tc>
        <w:tc>
          <w:tcPr>
            <w:tcW w:type="dxa" w:w="33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Tax Computation Engine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Computes tax liability, TDS rates, FTC amounts, residency status, DTAA rates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Structured tax position object per user per financial year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Planning Engine (this spec)</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Reads tax position, identifies planning opportunities, ranks by impact, assigns deadlines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Ranked recommendation cards with rupee/dollar impact and action steps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UI Layer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Displays recommendation cards, tracks completion, sends deadline alerts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User-facing planning dashboard</w:t>
            </w:r>
          </w:p>
        </w:tc>
      </w:tr>
    </w:tbl>
    <w:p>
      <w:pPr>
        <w:spacing w:after="100"/>
      </w:pPr>
      <w:r>
        <w:t xml:space="preserve"/>
      </w:r>
    </w:p>
    <w:p>
      <w:pPr>
        <w:pStyle w:val="Heading1"/>
        <w:spacing w:after="140" w:before="360"/>
      </w:pPr>
      <w:r>
        <w:rPr>
          <w:rFonts w:ascii="Arial" w:cs="Arial" w:eastAsia="Arial" w:hAnsi="Arial"/>
          <w:b/>
          <w:bCs/>
          <w:color w:val="1E2D3D"/>
          <w:sz w:val="32"/>
          <w:szCs w:val="32"/>
        </w:rPr>
        <w:t xml:space="preserve">Section 1: Recommendation Card Schema</w:t>
      </w:r>
    </w:p>
    <w:p>
      <w:pPr>
        <w:spacing w:after="90"/>
      </w:pPr>
      <w:r>
        <w:rPr>
          <w:rFonts w:ascii="Arial" w:cs="Arial" w:eastAsia="Arial" w:hAnsi="Arial"/>
          <w:sz w:val="20"/>
          <w:szCs w:val="20"/>
        </w:rPr>
        <w:t xml:space="preserve">Every planning recommendation is a card object. Cards are ranked by estimated_impact_inr descending within urgency tiers.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51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card_id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Unique identifier e.g. PLAN-LTCG-HARVEST-2025-26</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flag_source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The flag from the originating spec e.g. LTCG_HARVEST_OPPORTUNITY from NRI-TAX-007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category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TAX_SAVING / COMPLIANCE / REFUND / RESTRUCTURING / DEADLINE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title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Short user-facing title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Plain English explanation of the opportunity and what the user must do</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estimated_impact_inr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NUMERIC(15,2)</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Rupee value — tax saved, refund recovered, or penalty avoided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estimated_impact_usd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NUMERIC(15,2)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USD equivalent where relevant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deadline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DATE</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Hard deadline. NULL if evergreen.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days_remaining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deadline - today. Recomputed daily.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urgency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ENUM</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CRITICAL (under 30 days) / HIGH (30-90 days) / MEDIUM (90-180 days) / LOW (above 180 days or no deadline)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action_steps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Ordered list of concrete steps the user must take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ca_required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BOOLEAN</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Whether a CA must be involved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cpa_required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Whether a US CPA must be involved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status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ENUM</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OPEN / IN_PROGRESS / COMPLETED / EXPIRED / DISMISSED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spec_reference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Document ID and section e.g. NRI-TAX-007 Section 7</w:t>
            </w:r>
          </w:p>
        </w:tc>
      </w:tr>
    </w:tbl>
    <w:p>
      <w:pPr>
        <w:spacing w:after="100"/>
      </w:pPr>
      <w:r>
        <w:t xml:space="preserve"/>
      </w:r>
    </w:p>
    <w:p>
      <w:pPr>
        <w:pStyle w:val="Heading1"/>
        <w:spacing w:after="140" w:before="360"/>
      </w:pPr>
      <w:r>
        <w:rPr>
          <w:rFonts w:ascii="Arial" w:cs="Arial" w:eastAsia="Arial" w:hAnsi="Arial"/>
          <w:b/>
          <w:bCs/>
          <w:color w:val="1E2D3D"/>
          <w:sz w:val="32"/>
          <w:szCs w:val="32"/>
        </w:rPr>
        <w:t xml:space="preserve">Section 2: Complete Recommendation Card Catalogue</w:t>
      </w:r>
    </w:p>
    <w:p>
      <w:pPr>
        <w:pStyle w:val="Heading2"/>
        <w:spacing w:after="100" w:before="240"/>
      </w:pPr>
      <w:r>
        <w:rPr>
          <w:rFonts w:ascii="Arial" w:cs="Arial" w:eastAsia="Arial" w:hAnsi="Arial"/>
          <w:b/>
          <w:bCs/>
          <w:color w:val="1E2D3D"/>
          <w:sz w:val="26"/>
          <w:szCs w:val="26"/>
        </w:rPr>
        <w:t xml:space="preserve">2.1 LTCG Harvesting — Listed Equity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Flag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LTCG_HARVEST_OPPORTUNITY — NRI-TAX-007 Section 9</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Who sees this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ROR residents with unrealised equity LTCG above zero and remaining FY under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Harvest up to Rs 1.25L of LTCG tax-free before 31 March</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Impact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harvestable_amount x 12.5% = tax saved. e.g. Rs 1.25L harvested = Rs 15,625 saved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Deadline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31 March of current FY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Urgency</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CRITICAL if under 30 days remaining. HIGH if 30-60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Action steps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 Identify equity holdings with unrealised LTCG. 2. Sell enough to realise Rs [harvestable_amount]. 3. Immediately repurchase — no wash sale rule in India. 4. Confirm STT is paid on both transactions.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CA required</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NO — user can execute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Block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NR/RNOR users must never see this card — Rs 1.25L exemption not available to NRIs</w:t>
            </w:r>
          </w:p>
        </w:tc>
      </w:tr>
    </w:tbl>
    <w:p>
      <w:pPr>
        <w:spacing w:after="100"/>
      </w:pPr>
      <w:r>
        <w:t xml:space="preserve"/>
      </w:r>
    </w:p>
    <w:p>
      <w:pPr>
        <w:pStyle w:val="Heading2"/>
        <w:spacing w:after="100" w:before="240"/>
      </w:pPr>
      <w:r>
        <w:rPr>
          <w:rFonts w:ascii="Arial" w:cs="Arial" w:eastAsia="Arial" w:hAnsi="Arial"/>
          <w:b/>
          <w:bCs/>
          <w:color w:val="1E2D3D"/>
          <w:sz w:val="26"/>
          <w:szCs w:val="26"/>
        </w:rPr>
        <w:t xml:space="preserve">2.2 Section 54 Reinvestment Window — Residential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Flag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SECTION_54_REINVESTMENT_WINDOW — NRI-TAX-007 Section 6.1</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Who sees this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Any user who has sold a residential property with LTCG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Reinvest your property gain in a new home and save Rs [tax_at_risk] in LTCG tax</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Impact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LTCG amount x 20% = full tax saved if full reinvestment completed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Deadline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 years from sale date for purchase, 3 years for construction. CGAS deposit deadline = ITR due date.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Urgency</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CRITICAL if CGAS deadline within 30 days. HIGH if reinvestment deadline within 6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Action steps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 Identify new residential property in India to purchase. 2. If not yet purchased: deposit LTCG in Capital Gains Account Scheme (CGAS) before ITR due date to preserve exemption. 3. Complete purchase within 2 years or construction within 3 years from sale date. 4. Do not sell new property within 3 years — exemption will be withdrawn.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CA required</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w:t>
            </w:r>
          </w:p>
        </w:tc>
      </w:tr>
    </w:tbl>
    <w:p>
      <w:pPr>
        <w:spacing w:after="100"/>
      </w:pPr>
      <w:r>
        <w:t xml:space="preserve"/>
      </w:r>
    </w:p>
    <w:p>
      <w:pPr>
        <w:pStyle w:val="Heading2"/>
        <w:spacing w:after="100" w:before="240"/>
      </w:pPr>
      <w:r>
        <w:rPr>
          <w:rFonts w:ascii="Arial" w:cs="Arial" w:eastAsia="Arial" w:hAnsi="Arial"/>
          <w:b/>
          <w:bCs/>
          <w:color w:val="1E2D3D"/>
          <w:sz w:val="26"/>
          <w:szCs w:val="26"/>
        </w:rPr>
        <w:t xml:space="preserve">2.3 Section 54EC Bond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Flag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SECTION_54EC_BOND_WINDOW — NRI-TAX-007 Section 7</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Who sees this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Any user who has sold immovable property with LTCG and days_since_sale is 180 or under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Invest in 54EC bonds within [remaining_days] days and save up to Rs [max_saving] in LTCG tax</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Impact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MIN(LTCG, Rs 50L) x 20% = maximum tax saved. e.g. Rs 50L invested = Rs 10L saved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Deadline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6 months from property sale date — hard deadline, no extension possible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Urgency</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CRITICAL if under 30 days remaining. Show countdown prominently.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Action steps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 Invest up to Rs 50L in REC or NHAI bonds designated under Section 54EC. 2. Bonds are locked for 5 years — cannot sell, pledge, or transfer. 3. Interest on bonds is taxable at slab rate. 4. Deadline: [sale_date + 6 months].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CA required</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EXPIRED card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If days_since_sale above 180 and no 54EC investment made: fire SECTION_54EC_WINDOW_MISSED. Show impact of missed opportunity.</w:t>
            </w:r>
          </w:p>
        </w:tc>
      </w:tr>
    </w:tbl>
    <w:p>
      <w:pPr>
        <w:spacing w:after="100"/>
      </w:pPr>
      <w:r>
        <w:t xml:space="preserve"/>
      </w:r>
    </w:p>
    <w:p>
      <w:pPr>
        <w:pStyle w:val="Heading2"/>
        <w:spacing w:after="100" w:before="240"/>
      </w:pPr>
      <w:r>
        <w:rPr>
          <w:rFonts w:ascii="Arial" w:cs="Arial" w:eastAsia="Arial" w:hAnsi="Arial"/>
          <w:b/>
          <w:bCs/>
          <w:color w:val="1E2D3D"/>
          <w:sz w:val="26"/>
          <w:szCs w:val="26"/>
        </w:rPr>
        <w:t xml:space="preserve">2.4 Section 54F Reinvestment Window — Other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Flag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SECTION_54F_REINVESTMENT_WINDOW — NRI-TAX-007 Section 6.2</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Who sees this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Any user who sold a non-residential long-term asset (equity, commercial property, gold, plots)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Reinvest your full sale proceeds in a residential property and exempt your Rs [ltcg] gain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Impact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Full LTCG exempt if full net proceeds reinvested. Proportional if partial.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Deadline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 years from sale date (purchase) or 3 years (construction)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Key difference from 54</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Must reinvest FULL NET PROCEEDS — not just LTCG. User must not own more than one other residential house.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Action steps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 Identify residential property to purchase in India. 2. Reinvest full net sale proceeds of Rs [net_proceeds] — partial reinvestment gives partial exemption. 3. Deposit balance in CGAS before ITR due date if not yet purchased. 4. Do not sell new property within 3 years.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CA required</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w:t>
            </w:r>
          </w:p>
        </w:tc>
      </w:tr>
    </w:tbl>
    <w:p>
      <w:pPr>
        <w:spacing w:after="100"/>
      </w:pPr>
      <w:r>
        <w:t xml:space="preserve"/>
      </w:r>
    </w:p>
    <w:p>
      <w:pPr>
        <w:pStyle w:val="Heading2"/>
        <w:spacing w:after="100" w:before="240"/>
      </w:pPr>
      <w:r>
        <w:rPr>
          <w:rFonts w:ascii="Arial" w:cs="Arial" w:eastAsia="Arial" w:hAnsi="Arial"/>
          <w:b/>
          <w:bCs/>
          <w:color w:val="1E2D3D"/>
          <w:sz w:val="26"/>
          <w:szCs w:val="26"/>
        </w:rPr>
        <w:t xml:space="preserve">2.5 Form 67 Deadline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Flag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FORM_67_DEADLINE_ALERT — NRI-TAX-006 Section 2.5</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Who sees this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ROR users with US-source income who have paid US withholding tax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File Form 67 before your ITR deadline or permanently lose your Foreign Tax Credit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Impact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Sum of ftc_claimable_inr for all US-source income — permanently forfeited if Form 67 missed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Deadline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ITR due date (31 July or 31 October if audit). Alert fires 60 days before.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Urgency</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CRITICAL — no remedy exists after this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Action steps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 Collect Form 1042-S from US broker or W-2 from US employer. 2. Provide to CA with date-of-payment exchange rates. 3. CA files Form 67 on incometax.gov.in before ITR due date. 4. File ITR on same day or after Form 67.</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CA required</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w:t>
            </w:r>
          </w:p>
        </w:tc>
      </w:tr>
    </w:tbl>
    <w:p>
      <w:pPr>
        <w:spacing w:after="100"/>
      </w:pPr>
      <w:r>
        <w:t xml:space="preserve"/>
      </w:r>
    </w:p>
    <w:p>
      <w:pPr>
        <w:pStyle w:val="Heading2"/>
        <w:spacing w:after="100" w:before="240"/>
      </w:pPr>
      <w:r>
        <w:rPr>
          <w:rFonts w:ascii="Arial" w:cs="Arial" w:eastAsia="Arial" w:hAnsi="Arial"/>
          <w:b/>
          <w:bCs/>
          <w:color w:val="1E2D3D"/>
          <w:sz w:val="26"/>
          <w:szCs w:val="26"/>
        </w:rPr>
        <w:t xml:space="preserve">2.6 TDS Over-Deduction Split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Flag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TDS_OVER_DEDUCTED_SPLIT — NRI-TAX-006 Section 1.2</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Who sees this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NR users where tds_deducted_inr is greater than actual_tax_liability_inr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Your TDS was over-deducted — here is exactly what to do with each portion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Impact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tds_refund_pending_inr recoverable from India + ftc_claimable_usd creditable on US return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Deadline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 ITR due date for refund. US return due date for FTC.</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Action steps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1. Rs [actual_tax_liability_inr] — actual India tax paid. Claim as FTC on your US return via Form 1116. Give to your CPA. 2. Rs [tds_refund_pending_inr] — excess TDS. India owes you this back. Claim as refund in your India ITR by [itr_due_date].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 required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for India ITR. CPA required for US Form 1116.</w:t>
            </w:r>
          </w:p>
        </w:tc>
      </w:tr>
    </w:tbl>
    <w:p>
      <w:pPr>
        <w:spacing w:after="100"/>
      </w:pPr>
      <w:r>
        <w:t xml:space="preserve"/>
      </w:r>
    </w:p>
    <w:p>
      <w:pPr>
        <w:pStyle w:val="Heading2"/>
        <w:spacing w:after="100" w:before="240"/>
      </w:pPr>
      <w:r>
        <w:rPr>
          <w:rFonts w:ascii="Arial" w:cs="Arial" w:eastAsia="Arial" w:hAnsi="Arial"/>
          <w:b/>
          <w:bCs/>
          <w:color w:val="1E2D3D"/>
          <w:sz w:val="26"/>
          <w:szCs w:val="26"/>
        </w:rPr>
        <w:t xml:space="preserve">2.7 Form 13 Lower TDS Certificate — Property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Flag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Embedded in NRI-TAX-002 Section 3.2</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Who sees this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NR user with a planned property sale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Apply for Form 13 now to prevent Rs [excess_tds] of cash being locked with the IT department for 18-24 months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Impact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Without Form 13: buyer deducts 20% TDS on gross proceeds. On Rs 2Cr sale = Rs 40L TDS locked. Actual tax may be Rs 10L. Rs 30L refund takes 18-24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Deadline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Must apply BEFORE sale agreement is signed. Processing takes 2-6 weeks.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Urgency</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HIGH if sale planned within 90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Action steps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 File Form 13 application on incometax.gov.in. 2. Provide sale consideration, cost of acquisition, and estimated capital gain. 3. Assessing Officer issues certificate with lower TDS rate. 4. Give certificate to buyer before registration.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CA required</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w:t>
            </w:r>
          </w:p>
        </w:tc>
      </w:tr>
    </w:tbl>
    <w:p>
      <w:pPr>
        <w:spacing w:after="100"/>
      </w:pPr>
      <w:r>
        <w:t xml:space="preserve"/>
      </w:r>
    </w:p>
    <w:p>
      <w:pPr>
        <w:pStyle w:val="Heading2"/>
        <w:spacing w:after="100" w:before="240"/>
      </w:pPr>
      <w:r>
        <w:rPr>
          <w:rFonts w:ascii="Arial" w:cs="Arial" w:eastAsia="Arial" w:hAnsi="Arial"/>
          <w:b/>
          <w:bCs/>
          <w:color w:val="1E2D3D"/>
          <w:sz w:val="26"/>
          <w:szCs w:val="26"/>
        </w:rPr>
        <w:t xml:space="preserve">2.8 W-8BEN Missing or Expiring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Flag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W8BEN_MISSING + W8BEN_EXPIRY_ALERT — NRI-TAX-008 Section 3.5</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Who sees this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NR users with US brokerage accounts or US-source income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You are being withheld at 30% instead of 15% — file W-8BEN immediately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Impact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For every $10,000 of US dividends: 30% = $3,000 TDS vs 15% = $1,500 TDS. Annual overpayment = $1,500 per $10K of income.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Deadline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EXPIRY: 90 days before expiry date. MISSING: immediate.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Action steps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1. Download W-8BEN from IRS website or broker portal. 2. Fill in Indian PAN as Foreign TIN. 3. Claim treaty rate: Art.10 (dividends) or Art.11 (interest). 4. Submit to each US broker separately — not portable across brokers.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 required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 — user can file independently. CPA review recommended.</w:t>
            </w:r>
          </w:p>
        </w:tc>
      </w:tr>
    </w:tbl>
    <w:p>
      <w:pPr>
        <w:spacing w:after="100"/>
      </w:pPr>
      <w:r>
        <w:t xml:space="preserve"/>
      </w:r>
    </w:p>
    <w:p>
      <w:pPr>
        <w:pStyle w:val="Heading2"/>
        <w:spacing w:after="100" w:before="240"/>
      </w:pPr>
      <w:r>
        <w:rPr>
          <w:rFonts w:ascii="Arial" w:cs="Arial" w:eastAsia="Arial" w:hAnsi="Arial"/>
          <w:b/>
          <w:bCs/>
          <w:color w:val="1E2D3D"/>
          <w:sz w:val="26"/>
          <w:szCs w:val="26"/>
        </w:rPr>
        <w:t xml:space="preserve">2.9 RNOR Window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Flag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RNOR_EXPIRY_ALERT — WISING-TAX-RS-001 Section 13</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Who sees this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Users classified as RNOR with rnor_months_remaining under 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Your RNOR period expires in [N] months — take these actions before foreign income becomes taxable in India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Impact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After RNOR: all foreign income taxable in India. For $500K US portfolio generating $20K dividends: India tax at 30% = Rs 5L+ additional per year.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Deadline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First day of the tax year in which RNOR expires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Urgency</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CRITICAL — irreversible once expired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Action steps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 Identify all foreign assets generating income. 2. Consider timing major US disposals before RNOR expiry. 3. Convert NRE accounts to RFC before RNOR expiry. 4. Review FCNR maturities — plan repatriation before ROR. 5. Engage CA and CPA jointly.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CA required</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CPA required if US assets involved.</w:t>
            </w:r>
          </w:p>
        </w:tc>
      </w:tr>
    </w:tbl>
    <w:p>
      <w:pPr>
        <w:spacing w:after="100"/>
      </w:pPr>
      <w:r>
        <w:t xml:space="preserve"/>
      </w:r>
    </w:p>
    <w:p>
      <w:pPr>
        <w:pStyle w:val="Heading2"/>
        <w:spacing w:after="100" w:before="240"/>
      </w:pPr>
      <w:r>
        <w:rPr>
          <w:rFonts w:ascii="Arial" w:cs="Arial" w:eastAsia="Arial" w:hAnsi="Arial"/>
          <w:b/>
          <w:bCs/>
          <w:color w:val="1E2D3D"/>
          <w:sz w:val="26"/>
          <w:szCs w:val="26"/>
        </w:rPr>
        <w:t xml:space="preserve">2.10 NRE Account Conversion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Flag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CONV-01 / CONV-03 — NRI-TAX-003 Section 3</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Who sees this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Users whose status changed from NR to RNOR or RNOR to ROR holding NRE accounts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Your NRE account must be converted to RFC — failing to do so triggers full tax on interest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Impact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NRE interest taxable if held as NRE after becoming ROR. On Rs 1Cr NRE at 7%: Rs 7L of interest becomes taxable at slab.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Action steps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 Contact your bank and request NRE to RFC conversion. 2. Track conversion_date — interest before date is exempt, after is taxable. 3. FCNR deposits can be held to maturity — plan repatriation of proceeds.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CA required</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w:t>
            </w:r>
          </w:p>
        </w:tc>
      </w:tr>
    </w:tbl>
    <w:p>
      <w:pPr>
        <w:spacing w:after="100"/>
      </w:pPr>
      <w:r>
        <w:t xml:space="preserve"/>
      </w:r>
    </w:p>
    <w:p>
      <w:pPr>
        <w:pStyle w:val="Heading2"/>
        <w:spacing w:after="100" w:before="240"/>
      </w:pPr>
      <w:r>
        <w:rPr>
          <w:rFonts w:ascii="Arial" w:cs="Arial" w:eastAsia="Arial" w:hAnsi="Arial"/>
          <w:b/>
          <w:bCs/>
          <w:color w:val="1E2D3D"/>
          <w:sz w:val="26"/>
          <w:szCs w:val="26"/>
        </w:rPr>
        <w:t xml:space="preserve">2.11 Excess TDS Refund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Flag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EXCESS_TDS_REFUND_PENDING — NRI-TAX-006 Section 8</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Who sees this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Any user where tds_refund_pending_inr is above zero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Rs [tds_refund_pending_inr] of excess TDS is pending refund — file your ITR to claim it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Impact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tds_refund_pending_inr — cash currently held by IT department. Refund typically takes 18-24 months after ITR filing.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Deadline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ITR due date — cannot claim refund without filing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Action steps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1. File India ITR by [itr_due_date]. 2. Ensure Form 26AS matches TDS deducted. 3. CA to reconcile and claim refund in ITR.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 required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r>
    </w:tbl>
    <w:p>
      <w:pPr>
        <w:spacing w:after="100"/>
      </w:pPr>
      <w:r>
        <w:t xml:space="preserve"/>
      </w:r>
    </w:p>
    <w:p>
      <w:pPr>
        <w:pStyle w:val="Heading2"/>
        <w:spacing w:after="100" w:before="240"/>
      </w:pPr>
      <w:r>
        <w:rPr>
          <w:rFonts w:ascii="Arial" w:cs="Arial" w:eastAsia="Arial" w:hAnsi="Arial"/>
          <w:b/>
          <w:bCs/>
          <w:color w:val="1E2D3D"/>
          <w:sz w:val="26"/>
          <w:szCs w:val="26"/>
        </w:rPr>
        <w:t xml:space="preserve">2.12 FIRPTA Withholding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Flag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FIRPTA_WITHHOLDING_APPLICABLE — NRI-TAX-008 Section 5</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Who sees this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NR users with a planned US real estate sale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Apply for FIRPTA withholding reduction before closing — otherwise 15% of gross proceeds locked for 12-18 months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Impact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On $500K property: 15% FIRPTA = $75,000 locked with IRS. Actual tax on $100K gain = $20,000. Form 8288-B reduces withholding to $20,000 — saving $55,000 in cash 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Deadline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Must apply BEFORE closing. IRS processing takes 4-8 weeks. Apply at least 3 months before planned sale.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Action steps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1. Engage US CPA immediately. 2. CPA files Form 8288-B with IRS. 3. Provide estimated gain computation. 4. IRS issues certificate reducing FIRPTA to actual estimated tax. 5. Present certificate to closing agent at settlement.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CPA required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r>
    </w:tbl>
    <w:p>
      <w:pPr>
        <w:spacing w:after="100"/>
      </w:pPr>
      <w:r>
        <w:t xml:space="preserve"/>
      </w:r>
    </w:p>
    <w:p>
      <w:pPr>
        <w:pStyle w:val="Heading2"/>
        <w:spacing w:after="100" w:before="240"/>
      </w:pPr>
      <w:r>
        <w:rPr>
          <w:rFonts w:ascii="Arial" w:cs="Arial" w:eastAsia="Arial" w:hAnsi="Arial"/>
          <w:b/>
          <w:bCs/>
          <w:color w:val="1E2D3D"/>
          <w:sz w:val="26"/>
          <w:szCs w:val="26"/>
        </w:rPr>
        <w:t xml:space="preserve">2.13 Tax Regime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Flag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REGIME_COMPARISON_UPDATED — NRI-TAX-007 Section 3</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Who sees this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ROR users — at start of each financial year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Model both tax regimes before 31 July — the difference for you is Rs [regime_difference]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Impact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Regime difference = tax under old regime - tax under new regime (or vice versa). Computed using FY 2025-26 slabs.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Action steps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 Engine computes tax under both regimes using all income items. 2. Shows rupee difference. 3. If user has business income: warns that switching back to old regime is permanent. 4. User confirms regime election before ITR filing.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CA required</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if business income involved</w:t>
            </w:r>
          </w:p>
        </w:tc>
      </w:tr>
    </w:tbl>
    <w:p>
      <w:pPr>
        <w:spacing w:after="100"/>
      </w:pPr>
      <w:r>
        <w:t xml:space="preserve"/>
      </w:r>
    </w:p>
    <w:p>
      <w:pPr>
        <w:pStyle w:val="Heading1"/>
        <w:spacing w:after="140" w:before="360"/>
      </w:pPr>
      <w:r>
        <w:rPr>
          <w:rFonts w:ascii="Arial" w:cs="Arial" w:eastAsia="Arial" w:hAnsi="Arial"/>
          <w:b/>
          <w:bCs/>
          <w:color w:val="1E2D3D"/>
          <w:sz w:val="32"/>
          <w:szCs w:val="32"/>
        </w:rPr>
        <w:t xml:space="preserve">Section 3: Card Ranking Logic</w:t>
      </w:r>
    </w:p>
    <w:p>
      <w:pPr>
        <w:spacing w:after="90"/>
      </w:pPr>
      <w:r>
        <w:rPr>
          <w:rFonts w:ascii="Arial" w:cs="Arial" w:eastAsia="Arial" w:hAnsi="Arial"/>
          <w:sz w:val="20"/>
          <w:szCs w:val="20"/>
        </w:rPr>
        <w:t xml:space="preserve">The planning engine ranks all open cards for a user in this exact order:</w:t>
      </w:r>
    </w:p>
    <w:p>
      <w:pPr>
        <w:spacing w:after="60"/>
      </w:pPr>
      <w:r>
        <w:t xml:space="preserve"/>
      </w:r>
    </w:p>
    <w:p>
      <w:pPr>
        <w:pStyle w:val="ListParagraph"/>
        <w:numPr>
          <w:ilvl w:val="0"/>
          <w:numId w:val="2"/>
        </w:numPr>
        <w:spacing w:after="60"/>
      </w:pPr>
      <w:r>
        <w:rPr>
          <w:rFonts w:ascii="Arial" w:cs="Arial" w:eastAsia="Arial" w:hAnsi="Arial"/>
          <w:sz w:val="19"/>
          <w:szCs w:val="19"/>
        </w:rPr>
        <w:t xml:space="preserve">CRITICAL urgency cards first — sorted by days_remaining ascending (most urgent first)</w:t>
      </w:r>
    </w:p>
    <w:p>
      <w:pPr>
        <w:pStyle w:val="ListParagraph"/>
        <w:numPr>
          <w:ilvl w:val="0"/>
          <w:numId w:val="2"/>
        </w:numPr>
        <w:spacing w:after="60"/>
      </w:pPr>
      <w:r>
        <w:rPr>
          <w:rFonts w:ascii="Arial" w:cs="Arial" w:eastAsia="Arial" w:hAnsi="Arial"/>
          <w:sz w:val="19"/>
          <w:szCs w:val="19"/>
        </w:rPr>
        <w:t xml:space="preserve">HIGH urgency cards — sorted by estimated_impact_inr descending (highest value first)</w:t>
      </w:r>
    </w:p>
    <w:p>
      <w:pPr>
        <w:pStyle w:val="ListParagraph"/>
        <w:numPr>
          <w:ilvl w:val="0"/>
          <w:numId w:val="2"/>
        </w:numPr>
        <w:spacing w:after="60"/>
      </w:pPr>
      <w:r>
        <w:rPr>
          <w:rFonts w:ascii="Arial" w:cs="Arial" w:eastAsia="Arial" w:hAnsi="Arial"/>
          <w:sz w:val="19"/>
          <w:szCs w:val="19"/>
        </w:rPr>
        <w:t xml:space="preserve">MEDIUM urgency cards — sorted by estimated_impact_inr descending</w:t>
      </w:r>
    </w:p>
    <w:p>
      <w:pPr>
        <w:pStyle w:val="ListParagraph"/>
        <w:numPr>
          <w:ilvl w:val="0"/>
          <w:numId w:val="2"/>
        </w:numPr>
        <w:spacing w:after="60"/>
      </w:pPr>
      <w:r>
        <w:rPr>
          <w:rFonts w:ascii="Arial" w:cs="Arial" w:eastAsia="Arial" w:hAnsi="Arial"/>
          <w:sz w:val="19"/>
          <w:szCs w:val="19"/>
        </w:rPr>
        <w:t xml:space="preserve">LOW urgency and evergreen cards — sorted by estimated_impact_inr descending</w:t>
      </w:r>
    </w:p>
    <w:p>
      <w:pPr>
        <w:spacing w:after="100"/>
      </w:pPr>
      <w:r>
        <w:t xml:space="preserve"/>
      </w:r>
    </w:p>
    <w:p>
      <w:pPr>
        <w:shd w:fill="E8F4F8" w:val="clear"/>
        <w:spacing w:after="0" w:before="80"/>
        <w:ind w:left="360" w:right="360"/>
      </w:pPr>
      <w:r>
        <w:rPr>
          <w:rFonts w:ascii="Arial" w:cs="Arial" w:eastAsia="Arial" w:hAnsi="Arial"/>
          <w:b/>
          <w:bCs/>
          <w:color w:val="004D6B"/>
          <w:sz w:val="18"/>
          <w:szCs w:val="18"/>
        </w:rPr>
        <w:t xml:space="preserve">ℹ   Note  </w:t>
      </w:r>
      <w:r>
        <w:rPr>
          <w:rFonts w:ascii="Arial" w:cs="Arial" w:eastAsia="Arial" w:hAnsi="Arial"/>
          <w:color w:val="004D6B"/>
          <w:sz w:val="18"/>
          <w:szCs w:val="18"/>
        </w:rPr>
        <w:t xml:space="preserve">Compliance cards (Form 67, FIRPTA, Form 15CA) are always elevated to top of their urgency tier regardless of impact — the penalty for missing them exceeds any financial opportunity.</w:t>
      </w:r>
    </w:p>
    <w:p>
      <w:pPr>
        <w:shd w:fill="E8F4F8" w:val="clear"/>
        <w:spacing w:after="0" w:before="0"/>
        <w:ind w:left="360" w:right="360"/>
      </w:pPr>
      <w:r>
        <w:rPr>
          <w:rFonts w:ascii="Arial" w:cs="Arial" w:eastAsia="Arial" w:hAnsi="Arial"/>
          <w:color w:val="004D6B"/>
          <w:sz w:val="18"/>
          <w:szCs w:val="18"/>
        </w:rPr>
        <w:t xml:space="preserve">       Cards with ca_required=True must show a CA engagement prompt alongside action steps.</w:t>
      </w:r>
    </w:p>
    <w:p>
      <w:pPr>
        <w:shd w:fill="E8F4F8" w:val="clear"/>
        <w:spacing w:after="80" w:before="0"/>
        <w:ind w:left="360" w:right="360"/>
      </w:pPr>
      <w:r>
        <w:rPr>
          <w:rFonts w:ascii="Arial" w:cs="Arial" w:eastAsia="Arial" w:hAnsi="Arial"/>
          <w:color w:val="004D6B"/>
          <w:sz w:val="18"/>
          <w:szCs w:val="18"/>
        </w:rPr>
        <w:t xml:space="preserve">       Within the same urgency tier, financial impact is the primary sort key.</w:t>
      </w:r>
    </w:p>
    <w:p>
      <w:pPr>
        <w:spacing w:after="100"/>
      </w:pPr>
      <w:r>
        <w:t xml:space="preserve"/>
      </w:r>
    </w:p>
    <w:p>
      <w:pPr>
        <w:pStyle w:val="Heading1"/>
        <w:spacing w:after="140" w:before="360"/>
      </w:pPr>
      <w:r>
        <w:rPr>
          <w:rFonts w:ascii="Arial" w:cs="Arial" w:eastAsia="Arial" w:hAnsi="Arial"/>
          <w:b/>
          <w:bCs/>
          <w:color w:val="1E2D3D"/>
          <w:sz w:val="32"/>
          <w:szCs w:val="32"/>
        </w:rPr>
        <w:t xml:space="preserve">Section 4: Planning Dashboard UI Requirements</w:t>
      </w:r>
    </w:p>
    <w:p>
      <w:pPr>
        <w:pStyle w:val="Heading2"/>
        <w:spacing w:after="100" w:before="240"/>
      </w:pPr>
      <w:r>
        <w:rPr>
          <w:rFonts w:ascii="Arial" w:cs="Arial" w:eastAsia="Arial" w:hAnsi="Arial"/>
          <w:b/>
          <w:bCs/>
          <w:color w:val="1E2D3D"/>
          <w:sz w:val="26"/>
          <w:szCs w:val="26"/>
        </w:rPr>
        <w:t xml:space="preserve">4.1 Card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State</w:t>
            </w:r>
          </w:p>
        </w:tc>
        <w:tc>
          <w:tcPr>
            <w:tcW w:type="dxa" w:w="2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Treatment</w:t>
            </w:r>
          </w:p>
        </w:tc>
        <w:tc>
          <w:tcPr>
            <w:tcW w:type="dxa" w:w="45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When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OPEN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Full card with impact, deadline, action steps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Default for all new opportunities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CRITICAL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Red banner and countdown timer in days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days_remaining under 30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IN_PROGRESS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Amber indicator — user acknowledged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User tapped 'Working on this'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COMPLETED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Green checkmark — collapsed</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User marked complete or engine detects completion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EXPIRED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Grey — collapsed with missed label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Deadline passed without completion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DISMISSED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Hidden from main view</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User dismissed — accessible in Dismissed tab</w:t>
            </w:r>
          </w:p>
        </w:tc>
      </w:tr>
    </w:tbl>
    <w:p>
      <w:pPr>
        <w:spacing w:after="100"/>
      </w:pPr>
      <w:r>
        <w:t xml:space="preserve"/>
      </w:r>
    </w:p>
    <w:p>
      <w:pPr>
        <w:pStyle w:val="Heading2"/>
        <w:spacing w:after="100" w:before="240"/>
      </w:pPr>
      <w:r>
        <w:rPr>
          <w:rFonts w:ascii="Arial" w:cs="Arial" w:eastAsia="Arial" w:hAnsi="Arial"/>
          <w:b/>
          <w:bCs/>
          <w:color w:val="1E2D3D"/>
          <w:sz w:val="26"/>
          <w:szCs w:val="26"/>
        </w:rPr>
        <w:t xml:space="preserve">4.2 Deadline Alert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Days before deadline</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Alert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60 days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In-app notification + card elevated to HIGH</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30 days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In-app notification + push notification + card elevated to 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14 days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Push notification daily + email alert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7 days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Push notification daily + email + WhatsApp if connected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 day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Push + email + WhatsApp — final alert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0 days (expired)</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Card moves to EXPIRED. Show missed impact amount.</w:t>
            </w:r>
          </w:p>
        </w:tc>
      </w:tr>
    </w:tbl>
    <w:p>
      <w:pPr>
        <w:spacing w:after="100"/>
      </w:pPr>
      <w:r>
        <w:t xml:space="preserve"/>
      </w:r>
    </w:p>
    <w:p>
      <w:pPr>
        <w:pStyle w:val="Heading1"/>
        <w:spacing w:after="140" w:before="360"/>
      </w:pPr>
      <w:r>
        <w:rPr>
          <w:rFonts w:ascii="Arial" w:cs="Arial" w:eastAsia="Arial" w:hAnsi="Arial"/>
          <w:b/>
          <w:bCs/>
          <w:color w:val="1E2D3D"/>
          <w:sz w:val="32"/>
          <w:szCs w:val="32"/>
        </w:rPr>
        <w:t xml:space="preserve">Section 5: MVP vs Phase 2 Card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Card</w:t>
            </w:r>
          </w:p>
        </w:tc>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MVP?</w:t>
            </w:r>
          </w:p>
        </w:tc>
        <w:tc>
          <w:tcPr>
            <w:tcW w:type="dxa" w:w="45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Reason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LTCG Harvesting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High frequency — fires every year for equity holders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Section 54 Reinvestment Window</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Most valuable NRI property planning card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Section 54EC Bond Window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6-month hard window — time critical</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Section 54F Reinvestment Window</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Companion to Section 54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Form 67 Deadline Alert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Permanent forfeiture risk — non-negotiable MVP</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TDS Over-Deduction Split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Most common NRI TDS scenario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Form 13 Lower TDS Certificate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Saves cash flow on every property sale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W-8BEN Missing / Expiring</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Direct financial loss — 30% vs 15% withholding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RNOR Window Planning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Core Wising value prop for returning NRIs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NRE Account Conversion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FEMA compliance — fires on status 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Excess TDS Refund Pending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Immediate financial recovery opportunity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FIRPTA Withholding Certificate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 awareness only</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Time critical before closing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Tax Regime Comparison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Fires at start of each FY for business income users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NRO Repatriation Limit Tracker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Phase 2</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Lower urgency — monthly monitoring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TCJA Sunset Monitoring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Phase 2 pending TCJA confirmation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Cannot build until TCJA status confirmed</w:t>
            </w:r>
          </w:p>
        </w:tc>
      </w:tr>
    </w:tbl>
    <w:p>
      <w:pPr>
        <w:spacing w:after="100"/>
      </w:pPr>
      <w:r>
        <w:t xml:space="preserve"/>
      </w:r>
    </w:p>
    <w:p>
      <w:pPr>
        <w:pStyle w:val="Heading1"/>
        <w:spacing w:after="140" w:before="360"/>
      </w:pPr>
      <w:r>
        <w:rPr>
          <w:rFonts w:ascii="Arial" w:cs="Arial" w:eastAsia="Arial" w:hAnsi="Arial"/>
          <w:b/>
          <w:bCs/>
          <w:color w:val="1E2D3D"/>
          <w:sz w:val="32"/>
          <w:szCs w:val="32"/>
        </w:rPr>
        <w:t xml:space="preserve">Section 6: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1600"/>
        <w:gridCol w:w="2560"/>
      </w:tblGrid>
      <w:tr>
        <w:trPr>
          <w:tblHeader/>
        </w:trPr>
        <w:tc>
          <w:tcPr>
            <w:tcW w:type="dxa" w:w="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4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Item</w:t>
            </w:r>
          </w:p>
        </w:tc>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Owner</w:t>
            </w:r>
          </w:p>
        </w:tc>
        <w:tc>
          <w:tcPr>
            <w:tcW w:type="dxa" w:w="25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Blocking?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 sign-off on all user-facing advisory messages — especially Section 54/54EC/54F NRI eligibility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Sarthak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before user-facing deployment</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2</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CPA sign-off on FIRPTA card action steps and Form 8288-B process description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Sarthak</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before user-facing deployment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Devanshu: Build card schema and card generation engine — reads flag outputs and produces card objects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Devanshu</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 MVP</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4</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Devanshu: Build ranking and prioritisation logic per Section 3</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Devanshu</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 MVP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Nihal: Build planning dashboard UI with card states per Section 4.1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Nihal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 MVP</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6</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Devanshu: Build deadline alert schedule per Section 4.2</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Devanshu</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 MVP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Confirm TCJA extension status — unblocks TCJA_MONITOR card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Sarthak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before TCJA card deployment</w:t>
            </w:r>
          </w:p>
        </w:tc>
      </w:tr>
    </w:tbl>
    <w:p>
      <w:pPr>
        <w:spacing w:after="100"/>
      </w:pPr>
      <w:r>
        <w:t xml:space="preserve"/>
      </w:r>
    </w:p>
    <w:p>
      <w:pPr>
        <w:spacing w:after="90"/>
      </w:pPr>
      <w:r>
        <w:rPr>
          <w:rFonts w:ascii="Arial" w:cs="Arial" w:eastAsia="Arial" w:hAnsi="Arial"/>
          <w:i/>
          <w:iCs/>
          <w:color w:val="888888"/>
          <w:sz w:val="20"/>
          <w:szCs w:val="20"/>
        </w:rPr>
        <w:t xml:space="preserve">Version 1.0 | March 2026 | WISING-PLAN-001 | Tax Planning Engine Spec</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WISING-PLAN-001  |  Tax Planning Engine  |  Page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360"/>
      <w:outlineLvl w:val="0"/>
    </w:pPr>
    <w:rPr>
      <w:rFonts w:ascii="Arial" w:cs="Arial" w:eastAsia="Arial" w:hAnsi="Arial"/>
      <w:b/>
      <w:bCs/>
      <w:sz w:val="32"/>
      <w:szCs w:val="32"/>
    </w:rPr>
  </w:style>
  <w:style w:type="paragraph" w:styleId="Heading2">
    <w:name w:val="Heading 2"/>
    <w:basedOn w:val="Normal"/>
    <w:next w:val="Normal"/>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2026-03-25T08:24:51.068Z</dcterms:created>
  <dcterms:modified xsi:type="dcterms:W3CDTF">2026-03-25T08:24:51.070Z</dcterms:modified>
</cp:coreProperties>
</file>

<file path=docProps/custom.xml><?xml version="1.0" encoding="utf-8"?>
<Properties xmlns="http://schemas.openxmlformats.org/officeDocument/2006/custom-properties" xmlns:vt="http://schemas.openxmlformats.org/officeDocument/2006/docPropsVTypes"/>
</file>