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rtl w:val="0"/>
        </w:rPr>
        <w:t xml:space="preserve"> </w:t>
      </w:r>
      <w:r w:rsidDel="00000000" w:rsidR="00000000" w:rsidRPr="00000000">
        <w:rPr>
          <w:b w:val="1"/>
          <w:sz w:val="46"/>
          <w:szCs w:val="46"/>
          <w:rtl w:val="0"/>
        </w:rPr>
        <w:t xml:space="preserve">Phase 2 Documentation: Org Setup &amp; Configuration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w:t>
      </w:r>
      <w:r w:rsidDel="00000000" w:rsidR="00000000" w:rsidRPr="00000000">
        <w:rPr>
          <w:rtl w:val="0"/>
        </w:rPr>
        <w:t xml:space="preserve"> Supply Chain Traceability &amp; Inventory Management System</w:t>
      </w:r>
    </w:p>
    <w:p w:rsidR="00000000" w:rsidDel="00000000" w:rsidP="00000000" w:rsidRDefault="00000000" w:rsidRPr="00000000" w14:paraId="00000003">
      <w:pPr>
        <w:spacing w:after="240" w:before="240" w:lineRule="auto"/>
        <w:rPr/>
      </w:pPr>
      <w:r w:rsidDel="00000000" w:rsidR="00000000" w:rsidRPr="00000000">
        <w:rPr>
          <w:b w:val="1"/>
          <w:rtl w:val="0"/>
        </w:rPr>
        <w:t xml:space="preserve">Purpose:</w:t>
      </w:r>
      <w:r w:rsidDel="00000000" w:rsidR="00000000" w:rsidRPr="00000000">
        <w:rPr>
          <w:rtl w:val="0"/>
        </w:rPr>
        <w:t xml:space="preserve"> This phase established the secure, foundational structure of the Salesforce organization. We configured the environment, created necessary user profiles, defined security boundaries, and created core custom fields required for the subsequent data modeling phase.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0utyfxv4czg" w:id="0"/>
      <w:bookmarkEnd w:id="0"/>
      <w:r w:rsidDel="00000000" w:rsidR="00000000" w:rsidRPr="00000000">
        <w:rPr>
          <w:b w:val="1"/>
          <w:sz w:val="34"/>
          <w:szCs w:val="34"/>
          <w:rtl w:val="0"/>
        </w:rPr>
        <w:t xml:space="preserve">1. Environment and Project Initialization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2150"/>
        <w:gridCol w:w="5315"/>
        <w:tblGridChange w:id="0">
          <w:tblGrid>
            <w:gridCol w:w="1895"/>
            <w:gridCol w:w="2150"/>
            <w:gridCol w:w="53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Configuration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Detail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Rationale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Org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Developer Edition (Trial)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Provides a full feature set for development, including necessary limits for Apex and Lightning Web Components.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Admin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System Administrator 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Used for initial setup, package installation, and metadata deployment.</w:t>
            </w:r>
          </w:p>
        </w:tc>
      </w:tr>
    </w:tbl>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8ubg9h1ugd8" w:id="1"/>
      <w:bookmarkEnd w:id="1"/>
      <w:r w:rsidDel="00000000" w:rsidR="00000000" w:rsidRPr="00000000">
        <w:rPr>
          <w:b w:val="1"/>
          <w:color w:val="000000"/>
          <w:sz w:val="26"/>
          <w:szCs w:val="26"/>
          <w:rtl w:val="0"/>
        </w:rPr>
        <w:t xml:space="preserve">Confirmation of Developer Environment</w:t>
      </w:r>
    </w:p>
    <w:p w:rsidR="00000000" w:rsidDel="00000000" w:rsidP="00000000" w:rsidRDefault="00000000" w:rsidRPr="00000000" w14:paraId="0000000F">
      <w:pPr>
        <w:spacing w:after="240" w:before="240" w:lineRule="auto"/>
        <w:rPr/>
      </w:pPr>
      <w:r w:rsidDel="00000000" w:rsidR="00000000" w:rsidRPr="00000000">
        <w:rPr>
          <w:rtl w:val="0"/>
        </w:rPr>
        <w:t xml:space="preserve">This project was built within a dedicated Developer Edition org to ensure the required pre-configuration was available and isolated from other projects.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o65cmbfqwnr4" w:id="2"/>
      <w:bookmarkEnd w:id="2"/>
      <w:r w:rsidDel="00000000" w:rsidR="00000000" w:rsidRPr="00000000">
        <w:rPr>
          <w:b w:val="1"/>
          <w:sz w:val="34"/>
          <w:szCs w:val="34"/>
          <w:rtl w:val="0"/>
        </w:rPr>
        <w:t xml:space="preserve">2. User Setup and Profiles</w:t>
      </w:r>
    </w:p>
    <w:p w:rsidR="00000000" w:rsidDel="00000000" w:rsidP="00000000" w:rsidRDefault="00000000" w:rsidRPr="00000000" w14:paraId="00000011">
      <w:pPr>
        <w:spacing w:after="240" w:before="240" w:lineRule="auto"/>
        <w:rPr/>
      </w:pPr>
      <w:r w:rsidDel="00000000" w:rsidR="00000000" w:rsidRPr="00000000">
        <w:rPr>
          <w:rtl w:val="0"/>
        </w:rPr>
        <w:t xml:space="preserve">We created two custom profiles to enforce the separation of duties and the </w:t>
      </w:r>
      <w:r w:rsidDel="00000000" w:rsidR="00000000" w:rsidRPr="00000000">
        <w:rPr>
          <w:b w:val="1"/>
          <w:rtl w:val="0"/>
        </w:rPr>
        <w:t xml:space="preserve">Principle of Least Privilege (PoLP)</w:t>
      </w:r>
      <w:r w:rsidDel="00000000" w:rsidR="00000000" w:rsidRPr="00000000">
        <w:rPr>
          <w:rtl w:val="0"/>
        </w:rPr>
        <w:t xml:space="preserve">. This ensures users only have the necessary access to their core objects.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2aret1wswxt" w:id="3"/>
      <w:bookmarkEnd w:id="3"/>
      <w:r w:rsidDel="00000000" w:rsidR="00000000" w:rsidRPr="00000000">
        <w:rPr>
          <w:b w:val="1"/>
          <w:color w:val="000000"/>
          <w:sz w:val="26"/>
          <w:szCs w:val="26"/>
          <w:rtl w:val="0"/>
        </w:rPr>
        <w:t xml:space="preserve">Custom Profiles Created</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1295"/>
        <w:gridCol w:w="5975"/>
        <w:tblGridChange w:id="0">
          <w:tblGrid>
            <w:gridCol w:w="2090"/>
            <w:gridCol w:w="1295"/>
            <w:gridCol w:w="5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Profile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 xml:space="preserve">Based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Primary Access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Inventory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Standard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Create/Edit/Delete access on </w:t>
            </w:r>
            <w:r w:rsidDel="00000000" w:rsidR="00000000" w:rsidRPr="00000000">
              <w:rPr>
                <w:rFonts w:ascii="Roboto Mono" w:cs="Roboto Mono" w:eastAsia="Roboto Mono" w:hAnsi="Roboto Mono"/>
                <w:color w:val="188038"/>
                <w:rtl w:val="0"/>
              </w:rPr>
              <w:t xml:space="preserve">Shipment__c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Retail_Location__c</w:t>
            </w:r>
            <w:r w:rsidDel="00000000" w:rsidR="00000000" w:rsidRPr="00000000">
              <w:rPr>
                <w:rtl w:val="0"/>
              </w:rPr>
              <w:t xml:space="preser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Quality Assurance Specialist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Standard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Read-Only access to all transaction objects (</w:t>
            </w:r>
            <w:r w:rsidDel="00000000" w:rsidR="00000000" w:rsidRPr="00000000">
              <w:rPr>
                <w:rFonts w:ascii="Roboto Mono" w:cs="Roboto Mono" w:eastAsia="Roboto Mono" w:hAnsi="Roboto Mono"/>
                <w:color w:val="188038"/>
                <w:rtl w:val="0"/>
              </w:rPr>
              <w:t xml:space="preserve">Lot__c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Shipment__c</w:t>
            </w:r>
            <w:r w:rsidDel="00000000" w:rsidR="00000000" w:rsidRPr="00000000">
              <w:rPr>
                <w:rtl w:val="0"/>
              </w:rPr>
              <w:t xml:space="preserve">). Primary focus on using the Traceability LWC.</w:t>
            </w:r>
          </w:p>
        </w:tc>
      </w:tr>
    </w:tbl>
    <w:p w:rsidR="00000000" w:rsidDel="00000000" w:rsidP="00000000" w:rsidRDefault="00000000" w:rsidRPr="00000000" w14:paraId="0000001C">
      <w:pPr>
        <w:spacing w:after="240" w:before="240" w:lineRule="auto"/>
        <w:rPr/>
      </w:pPr>
      <w:r w:rsidDel="00000000" w:rsidR="00000000" w:rsidRPr="00000000">
        <w:rPr>
          <w:b w:val="1"/>
          <w:rtl w:val="0"/>
        </w:rPr>
        <w:t xml:space="preserve">Security View:</w:t>
      </w:r>
      <w:r w:rsidDel="00000000" w:rsidR="00000000" w:rsidRPr="00000000">
        <w:rPr>
          <w:rtl w:val="0"/>
        </w:rPr>
        <w:t xml:space="preserve"> Both profiles were cloned from the </w:t>
      </w:r>
      <w:r w:rsidDel="00000000" w:rsidR="00000000" w:rsidRPr="00000000">
        <w:rPr>
          <w:b w:val="1"/>
          <w:rtl w:val="0"/>
        </w:rPr>
        <w:t xml:space="preserve">Standard User</w:t>
      </w:r>
      <w:r w:rsidDel="00000000" w:rsidR="00000000" w:rsidRPr="00000000">
        <w:rPr>
          <w:rtl w:val="0"/>
        </w:rPr>
        <w:t xml:space="preserve"> profile, and unnecessary standard object permissions were removed to maintain a lean environment.</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INVENTORY MANAGER PROFILE :-</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953125" cy="18377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53125" cy="18377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240" w:before="240" w:lineRule="auto"/>
        <w:ind w:left="720" w:hanging="360"/>
        <w:rPr>
          <w:b w:val="1"/>
          <w:u w:val="none"/>
        </w:rPr>
      </w:pPr>
      <w:r w:rsidDel="00000000" w:rsidR="00000000" w:rsidRPr="00000000">
        <w:rPr>
          <w:rFonts w:ascii="Arial Unicode MS" w:cs="Arial Unicode MS" w:eastAsia="Arial Unicode MS" w:hAnsi="Arial Unicode MS"/>
          <w:b w:val="1"/>
          <w:rtl w:val="0"/>
        </w:rPr>
        <w:t xml:space="preserve">QUALITY ASSURANCE SPECIALIST ➖</w:t>
      </w:r>
    </w:p>
    <w:p w:rsidR="00000000" w:rsidDel="00000000" w:rsidP="00000000" w:rsidRDefault="00000000" w:rsidRPr="00000000" w14:paraId="00000020">
      <w:pPr>
        <w:spacing w:after="240" w:before="240" w:lineRule="auto"/>
        <w:rPr>
          <w:b w:val="1"/>
        </w:rPr>
      </w:pPr>
      <w:r w:rsidDel="00000000" w:rsidR="00000000" w:rsidRPr="00000000">
        <w:rPr>
          <w:b w:val="1"/>
        </w:rPr>
        <w:drawing>
          <wp:inline distB="114300" distT="114300" distL="114300" distR="114300">
            <wp:extent cx="5943600" cy="270423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0423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sz w:val="34"/>
          <w:szCs w:val="34"/>
        </w:rPr>
      </w:pPr>
      <w:r w:rsidDel="00000000" w:rsidR="00000000" w:rsidRPr="00000000">
        <w:rPr>
          <w:b w:val="1"/>
          <w:sz w:val="34"/>
          <w:szCs w:val="34"/>
          <w:rtl w:val="0"/>
        </w:rPr>
        <w:t xml:space="preserve">3. Security Model (Roles and OWD)</w:t>
      </w:r>
    </w:p>
    <w:p w:rsidR="00000000" w:rsidDel="00000000" w:rsidP="00000000" w:rsidRDefault="00000000" w:rsidRPr="00000000" w14:paraId="00000023">
      <w:pPr>
        <w:spacing w:after="240" w:before="240" w:lineRule="auto"/>
        <w:rPr/>
      </w:pPr>
      <w:r w:rsidDel="00000000" w:rsidR="00000000" w:rsidRPr="00000000">
        <w:rPr>
          <w:rtl w:val="0"/>
        </w:rPr>
        <w:t xml:space="preserve">To implement the requirement for regional data separation, a Role Hierarchy was established, and the Organization-Wide Defaults (OWD) were set to restrict default visibility.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pluymhd1tm5s" w:id="4"/>
      <w:bookmarkEnd w:id="4"/>
      <w:r w:rsidDel="00000000" w:rsidR="00000000" w:rsidRPr="00000000">
        <w:rPr>
          <w:b w:val="1"/>
          <w:color w:val="000000"/>
          <w:sz w:val="26"/>
          <w:szCs w:val="26"/>
          <w:rtl w:val="0"/>
        </w:rPr>
        <w:t xml:space="preserve">Role Hierarchy Setup</w:t>
      </w:r>
    </w:p>
    <w:p w:rsidR="00000000" w:rsidDel="00000000" w:rsidP="00000000" w:rsidRDefault="00000000" w:rsidRPr="00000000" w14:paraId="00000025">
      <w:pPr>
        <w:spacing w:after="240" w:before="240" w:lineRule="auto"/>
        <w:rPr/>
      </w:pPr>
      <w:r w:rsidDel="00000000" w:rsidR="00000000" w:rsidRPr="00000000">
        <w:rPr>
          <w:rtl w:val="0"/>
        </w:rPr>
        <w:t xml:space="preserve">The hierarchy was structured to allow managers visibility over their regions while ensuring peer-to-peer data remains hidden.</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CEO (Top Level)</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Inventory Director</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Regional Manager - East</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Regional Manager - West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dcumgsqrhne" w:id="5"/>
      <w:bookmarkEnd w:id="5"/>
      <w:r w:rsidDel="00000000" w:rsidR="00000000" w:rsidRPr="00000000">
        <w:rPr>
          <w:b w:val="1"/>
          <w:color w:val="000000"/>
          <w:sz w:val="26"/>
          <w:szCs w:val="26"/>
          <w:rtl w:val="0"/>
        </w:rPr>
        <w:t xml:space="preserve">Organization-Wide Defaults (OWD)</w:t>
      </w:r>
    </w:p>
    <w:p w:rsidR="00000000" w:rsidDel="00000000" w:rsidP="00000000" w:rsidRDefault="00000000" w:rsidRPr="00000000" w14:paraId="0000002B">
      <w:pPr>
        <w:spacing w:after="240" w:before="240" w:lineRule="auto"/>
        <w:rPr/>
      </w:pPr>
      <w:r w:rsidDel="00000000" w:rsidR="00000000" w:rsidRPr="00000000">
        <w:rPr>
          <w:rtl w:val="0"/>
        </w:rPr>
        <w:t xml:space="preserve">For the most sensitive objects, the OWD was configured as follows:</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595"/>
        <w:gridCol w:w="5540"/>
        <w:tblGridChange w:id="0">
          <w:tblGrid>
            <w:gridCol w:w="2210"/>
            <w:gridCol w:w="1595"/>
            <w:gridCol w:w="554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b w:val="1"/>
              </w:rPr>
            </w:pPr>
            <w:r w:rsidDel="00000000" w:rsidR="00000000" w:rsidRPr="00000000">
              <w:rPr>
                <w:b w:val="1"/>
                <w:rtl w:val="0"/>
              </w:rPr>
              <w:t xml:space="preserve">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Default Internal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Rationale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Retail_Location__c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Private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Restricts visibility of store locations, ensuring managers can only see locations within their territory (Enforced via Sharing Rules).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Shipment__c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Public Read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Allows all managers to see that a shipment occurred, but restricts editing to the owner/manager.</w:t>
            </w:r>
          </w:p>
        </w:tc>
      </w:tr>
    </w:tbl>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fwi50qsg10yz" w:id="6"/>
      <w:bookmarkEnd w:id="6"/>
      <w:r w:rsidDel="00000000" w:rsidR="00000000" w:rsidRPr="00000000">
        <w:rPr>
          <w:b w:val="1"/>
          <w:sz w:val="34"/>
          <w:szCs w:val="34"/>
          <w:rtl w:val="0"/>
        </w:rPr>
        <w:t xml:space="preserve">4. Custom Field Preparation</w:t>
      </w:r>
    </w:p>
    <w:p w:rsidR="00000000" w:rsidDel="00000000" w:rsidP="00000000" w:rsidRDefault="00000000" w:rsidRPr="00000000" w14:paraId="00000036">
      <w:pPr>
        <w:spacing w:after="240" w:before="240" w:lineRule="auto"/>
        <w:rPr/>
      </w:pPr>
      <w:r w:rsidDel="00000000" w:rsidR="00000000" w:rsidRPr="00000000">
        <w:rPr>
          <w:rtl w:val="0"/>
        </w:rPr>
        <w:t xml:space="preserve">Prior to Phase 3 (Data Modeling), critical fields needed by later Apex logic and LWC components were defined.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w314xvooycx" w:id="7"/>
      <w:bookmarkEnd w:id="7"/>
      <w:r w:rsidDel="00000000" w:rsidR="00000000" w:rsidRPr="00000000">
        <w:rPr>
          <w:b w:val="1"/>
          <w:color w:val="000000"/>
          <w:sz w:val="26"/>
          <w:szCs w:val="26"/>
          <w:rtl w:val="0"/>
        </w:rPr>
        <w:t xml:space="preserve">Key Custom Fields Created</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7.2371134020618"/>
        <w:gridCol w:w="1394.3505154639174"/>
        <w:gridCol w:w="2291.7525773195875"/>
        <w:gridCol w:w="1220.659793814433"/>
        <w:gridCol w:w="3276"/>
        <w:tblGridChange w:id="0">
          <w:tblGrid>
            <w:gridCol w:w="1177.2371134020618"/>
            <w:gridCol w:w="1394.3505154639174"/>
            <w:gridCol w:w="2291.7525773195875"/>
            <w:gridCol w:w="1220.659793814433"/>
            <w:gridCol w:w="327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b w:val="1"/>
              </w:rPr>
            </w:pPr>
            <w:r w:rsidDel="00000000" w:rsidR="00000000" w:rsidRPr="00000000">
              <w:rPr>
                <w:b w:val="1"/>
                <w:rtl w:val="0"/>
              </w:rPr>
              <w:t xml:space="preserve">Field Label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b w:val="1"/>
              </w:rPr>
            </w:pPr>
            <w:r w:rsidDel="00000000" w:rsidR="00000000" w:rsidRPr="00000000">
              <w:rPr>
                <w:b w:val="1"/>
                <w:rtl w:val="0"/>
              </w:rPr>
              <w:t xml:space="preserve">API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b w:val="1"/>
              </w:rPr>
            </w:pPr>
            <w:r w:rsidDel="00000000" w:rsidR="00000000" w:rsidRPr="00000000">
              <w:rPr>
                <w:b w:val="1"/>
                <w:rtl w:val="0"/>
              </w:rPr>
              <w:t xml:space="preserve">Purpose in Project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Barcode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Barcode__c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Text (Unique)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Used by the Traceability LWC for quick lookup and item history.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Current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Current_Inventory__c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Stores the remaining stock per lot (Decremented by Apex Trigger).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Quantity__c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Stores the amount shipped for use in trigger calculations.</w:t>
            </w:r>
          </w:p>
        </w:tc>
      </w:tr>
    </w:tbl>
    <w:p w:rsidR="00000000" w:rsidDel="00000000" w:rsidP="00000000" w:rsidRDefault="00000000" w:rsidRPr="00000000" w14:paraId="0000004C">
      <w:pPr>
        <w:spacing w:after="240" w:before="240" w:lineRule="auto"/>
        <w:rPr/>
      </w:pPr>
      <w:r w:rsidDel="00000000" w:rsidR="00000000" w:rsidRPr="00000000">
        <w:rPr>
          <w:b w:val="1"/>
          <w:rtl w:val="0"/>
        </w:rPr>
        <w:t xml:space="preserve">Barcode Field Confirmation: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Barcode__c</w:t>
      </w:r>
      <w:r w:rsidDel="00000000" w:rsidR="00000000" w:rsidRPr="00000000">
        <w:rPr>
          <w:rtl w:val="0"/>
        </w:rPr>
        <w:t xml:space="preserve"> field on the </w:t>
      </w:r>
      <w:r w:rsidDel="00000000" w:rsidR="00000000" w:rsidRPr="00000000">
        <w:rPr>
          <w:rFonts w:ascii="Roboto Mono" w:cs="Roboto Mono" w:eastAsia="Roboto Mono" w:hAnsi="Roboto Mono"/>
          <w:color w:val="188038"/>
          <w:rtl w:val="0"/>
        </w:rPr>
        <w:t xml:space="preserve">Lot__c</w:t>
      </w:r>
      <w:r w:rsidDel="00000000" w:rsidR="00000000" w:rsidRPr="00000000">
        <w:rPr>
          <w:rtl w:val="0"/>
        </w:rPr>
        <w:t xml:space="preserve"> object was set as </w:t>
      </w:r>
      <w:r w:rsidDel="00000000" w:rsidR="00000000" w:rsidRPr="00000000">
        <w:rPr>
          <w:b w:val="1"/>
          <w:rtl w:val="0"/>
        </w:rPr>
        <w:t xml:space="preserve">Unique</w:t>
      </w:r>
      <w:r w:rsidDel="00000000" w:rsidR="00000000" w:rsidRPr="00000000">
        <w:rPr>
          <w:rtl w:val="0"/>
        </w:rPr>
        <w:t xml:space="preserve"> to prevent duplicate entries and ensure reliable search results for the traceability scanner.</w:t>
      </w:r>
    </w:p>
    <w:p w:rsidR="00000000" w:rsidDel="00000000" w:rsidP="00000000" w:rsidRDefault="00000000" w:rsidRPr="00000000" w14:paraId="0000004D">
      <w:pPr>
        <w:jc w:val="cente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