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CodeSense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Architecture Decision Records (ADR Log)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Version 1.0  |  Week 1 Planning Deliverable  |  Team: [Dev A / Dev B / Dev C]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400"/>
      </w:pPr>
      <w:r>
        <w:t xml:space="preserve">Purpose of This Document</w:t>
      </w:r>
    </w:p>
    <w:p>
      <w:pPr>
        <w:spacing w:after="150"/>
      </w:pPr>
      <w:r>
        <w:t xml:space="preserve">This log records the significant architectural decisions made during the planning phase of CodeSense, why they were made, what alternatives were rejected, and what trade-offs each decision carries. Each entry follows the standard ADR format (Context → Decision → Alternatives → Consequences) so that decisions remain traceable and reversible if new information emerges during implementation.</w:t>
      </w:r>
    </w:p>
    <w:p>
      <w:pPr>
        <w:pStyle w:val="Heading1"/>
        <w:spacing w:after="200" w:before="400"/>
      </w:pPr>
      <w:r>
        <w:t xml:space="preserve">ADR Index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ADR-1: Execution Instrumentation Strategy (JDI vs. Java Agent/Instrumentation API vs. Bytecode Rewriting)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ADR-2: Deterministic Tone Generation via Hash Function (no stored sound-mapping table)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ADR-3: Step-Backward Playback via Recorded State Snapshots (not re-execution)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ADR-4: In-Memory Trace Event Store (no database persistence in v1)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ADR-5: Decoupling Visualization and Audio as Independent Consumers of the Trace Stream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ADR-6: JavaFX as the UI Framework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ADR-1: Execution Instrumentation Strategy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Accepted</w:t>
      </w:r>
      <w:r>
        <w:t xml:space="preserve">      Owner: Dev A</w:t>
      </w:r>
    </w:p>
    <w:p>
      <w:pPr>
        <w:spacing w:after="150"/>
      </w:pPr>
      <w:r>
        <w:rPr>
          <w:b/>
          <w:bCs/>
          <w:u w:val="single"/>
        </w:rPr>
        <w:t xml:space="preserve">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CodeSense must capture a complete, ordered trace of runtime events (assignments, comparisons, branches, loop iterations, calls/returns, cross-file access) from arbitrary but working student-supplied Java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chosen mechanism directly determines what level of detail (FR6) is even obtainable, and is the single highest-risk technical decision in the project.</w:t>
      </w:r>
    </w:p>
    <w:p>
      <w:pPr>
        <w:spacing w:after="150"/>
      </w:pPr>
      <w:r>
        <w:rPr>
          <w:b/>
          <w:bCs/>
          <w:u w:val="single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Java Debug Interface (JDI) to run the student's code under a debug-mode JVM, set step/line/method-entry breakpoints programmatically, and read local variable and field state at each pause.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JDI is chosen over lower-level bytecode rewriting because it requires no modification of the student's .class files and works with standard javac output, which keeps FR4 (accept any code that compiles) simple to satisfy.</w:t>
      </w:r>
    </w:p>
    <w:p>
      <w:pPr>
        <w:spacing w:after="150"/>
      </w:pPr>
      <w:r>
        <w:rPr>
          <w:b/>
          <w:bCs/>
          <w:u w:val="single"/>
        </w:rPr>
        <w:t xml:space="preserve">Alternatives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 Instrumentation API (javaagent + ASM bytecode weaving): rejected for v1 — gives finer control and better performance, but requires rewriting bytecode to inject probes, which is significantly more complex to get correct for arbitrary/unseen student code within our timeline.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AST-level source instrumentation (inject logging statements into a copy of the source before compiling): rejected — fragile against complex expressions, harder to guarantee it doesn't change program semantics or introduce compile errors of our own making.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custom Java interpreter: rejected — effectively reimplementing the JVM; far outside v1 scope and risk budget.</w:t>
      </w:r>
    </w:p>
    <w:p>
      <w:pPr>
        <w:spacing w:after="150"/>
      </w:pPr>
      <w:r>
        <w:rPr>
          <w:b/>
          <w:bCs/>
          <w:u w:val="single"/>
        </w:rPr>
        <w:t xml:space="preserve">Consequences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JDI trace capture is slower than an instrumented agent, which may limit responsiveness on very long traces (flagged as a performance risk, see NFR: Performance).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JDI requires running the target code as a separate debuggee process, which adds process-management complexity but isolates a potential runtime crash from crashing the main JavaFX application — a net safety benefit.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decision is the direct input to TraceRecorder's design and should be validated with a small proof-of-concept before Dev A commits further implementation time.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  <w:spacing w:after="150" w:before="300"/>
      </w:pPr>
      <w:r>
        <w:t xml:space="preserve">ADR-2: Deterministic Tone Generation via Hash Function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Accepted</w:t>
      </w:r>
      <w:r>
        <w:t xml:space="preserve">      Owner: Dev C</w:t>
      </w:r>
    </w:p>
    <w:p>
      <w:pPr>
        <w:spacing w:after="150"/>
      </w:pPr>
      <w:r>
        <w:rPr>
          <w:b/>
          <w:bCs/>
          <w:u w:val="single"/>
        </w:rPr>
        <w:t xml:space="preserve">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FR12–FR14 require that every event type produces a tone, that the same event type always produces the same tone, and that this holds even for event types never seen before in the session — with no persisted lookup table (Section 8 of the PRD).</w:t>
      </w:r>
    </w:p>
    <w:p>
      <w:pPr>
        <w:spacing w:after="150"/>
      </w:pPr>
      <w:r>
        <w:rPr>
          <w:b/>
          <w:bCs/>
          <w:u w:val="single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a canonical 'event signature' string per event (e.g., event type + normalized key attributes such as loop-type or comparison-operator, deliberately excluding volatile values like specific variable contents so the same *kind* of event always maps identically).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 the signature through a stable hash function (e.g., Java's own consistent string hashing or a small custom hash), then map hash output ranges deterministically to frequency, timbre, and duration parameters in ToneGenerator.</w:t>
      </w:r>
    </w:p>
    <w:p>
      <w:pPr>
        <w:spacing w:after="150"/>
      </w:pPr>
      <w:r>
        <w:rPr>
          <w:b/>
          <w:bCs/>
          <w:u w:val="single"/>
        </w:rPr>
        <w:t xml:space="preserve">Alternatives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Pre-authored sound library with manual event-to-sound mapping: rejected — explicitly disallowed by FR13, and does not generalize to unseen event types.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Persisted mapping table generated on first encounter and looked up thereafter: rejected — satisfies 'same sound every time' but violates the 'no persistent sound-mapping storage' constraint and adds unnecessary state to manage.</w:t>
      </w:r>
    </w:p>
    <w:p>
      <w:pPr>
        <w:spacing w:after="150"/>
      </w:pPr>
      <w:r>
        <w:rPr>
          <w:b/>
          <w:bCs/>
          <w:u w:val="single"/>
        </w:rPr>
        <w:t xml:space="preserve">Consequences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Sound quality is a function of the hash-to-parameter mapping design; this needs its own small design pass (frequency range, avoiding harsh/ugly hashed tones) but is decoupled from correctness.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Because the tone is purely computed, ToneGenerator can be unit-tested by asserting the same signature always returns identical output — an easy, high-confidence test for Dev C to write early.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  <w:spacing w:after="150" w:before="300"/>
      </w:pPr>
      <w:r>
        <w:t xml:space="preserve">ADR-3: Step-Backward Playback via Recorded State Snapshots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Accepted</w:t>
      </w:r>
      <w:r>
        <w:t xml:space="preserve">      Owner: Dev A / Dev B (shared)</w:t>
      </w:r>
    </w:p>
    <w:p>
      <w:pPr>
        <w:spacing w:after="150"/>
      </w:pPr>
      <w:r>
        <w:rPr>
          <w:b/>
          <w:bCs/>
          <w:u w:val="single"/>
        </w:rPr>
        <w:t xml:space="preserve">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FR17 requires exact single-event step-backward. Java program execution is not natively reversible, so 'going back' must be simulated.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decision was flagged as an explicit open item in the PRD (Section 14) and needed to be resolved before Dev B could design VisualizationController and Dev A could finalize TraceEvent's shape.</w:t>
      </w:r>
    </w:p>
    <w:p>
      <w:pPr>
        <w:spacing w:after="150"/>
      </w:pPr>
      <w:r>
        <w:rPr>
          <w:b/>
          <w:bCs/>
          <w:u w:val="single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TraceEvent carries enough state (old_value/new_value, and an associated DataStructureState snapshot where relevant) that stepping backward means re-rendering the previously recorded state at index N-1, rather than re-running the program.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full trace is generated once, up front, during Generate Execution Trace (Use Case 4) — execution happens exactly once per submission, and all playback (forward, backward, jump-to) is done by replaying stored events, not by re-invoking the JVM.</w:t>
      </w:r>
    </w:p>
    <w:p>
      <w:pPr>
        <w:spacing w:after="150"/>
      </w:pPr>
      <w:r>
        <w:rPr>
          <w:b/>
          <w:bCs/>
          <w:u w:val="single"/>
        </w:rPr>
        <w:t xml:space="preserve">Alternatives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True reverse execution of the JVM: rejected — not practically achievable within scope.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Re-running the program from the start up to event N-1 on every step-backward: rejected — correct but potentially slow on long traces and wasteful; also complicates determinism guarantees if the program has any timing sensitivity.</w:t>
      </w:r>
    </w:p>
    <w:p>
      <w:pPr>
        <w:spacing w:after="150"/>
      </w:pPr>
      <w:r>
        <w:rPr>
          <w:b/>
          <w:bCs/>
          <w:u w:val="single"/>
        </w:rPr>
        <w:t xml:space="preserve">Consequences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trace must be captured and buffered in memory before playback begins, which caps practical program complexity/length for v1 (acceptable given v1 targets student-scale solutions, not large systems).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Confirms DataStructureState should store full snapshots per relevant event rather than diffs, trading memory for implementation simplicity — resolves the open item in PRD Section 14.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  <w:spacing w:after="150" w:before="300"/>
      </w:pPr>
      <w:r>
        <w:t xml:space="preserve">ADR-4: In-Memory Trace Event Store (No Database in v1)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Accepted</w:t>
      </w:r>
      <w:r>
        <w:t xml:space="preserve">      Owner: Dev C</w:t>
      </w:r>
    </w:p>
    <w:p>
      <w:pPr>
        <w:spacing w:after="150"/>
      </w:pPr>
      <w:r>
        <w:rPr>
          <w:b/>
          <w:bCs/>
          <w:u w:val="single"/>
        </w:rPr>
        <w:t xml:space="preserve">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PRD Section 13 states no cross-session history or persistence is required for v1; each run is a single local session.</w:t>
      </w:r>
    </w:p>
    <w:p>
      <w:pPr>
        <w:spacing w:after="150"/>
      </w:pPr>
      <w:r>
        <w:rPr>
          <w:b/>
          <w:bCs/>
          <w:u w:val="single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TraceEvent, DataStructureState, and PlaybackSession are held as in-memory Java collections/objects for the duration of one CodeSense session and discarded on exit or new submission.</w:t>
      </w:r>
    </w:p>
    <w:p>
      <w:pPr>
        <w:spacing w:after="150"/>
      </w:pPr>
      <w:r>
        <w:rPr>
          <w:b/>
          <w:bCs/>
          <w:u w:val="single"/>
        </w:rPr>
        <w:t xml:space="preserve">Alternatives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Embedded database (SQLite/H2): rejected for v1 — adds setup and schema-migration overhead with no corresponding requirement; reconsider only if v2 adds session history.</w:t>
      </w:r>
    </w:p>
    <w:p>
      <w:pPr>
        <w:spacing w:after="150"/>
      </w:pPr>
      <w:r>
        <w:rPr>
          <w:b/>
          <w:bCs/>
          <w:u w:val="single"/>
        </w:rPr>
        <w:t xml:space="preserve">Consequences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Simplifies the v1 data layer to plain Java model classes with no ORM/DB dependency.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PlaybackSession is confirmed as transient UI state only, resolving another PRD Section 14 open item — it will appear in the UML class diagram but not the ERD as a persisted entity.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  <w:spacing w:after="150" w:before="300"/>
      </w:pPr>
      <w:r>
        <w:t xml:space="preserve">ADR-5: Decoupling Visualization and Audio as Independent Trace Consumers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Accepted</w:t>
      </w:r>
      <w:r>
        <w:t xml:space="preserve">      Owner: Dev A (interface owner), Dev B, Dev C (consumers)</w:t>
      </w:r>
    </w:p>
    <w:p>
      <w:pPr>
        <w:spacing w:after="150"/>
      </w:pPr>
      <w:r>
        <w:rPr>
          <w:b/>
          <w:bCs/>
          <w:u w:val="single"/>
        </w:rPr>
        <w:t xml:space="preserve">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Section 11 of the PRD specifies VisualizationController and AudioPlayer should both consume the same TraceEvent stream without depending on each other.</w:t>
      </w:r>
    </w:p>
    <w:p>
      <w:pPr>
        <w:spacing w:after="150"/>
      </w:pPr>
      <w:r>
        <w:rPr>
          <w:b/>
          <w:bCs/>
          <w:u w:val="single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components subscribe to the same ordered TraceEvent sequence exposed by the Trace Event Store, driven by a single shared PlaybackState (current index, speed, playing flag) owned by PlaybackController.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Neither component calls into the other directly; synchronization happens only through the shared playback position, following an observer-style pattern.</w:t>
      </w:r>
    </w:p>
    <w:p>
      <w:pPr>
        <w:spacing w:after="150"/>
      </w:pPr>
      <w:r>
        <w:rPr>
          <w:b/>
          <w:bCs/>
          <w:u w:val="single"/>
        </w:rPr>
        <w:t xml:space="preserve">Alternatives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coupling (VisualizationController invokes AudioPlayer per event): rejected — would force Dev B and Dev C's modules to share an interface contract beyond just the trace format, increasing integration risk given they're built by different developers in parallel.</w:t>
      </w:r>
    </w:p>
    <w:p>
      <w:pPr>
        <w:spacing w:after="150"/>
      </w:pPr>
      <w:r>
        <w:rPr>
          <w:b/>
          <w:bCs/>
          <w:u w:val="single"/>
        </w:rPr>
        <w:t xml:space="preserve">Consequences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Lets Dev B and Dev C build and test their modules independently against a shared TraceEvent/PlaybackState contract, which is the main integration point Dev A must finalize and freeze early.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  <w:spacing w:after="150" w:before="300"/>
      </w:pPr>
      <w:r>
        <w:t xml:space="preserve">ADR-6: JavaFX as the UI Framework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Accepted</w:t>
      </w:r>
      <w:r>
        <w:t xml:space="preserve">      Owner: Dev B / Dev C</w:t>
      </w:r>
    </w:p>
    <w:p>
      <w:pPr>
        <w:spacing w:after="150"/>
      </w:pPr>
      <w:r>
        <w:rPr>
          <w:b/>
          <w:bCs/>
          <w:u w:val="single"/>
        </w:rPr>
        <w:t xml:space="preserve">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PRD explicitly scopes CodeSense as a JavaFX desktop application (Section 1, Non-Goals Section 2.2 excludes web delivery).</w:t>
      </w:r>
    </w:p>
    <w:p>
      <w:pPr>
        <w:spacing w:after="150"/>
      </w:pPr>
      <w:r>
        <w:rPr>
          <w:b/>
          <w:bCs/>
          <w:u w:val="single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editor, multi-file view panels, playback control bar, and animation canvas entirely in JavaFX.</w:t>
      </w:r>
    </w:p>
    <w:p>
      <w:pPr>
        <w:spacing w:after="150"/>
      </w:pPr>
      <w:r>
        <w:rPr>
          <w:b/>
          <w:bCs/>
          <w:u w:val="single"/>
        </w:rPr>
        <w:t xml:space="preserve">Alternatives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Swing: rejected — older toolkit, weaker built-in animation/property-binding support which VisualizationController benefits from.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Web-based (Electron/browser): rejected — explicitly out of scope per PRD Non-Goals.</w:t>
      </w:r>
    </w:p>
    <w:p>
      <w:pPr>
        <w:spacing w:after="150"/>
      </w:pPr>
      <w:r>
        <w:rPr>
          <w:b/>
          <w:bCs/>
          <w:u w:val="single"/>
        </w:rPr>
        <w:t xml:space="preserve">Consequences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JavaFX's Timeline/KeyFrame and property-binding APIs are a natural fit for animating DataStructureState changes driven by PlaybackState — reduces custom animation-loop code Dev B would otherwise need to write.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400"/>
      </w:pPr>
      <w: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ADR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4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Primary Owner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Execution instrumentation via JDI</w:t>
            </w:r>
          </w:p>
        </w:tc>
        <w:tc>
          <w:tcPr>
            <w:tcW w:type="dxa" w:w="1800"/>
          </w:tcPr>
          <w:p>
            <w:r>
              <w:t xml:space="preserve">Accepted</w:t>
            </w:r>
          </w:p>
        </w:tc>
        <w:tc>
          <w:tcPr>
            <w:tcW w:type="dxa" w:w="3460"/>
          </w:tcPr>
          <w:p>
            <w:r>
              <w:t xml:space="preserve">Dev A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Hash-based deterministic tone generation</w:t>
            </w:r>
          </w:p>
        </w:tc>
        <w:tc>
          <w:tcPr>
            <w:tcW w:type="dxa" w:w="1800"/>
          </w:tcPr>
          <w:p>
            <w:r>
              <w:t xml:space="preserve">Accepted</w:t>
            </w:r>
          </w:p>
        </w:tc>
        <w:tc>
          <w:tcPr>
            <w:tcW w:type="dxa" w:w="3460"/>
          </w:tcPr>
          <w:p>
            <w:r>
              <w:t xml:space="preserve">Dev C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Step-backward via stored state snapshots</w:t>
            </w:r>
          </w:p>
        </w:tc>
        <w:tc>
          <w:tcPr>
            <w:tcW w:type="dxa" w:w="1800"/>
          </w:tcPr>
          <w:p>
            <w:r>
              <w:t xml:space="preserve">Accepted</w:t>
            </w:r>
          </w:p>
        </w:tc>
        <w:tc>
          <w:tcPr>
            <w:tcW w:type="dxa" w:w="3460"/>
          </w:tcPr>
          <w:p>
            <w:r>
              <w:t xml:space="preserve">Dev A / Dev B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3200"/>
          </w:tcPr>
          <w:p>
            <w:r>
              <w:t xml:space="preserve">In-memory trace store, no DB in v1</w:t>
            </w:r>
          </w:p>
        </w:tc>
        <w:tc>
          <w:tcPr>
            <w:tcW w:type="dxa" w:w="1800"/>
          </w:tcPr>
          <w:p>
            <w:r>
              <w:t xml:space="preserve">Accepted</w:t>
            </w:r>
          </w:p>
        </w:tc>
        <w:tc>
          <w:tcPr>
            <w:tcW w:type="dxa" w:w="3460"/>
          </w:tcPr>
          <w:p>
            <w:r>
              <w:t xml:space="preserve">Dev C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Decoupled visualization/audio via shared trace stream</w:t>
            </w:r>
          </w:p>
        </w:tc>
        <w:tc>
          <w:tcPr>
            <w:tcW w:type="dxa" w:w="1800"/>
          </w:tcPr>
          <w:p>
            <w:r>
              <w:t xml:space="preserve">Accepted</w:t>
            </w:r>
          </w:p>
        </w:tc>
        <w:tc>
          <w:tcPr>
            <w:tcW w:type="dxa" w:w="3460"/>
          </w:tcPr>
          <w:p>
            <w:r>
              <w:t xml:space="preserve">Dev A / All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3200"/>
          </w:tcPr>
          <w:p>
            <w:r>
              <w:t xml:space="preserve">JavaFX as UI framework</w:t>
            </w:r>
          </w:p>
        </w:tc>
        <w:tc>
          <w:tcPr>
            <w:tcW w:type="dxa" w:w="1800"/>
          </w:tcPr>
          <w:p>
            <w:r>
              <w:t xml:space="preserve">Accepted</w:t>
            </w:r>
          </w:p>
        </w:tc>
        <w:tc>
          <w:tcPr>
            <w:tcW w:type="dxa" w:w="3460"/>
          </w:tcPr>
          <w:p>
            <w:r>
              <w:t xml:space="preserve">Dev B / Dev C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2026-09-10T08:21:19.923Z</dcterms:created>
  <dcterms:modified xsi:type="dcterms:W3CDTF">2026-09-10T08:21:19.933Z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