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CodeSense</w:t>
      </w:r>
    </w:p>
    <w:p>
      <w:pPr>
        <w:spacing w:after="100"/>
        <w:jc w:val="center"/>
      </w:pPr>
      <w:r>
        <w:rPr>
          <w:b/>
          <w:bCs/>
          <w:sz w:val="28"/>
          <w:szCs w:val="28"/>
        </w:rPr>
        <w:t xml:space="preserve">Software Requirements Specification (SRS)</w:t>
      </w:r>
    </w:p>
    <w:p>
      <w:pPr>
        <w:spacing w:after="60"/>
        <w:jc w:val="center"/>
      </w:pPr>
      <w:r>
        <w:rPr>
          <w:i/>
          <w:iCs/>
          <w:color w:val="555555"/>
          <w:sz w:val="20"/>
          <w:szCs w:val="20"/>
        </w:rPr>
        <w:t xml:space="preserve">Version 1.0  |  Prepared for Weekly Project Review</w:t>
      </w:r>
    </w:p>
    <w:p>
      <w:pPr>
        <w:spacing w:after="400"/>
        <w:jc w:val="center"/>
      </w:pPr>
      <w:r>
        <w:rPr>
          <w:i/>
          <w:iCs/>
          <w:color w:val="555555"/>
          <w:sz w:val="20"/>
          <w:szCs w:val="20"/>
        </w:rPr>
        <w:t xml:space="preserve">Team: Dev A, Dev B, Dev C</w:t>
      </w:r>
    </w:p>
    <w:p>
      <w:pPr>
        <w:pBdr>
          <w:bottom w:val="single" w:color="999999" w:sz="6" w:space="4"/>
        </w:pBdr>
        <w:spacing w:after="200"/>
      </w:pPr>
    </w:p>
    <w:p>
      <w:pPr>
        <w:pStyle w:val="Heading1"/>
        <w:spacing w:after="200" w:before="400"/>
      </w:pPr>
      <w:r>
        <w:t xml:space="preserve">1. Introduction</w:t>
      </w:r>
    </w:p>
    <w:p>
      <w:pPr>
        <w:pStyle w:val="Heading2"/>
        <w:spacing w:after="150" w:before="300"/>
      </w:pPr>
      <w:r>
        <w:t xml:space="preserve">1.1 Purpose</w:t>
      </w:r>
    </w:p>
    <w:p>
      <w:pPr>
        <w:spacing w:after="150"/>
      </w:pPr>
      <w:r>
        <w:t xml:space="preserve">This document specifies the functional and non-functional requirements for CodeSense v1.0, a JavaFX desktop application that helps Computer Science students understand working, error-free Java code by generating a synchronized visual animation of the code's data structures, paired with deterministic audio cues, tied to the code's actual execution trace. It is intended for the development team, the course instructor, and any reviewer assessing project scope and progress.</w:t>
      </w:r>
    </w:p>
    <w:p>
      <w:pPr>
        <w:pStyle w:val="Heading2"/>
        <w:spacing w:after="150" w:before="300"/>
      </w:pPr>
      <w:r>
        <w:t xml:space="preserve">1.2 Scope</w:t>
      </w:r>
    </w:p>
    <w:p>
      <w:pPr>
        <w:spacing w:after="150"/>
      </w:pPr>
      <w:r>
        <w:t xml:space="preserve">CodeSense accepts multi-file Java source code, validates that it compiles and runs without error, executes it under instrumentation to capture a structured trace of runtime events, and plays back that trace as a mechanically labeled visual animation with synchronized, algorithmically generated audio. It provides video-player-style playback controls including single-step forward and backward execution. It does not attempt to fix broken code, does not provide semantic/conceptual explanations of algorithms, and does not support languages other than Java. It is a single-user, single-session desktop tool with no persistence across sessions in v1.</w:t>
      </w:r>
    </w:p>
    <w:p>
      <w:pPr>
        <w:pStyle w:val="Heading2"/>
        <w:spacing w:after="150" w:before="300"/>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2F5496" w:val="clear"/>
          </w:tcPr>
          <w:p>
            <w:r>
              <w:rPr>
                <w:b/>
                <w:bCs/>
                <w:color w:val="FFFFFF"/>
              </w:rPr>
              <w:t xml:space="preserve">Term</w:t>
            </w:r>
          </w:p>
        </w:tc>
        <w:tc>
          <w:tcPr>
            <w:tcW w:type="dxa" w:w="6860"/>
            <w:shd w:fill="2F5496" w:val="clear"/>
          </w:tcPr>
          <w:p>
            <w:r>
              <w:rPr>
                <w:b/>
                <w:bCs/>
                <w:color w:val="FFFFFF"/>
              </w:rPr>
              <w:t xml:space="preserve">Definition</w:t>
            </w:r>
          </w:p>
        </w:tc>
      </w:tr>
      <w:tr>
        <w:tc>
          <w:tcPr>
            <w:tcW w:type="dxa" w:w="2500"/>
          </w:tcPr>
          <w:p>
            <w:r>
              <w:t xml:space="preserve">Trace Event</w:t>
            </w:r>
          </w:p>
        </w:tc>
        <w:tc>
          <w:tcPr>
            <w:tcW w:type="dxa" w:w="6860"/>
          </w:tcPr>
          <w:p>
            <w:r>
              <w:t xml:space="preserve">A single recorded occurrence during execution (assignment, comparison, branch, loop iteration, call, return, or cross-file access).</w:t>
            </w:r>
          </w:p>
        </w:tc>
      </w:tr>
      <w:tr>
        <w:tc>
          <w:tcPr>
            <w:tcW w:type="dxa" w:w="2500"/>
          </w:tcPr>
          <w:p>
            <w:r>
              <w:t xml:space="preserve">Mechanical Labeling</w:t>
            </w:r>
          </w:p>
        </w:tc>
        <w:tc>
          <w:tcPr>
            <w:tcW w:type="dxa" w:w="6860"/>
          </w:tcPr>
          <w:p>
            <w:r>
              <w:t xml:space="preserve">Labeling drawn literally from code content (variable names, line numbers, condition text) with no interpretive/conceptual meaning added.</w:t>
            </w:r>
          </w:p>
        </w:tc>
      </w:tr>
      <w:tr>
        <w:tc>
          <w:tcPr>
            <w:tcW w:type="dxa" w:w="2500"/>
          </w:tcPr>
          <w:p>
            <w:r>
              <w:t xml:space="preserve">JDI</w:t>
            </w:r>
          </w:p>
        </w:tc>
        <w:tc>
          <w:tcPr>
            <w:tcW w:type="dxa" w:w="6860"/>
          </w:tcPr>
          <w:p>
            <w:r>
              <w:t xml:space="preserve">Java Debug Interface — the mechanism used to instrument and step through target program execution.</w:t>
            </w:r>
          </w:p>
        </w:tc>
      </w:tr>
      <w:tr>
        <w:tc>
          <w:tcPr>
            <w:tcW w:type="dxa" w:w="2500"/>
          </w:tcPr>
          <w:p>
            <w:r>
              <w:t xml:space="preserve">Event Signature</w:t>
            </w:r>
          </w:p>
        </w:tc>
        <w:tc>
          <w:tcPr>
            <w:tcW w:type="dxa" w:w="6860"/>
          </w:tcPr>
          <w:p>
            <w:r>
              <w:t xml:space="preserve">A normalized identifying key for an event type/category, used as input to the deterministic tone function.</w:t>
            </w:r>
          </w:p>
        </w:tc>
      </w:tr>
      <w:tr>
        <w:tc>
          <w:tcPr>
            <w:tcW w:type="dxa" w:w="2500"/>
          </w:tcPr>
          <w:p>
            <w:r>
              <w:t xml:space="preserve">FR / NFR</w:t>
            </w:r>
          </w:p>
        </w:tc>
        <w:tc>
          <w:tcPr>
            <w:tcW w:type="dxa" w:w="6860"/>
          </w:tcPr>
          <w:p>
            <w:r>
              <w:t xml:space="preserve">Functional Requirement / Non-Functional Requirement.</w:t>
            </w:r>
          </w:p>
        </w:tc>
      </w:tr>
    </w:tbl>
    <w:p>
      <w:pPr>
        <w:pStyle w:val="Heading2"/>
        <w:spacing w:after="150" w:before="300"/>
      </w:pPr>
      <w:r>
        <w:t xml:space="preserve">1.4 References</w:t>
      </w:r>
    </w:p>
    <w:p>
      <w:pPr>
        <w:pStyle w:val="ListParagraph"/>
        <w:numPr>
          <w:ilvl w:val="0"/>
          <w:numId w:val="1"/>
        </w:numPr>
        <w:spacing w:after="80"/>
      </w:pPr>
      <w:r>
        <w:t xml:space="preserve">CodeSense Product Requirements Document (PRD), v1.0</w:t>
      </w:r>
    </w:p>
    <w:p>
      <w:pPr>
        <w:pStyle w:val="ListParagraph"/>
        <w:numPr>
          <w:ilvl w:val="0"/>
          <w:numId w:val="1"/>
        </w:numPr>
        <w:spacing w:after="80"/>
      </w:pPr>
      <w:r>
        <w:t xml:space="preserve">CodeSense Architecture Decision Records (ADR Log), v1.0</w:t>
      </w:r>
    </w:p>
    <w:p>
      <w:r>
        <w:br w:type="page"/>
      </w:r>
    </w:p>
    <w:p>
      <w:pPr>
        <w:pStyle w:val="Heading1"/>
        <w:spacing w:after="200" w:before="400"/>
      </w:pPr>
      <w:r>
        <w:t xml:space="preserve">2. Overall Description</w:t>
      </w:r>
    </w:p>
    <w:p>
      <w:pPr>
        <w:pStyle w:val="Heading2"/>
        <w:spacing w:after="150" w:before="300"/>
      </w:pPr>
      <w:r>
        <w:t xml:space="preserve">2.1 Product Perspective</w:t>
      </w:r>
    </w:p>
    <w:p>
      <w:pPr>
        <w:spacing w:after="150"/>
      </w:pPr>
      <w:r>
        <w:t xml:space="preserve">CodeSense is a standalone JavaFX desktop application. It is not a plug-in to an existing IDE and does not require network connectivity. It relies on a local Java compiler/runtime as a supporting external system to compile and execute submitted code under instrumentation.</w:t>
      </w:r>
    </w:p>
    <w:p>
      <w:pPr>
        <w:pStyle w:val="Heading2"/>
        <w:spacing w:after="150" w:before="300"/>
      </w:pPr>
      <w:r>
        <w:t xml:space="preserve">2.2 Product Functions (Summary)</w:t>
      </w:r>
    </w:p>
    <w:p>
      <w:pPr>
        <w:pStyle w:val="ListParagraph"/>
        <w:numPr>
          <w:ilvl w:val="0"/>
          <w:numId w:val="1"/>
        </w:numPr>
        <w:spacing w:after="80"/>
      </w:pPr>
      <w:r>
        <w:t xml:space="preserve">Accept Java source via an in-app editor or file upload (single or multi-file).</w:t>
      </w:r>
    </w:p>
    <w:p>
      <w:pPr>
        <w:pStyle w:val="ListParagraph"/>
        <w:numPr>
          <w:ilvl w:val="0"/>
          <w:numId w:val="1"/>
        </w:numPr>
        <w:spacing w:after="80"/>
      </w:pPr>
      <w:r>
        <w:t xml:space="preserve">Validate that submitted code compiles and runs with zero errors; report errors without attempting fixes.</w:t>
      </w:r>
    </w:p>
    <w:p>
      <w:pPr>
        <w:pStyle w:val="ListParagraph"/>
        <w:numPr>
          <w:ilvl w:val="0"/>
          <w:numId w:val="1"/>
        </w:numPr>
        <w:spacing w:after="80"/>
      </w:pPr>
      <w:r>
        <w:t xml:space="preserve">Execute the code under instrumentation and capture an ordered, structured trace of runtime events.</w:t>
      </w:r>
    </w:p>
    <w:p>
      <w:pPr>
        <w:pStyle w:val="ListParagraph"/>
        <w:numPr>
          <w:ilvl w:val="0"/>
          <w:numId w:val="1"/>
        </w:numPr>
        <w:spacing w:after="80"/>
      </w:pPr>
      <w:r>
        <w:t xml:space="preserve">Render an animated, mechanically labeled visualization of data structures synchronized to the trace.</w:t>
      </w:r>
    </w:p>
    <w:p>
      <w:pPr>
        <w:pStyle w:val="ListParagraph"/>
        <w:numPr>
          <w:ilvl w:val="0"/>
          <w:numId w:val="1"/>
        </w:numPr>
        <w:spacing w:after="80"/>
      </w:pPr>
      <w:r>
        <w:t xml:space="preserve">Generate a deterministic audio tone for every event type via an algorithmic function (no stored sound library).</w:t>
      </w:r>
    </w:p>
    <w:p>
      <w:pPr>
        <w:pStyle w:val="ListParagraph"/>
        <w:numPr>
          <w:ilvl w:val="0"/>
          <w:numId w:val="1"/>
        </w:numPr>
        <w:spacing w:after="80"/>
      </w:pPr>
      <w:r>
        <w:t xml:space="preserve">Display multiple files simultaneously with visible connector lines when execution or data access crosses file boundaries.</w:t>
      </w:r>
    </w:p>
    <w:p>
      <w:pPr>
        <w:pStyle w:val="ListParagraph"/>
        <w:numPr>
          <w:ilvl w:val="0"/>
          <w:numId w:val="1"/>
        </w:numPr>
        <w:spacing w:after="80"/>
      </w:pPr>
      <w:r>
        <w:t xml:space="preserve">Provide play, pause, speed control, fast-forward, rewind, step-forward, and step-backward playback controls.</w:t>
      </w:r>
    </w:p>
    <w:p>
      <w:pPr>
        <w:pStyle w:val="Heading2"/>
        <w:spacing w:after="150" w:before="300"/>
      </w:pPr>
      <w:r>
        <w:t xml:space="preserve">2.3 User Characteristics</w:t>
      </w:r>
    </w:p>
    <w:p>
      <w:pPr>
        <w:spacing w:after="150"/>
      </w:pPr>
      <w:r>
        <w:t xml:space="preserve">The primary user is a Computer Science student who understands basic programming concepts and can read working Java code, but cannot easily mentally simulate its execution. No special technical training beyond general Java familiarity is assumed.</w:t>
      </w:r>
    </w:p>
    <w:p>
      <w:pPr>
        <w:pStyle w:val="Heading2"/>
        <w:spacing w:after="150" w:before="300"/>
      </w:pPr>
      <w:r>
        <w:t xml:space="preserve">2.4 Constraints</w:t>
      </w:r>
    </w:p>
    <w:p>
      <w:pPr>
        <w:pStyle w:val="ListParagraph"/>
        <w:numPr>
          <w:ilvl w:val="0"/>
          <w:numId w:val="1"/>
        </w:numPr>
        <w:spacing w:after="80"/>
      </w:pPr>
      <w:r>
        <w:t xml:space="preserve">v1 supports Java only, including multi-file/multi-class projects.</w:t>
      </w:r>
    </w:p>
    <w:p>
      <w:pPr>
        <w:pStyle w:val="ListParagraph"/>
        <w:numPr>
          <w:ilvl w:val="0"/>
          <w:numId w:val="1"/>
        </w:numPr>
        <w:spacing w:after="80"/>
      </w:pPr>
      <w:r>
        <w:t xml:space="preserve">Input code is assumed to already compile and run correctly; auto-fix is out of scope for v1.</w:t>
      </w:r>
    </w:p>
    <w:p>
      <w:pPr>
        <w:pStyle w:val="ListParagraph"/>
        <w:numPr>
          <w:ilvl w:val="0"/>
          <w:numId w:val="1"/>
        </w:numPr>
        <w:spacing w:after="80"/>
      </w:pPr>
      <w:r>
        <w:t xml:space="preserve">No user accounts, cross-session history, or multi-user features in v1.</w:t>
      </w:r>
    </w:p>
    <w:p>
      <w:pPr>
        <w:pStyle w:val="ListParagraph"/>
        <w:numPr>
          <w:ilvl w:val="0"/>
          <w:numId w:val="1"/>
        </w:numPr>
        <w:spacing w:after="80"/>
      </w:pPr>
      <w:r>
        <w:t xml:space="preserve">No external sound-asset library or persistent sound-mapping storage; tone generation must be computed on demand.</w:t>
      </w:r>
    </w:p>
    <w:p>
      <w:pPr>
        <w:pStyle w:val="ListParagraph"/>
        <w:numPr>
          <w:ilvl w:val="0"/>
          <w:numId w:val="1"/>
        </w:numPr>
        <w:spacing w:after="80"/>
      </w:pPr>
      <w:r>
        <w:t xml:space="preserve">Desktop delivery only (JavaFX) — no web-based delivery in v1.</w:t>
      </w:r>
    </w:p>
    <w:p>
      <w:pPr>
        <w:pStyle w:val="Heading2"/>
        <w:spacing w:after="150" w:before="300"/>
      </w:pPr>
      <w:r>
        <w:t xml:space="preserve">2.5 Assumptions and Dependencies</w:t>
      </w:r>
    </w:p>
    <w:p>
      <w:pPr>
        <w:pStyle w:val="ListParagraph"/>
        <w:numPr>
          <w:ilvl w:val="0"/>
          <w:numId w:val="1"/>
        </w:numPr>
        <w:spacing w:after="80"/>
      </w:pPr>
      <w:r>
        <w:t xml:space="preserve">A local JDK supporting the Java Debug Interface (JDI) is available in the runtime environment (see ADR-1).</w:t>
      </w:r>
    </w:p>
    <w:p>
      <w:pPr>
        <w:pStyle w:val="ListParagraph"/>
        <w:numPr>
          <w:ilvl w:val="0"/>
          <w:numId w:val="1"/>
        </w:numPr>
        <w:spacing w:after="80"/>
      </w:pPr>
      <w:r>
        <w:t xml:space="preserve">Determinism of trace, visualization, and audio output is required given identical input code and a single run (see NFR: Determinism).</w:t>
      </w:r>
    </w:p>
    <w:p>
      <w:r>
        <w:br w:type="page"/>
      </w:r>
    </w:p>
    <w:p>
      <w:pPr>
        <w:pStyle w:val="Heading1"/>
        <w:spacing w:after="200" w:before="400"/>
      </w:pPr>
      <w:r>
        <w:t xml:space="preserve">3. Module Breakdown and Team Ownership</w:t>
      </w:r>
    </w:p>
    <w:p>
      <w:pPr>
        <w:spacing w:after="150"/>
      </w:pPr>
      <w:r>
        <w:t xml:space="preserve">The system is divided into three ownership modules distributed across three developers. This division follows the package structure defined in the architecture and is reflected in the class/UML design. Module boundaries are intentionally drawn so that Visualization and Audio depend only on a shared Trace Event contract (see ADR-5), allowing the three modules to be developed and tested in parallel.</w:t>
      </w:r>
    </w:p>
    <w:p>
      <w:pPr>
        <w:pStyle w:val="Heading2"/>
        <w:spacing w:after="150" w:before="300"/>
      </w:pPr>
      <w:r>
        <w:t xml:space="preserve">3.1 Module A — Input, Validation &amp; Execution Engine (Owner: Dev A)</w:t>
      </w:r>
    </w:p>
    <w:p>
      <w:pPr>
        <w:spacing w:after="150"/>
      </w:pPr>
      <w:r>
        <w:t xml:space="preserve">The highest-risk module: owns getting Java source in, validated, and executed under instrumentation with a complete event trace captured out the other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5496" w:val="clear"/>
          </w:tcPr>
          <w:p>
            <w:r>
              <w:rPr>
                <w:b/>
                <w:bCs/>
                <w:color w:val="FFFFFF"/>
              </w:rPr>
              <w:t xml:space="preserve">Component</w:t>
            </w:r>
          </w:p>
        </w:tc>
        <w:tc>
          <w:tcPr>
            <w:tcW w:type="dxa" w:w="6760"/>
            <w:shd w:fill="2F5496" w:val="clear"/>
          </w:tcPr>
          <w:p>
            <w:r>
              <w:rPr>
                <w:b/>
                <w:bCs/>
                <w:color w:val="FFFFFF"/>
              </w:rPr>
              <w:t xml:space="preserve">Responsibility</w:t>
            </w:r>
          </w:p>
        </w:tc>
      </w:tr>
      <w:tr>
        <w:tc>
          <w:tcPr>
            <w:tcW w:type="dxa" w:w="2600"/>
          </w:tcPr>
          <w:p>
            <w:r>
              <w:t xml:space="preserve">CodeSubmission</w:t>
            </w:r>
          </w:p>
        </w:tc>
        <w:tc>
          <w:tcPr>
            <w:tcW w:type="dxa" w:w="6760"/>
          </w:tcPr>
          <w:p>
            <w:r>
              <w:t xml:space="preserve">Holds submitted files/text and validation status.</w:t>
            </w:r>
          </w:p>
        </w:tc>
      </w:tr>
      <w:tr>
        <w:tc>
          <w:tcPr>
            <w:tcW w:type="dxa" w:w="2600"/>
          </w:tcPr>
          <w:p>
            <w:r>
              <w:t xml:space="preserve">JavaSourceFile</w:t>
            </w:r>
          </w:p>
        </w:tc>
        <w:tc>
          <w:tcPr>
            <w:tcW w:type="dxa" w:w="6760"/>
          </w:tcPr>
          <w:p>
            <w:r>
              <w:t xml:space="preserve">Represents one source file and its parsed structure.</w:t>
            </w:r>
          </w:p>
        </w:tc>
      </w:tr>
      <w:tr>
        <w:tc>
          <w:tcPr>
            <w:tcW w:type="dxa" w:w="2600"/>
          </w:tcPr>
          <w:p>
            <w:r>
              <w:t xml:space="preserve">CodeValidator</w:t>
            </w:r>
          </w:p>
        </w:tc>
        <w:tc>
          <w:tcPr>
            <w:tcW w:type="dxa" w:w="6760"/>
          </w:tcPr>
          <w:p>
            <w:r>
              <w:t xml:space="preserve">Compiles/checks code; returns errors or a validated CompiledProject.</w:t>
            </w:r>
          </w:p>
        </w:tc>
      </w:tr>
      <w:tr>
        <w:tc>
          <w:tcPr>
            <w:tcW w:type="dxa" w:w="2600"/>
          </w:tcPr>
          <w:p>
            <w:r>
              <w:t xml:space="preserve">ExecutionEngine</w:t>
            </w:r>
          </w:p>
        </w:tc>
        <w:tc>
          <w:tcPr>
            <w:tcW w:type="dxa" w:w="6760"/>
          </w:tcPr>
          <w:p>
            <w:r>
              <w:t xml:space="preserve">Runs the compiled code under JDI instrumentation.</w:t>
            </w:r>
          </w:p>
        </w:tc>
      </w:tr>
      <w:tr>
        <w:tc>
          <w:tcPr>
            <w:tcW w:type="dxa" w:w="2600"/>
          </w:tcPr>
          <w:p>
            <w:r>
              <w:t xml:space="preserve">TraceRecorder</w:t>
            </w:r>
          </w:p>
        </w:tc>
        <w:tc>
          <w:tcPr>
            <w:tcW w:type="dxa" w:w="6760"/>
          </w:tcPr>
          <w:p>
            <w:r>
              <w:t xml:space="preserve">Listens to execution and builds the ordered TraceEvent list.</w:t>
            </w:r>
          </w:p>
        </w:tc>
      </w:tr>
      <w:tr>
        <w:tc>
          <w:tcPr>
            <w:tcW w:type="dxa" w:w="2600"/>
          </w:tcPr>
          <w:p>
            <w:r>
              <w:t xml:space="preserve">TraceEvent / EventType</w:t>
            </w:r>
          </w:p>
        </w:tc>
        <w:tc>
          <w:tcPr>
            <w:tcW w:type="dxa" w:w="6760"/>
          </w:tcPr>
          <w:p>
            <w:r>
              <w:t xml:space="preserve">Core data model and enum for all recorded runtime events.</w:t>
            </w:r>
          </w:p>
        </w:tc>
      </w:tr>
    </w:tbl>
    <w:p>
      <w:pPr>
        <w:spacing w:after="150"/>
      </w:pPr>
      <w:r>
        <w:t xml:space="preserve">Satisfies: FR1, FR3–FR7. Related: ADR-1, ADR-3, ADR-4.</w:t>
      </w:r>
    </w:p>
    <w:p>
      <w:pPr>
        <w:pStyle w:val="Heading2"/>
        <w:spacing w:after="150" w:before="300"/>
      </w:pPr>
      <w:r>
        <w:t xml:space="preserve">3.2 Module B — Visualization &amp; Multi-File Rendering (Owner: Dev B)</w:t>
      </w:r>
    </w:p>
    <w:p>
      <w:pPr>
        <w:spacing w:after="150"/>
      </w:pPr>
      <w:r>
        <w:t xml:space="preserve">Owns turning the trace stream into an animated, mechanically labeled, multi-file-aware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F5496" w:val="clear"/>
          </w:tcPr>
          <w:p>
            <w:r>
              <w:rPr>
                <w:b/>
                <w:bCs/>
                <w:color w:val="FFFFFF"/>
              </w:rPr>
              <w:t xml:space="preserve">Component</w:t>
            </w:r>
          </w:p>
        </w:tc>
        <w:tc>
          <w:tcPr>
            <w:tcW w:type="dxa" w:w="6160"/>
            <w:shd w:fill="2F5496" w:val="clear"/>
          </w:tcPr>
          <w:p>
            <w:r>
              <w:rPr>
                <w:b/>
                <w:bCs/>
                <w:color w:val="FFFFFF"/>
              </w:rPr>
              <w:t xml:space="preserve">Responsibility</w:t>
            </w:r>
          </w:p>
        </w:tc>
      </w:tr>
      <w:tr>
        <w:tc>
          <w:tcPr>
            <w:tcW w:type="dxa" w:w="3200"/>
          </w:tcPr>
          <w:p>
            <w:r>
              <w:t xml:space="preserve">VisualizationController</w:t>
            </w:r>
          </w:p>
        </w:tc>
        <w:tc>
          <w:tcPr>
            <w:tcW w:type="dxa" w:w="6160"/>
          </w:tcPr>
          <w:p>
            <w:r>
              <w:t xml:space="preserve">Drives what's rendered based on current playback position.</w:t>
            </w:r>
          </w:p>
        </w:tc>
      </w:tr>
      <w:tr>
        <w:tc>
          <w:tcPr>
            <w:tcW w:type="dxa" w:w="3200"/>
          </w:tcPr>
          <w:p>
            <w:r>
              <w:t xml:space="preserve">DataStructureRenderer (+ ArrayRenderer, etc.)</w:t>
            </w:r>
          </w:p>
        </w:tc>
        <w:tc>
          <w:tcPr>
            <w:tcW w:type="dxa" w:w="6160"/>
          </w:tcPr>
          <w:p>
            <w:r>
              <w:t xml:space="preserve">Per-structure-type rendering of data structure state.</w:t>
            </w:r>
          </w:p>
        </w:tc>
      </w:tr>
      <w:tr>
        <w:tc>
          <w:tcPr>
            <w:tcW w:type="dxa" w:w="3200"/>
          </w:tcPr>
          <w:p>
            <w:r>
              <w:t xml:space="preserve">MultiFileViewManager</w:t>
            </w:r>
          </w:p>
        </w:tc>
        <w:tc>
          <w:tcPr>
            <w:tcW w:type="dxa" w:w="6160"/>
          </w:tcPr>
          <w:p>
            <w:r>
              <w:t xml:space="preserve">Manages simultaneous display of multiple files and cross-file connector lines.</w:t>
            </w:r>
          </w:p>
        </w:tc>
      </w:tr>
      <w:tr>
        <w:tc>
          <w:tcPr>
            <w:tcW w:type="dxa" w:w="3200"/>
          </w:tcPr>
          <w:p>
            <w:r>
              <w:t xml:space="preserve">LabelGenerator</w:t>
            </w:r>
          </w:p>
        </w:tc>
        <w:tc>
          <w:tcPr>
            <w:tcW w:type="dxa" w:w="6160"/>
          </w:tcPr>
          <w:p>
            <w:r>
              <w:t xml:space="preserve">Produces mechanical labels from a TraceEvent; extension point for future semantic labels.</w:t>
            </w:r>
          </w:p>
        </w:tc>
      </w:tr>
    </w:tbl>
    <w:p>
      <w:pPr>
        <w:spacing w:after="150"/>
      </w:pPr>
      <w:r>
        <w:t xml:space="preserve">Satisfies: FR2, FR8–FR11. Related: ADR-3, ADR-5, ADR-6.</w:t>
      </w:r>
    </w:p>
    <w:p>
      <w:pPr>
        <w:pStyle w:val="Heading2"/>
        <w:spacing w:after="150" w:before="300"/>
      </w:pPr>
      <w:r>
        <w:t xml:space="preserve">3.3 Module C — Audio, Playback Control &amp; Integration (Owner: Dev C)</w:t>
      </w:r>
    </w:p>
    <w:p>
      <w:pPr>
        <w:spacing w:after="150"/>
      </w:pPr>
      <w:r>
        <w:t xml:space="preserve">Owns sound generation, playback state/controls, and wiring the JavaFX application shell that hosts Modules A and B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F5496" w:val="clear"/>
          </w:tcPr>
          <w:p>
            <w:r>
              <w:rPr>
                <w:b/>
                <w:bCs/>
                <w:color w:val="FFFFFF"/>
              </w:rPr>
              <w:t xml:space="preserve">Component</w:t>
            </w:r>
          </w:p>
        </w:tc>
        <w:tc>
          <w:tcPr>
            <w:tcW w:type="dxa" w:w="6160"/>
            <w:shd w:fill="2F5496" w:val="clear"/>
          </w:tcPr>
          <w:p>
            <w:r>
              <w:rPr>
                <w:b/>
                <w:bCs/>
                <w:color w:val="FFFFFF"/>
              </w:rPr>
              <w:t xml:space="preserve">Responsibility</w:t>
            </w:r>
          </w:p>
        </w:tc>
      </w:tr>
      <w:tr>
        <w:tc>
          <w:tcPr>
            <w:tcW w:type="dxa" w:w="3200"/>
          </w:tcPr>
          <w:p>
            <w:r>
              <w:t xml:space="preserve">ToneGenerator</w:t>
            </w:r>
          </w:p>
        </w:tc>
        <w:tc>
          <w:tcPr>
            <w:tcW w:type="dxa" w:w="6160"/>
          </w:tcPr>
          <w:p>
            <w:r>
              <w:t xml:space="preserve">Deterministic function mapping event signature to audio output parameters.</w:t>
            </w:r>
          </w:p>
        </w:tc>
      </w:tr>
      <w:tr>
        <w:tc>
          <w:tcPr>
            <w:tcW w:type="dxa" w:w="3200"/>
          </w:tcPr>
          <w:p>
            <w:r>
              <w:t xml:space="preserve">AudioPlayer</w:t>
            </w:r>
          </w:p>
        </w:tc>
        <w:tc>
          <w:tcPr>
            <w:tcW w:type="dxa" w:w="6160"/>
          </w:tcPr>
          <w:p>
            <w:r>
              <w:t xml:space="preserve">Plays generated tones in sync with playback position.</w:t>
            </w:r>
          </w:p>
        </w:tc>
      </w:tr>
      <w:tr>
        <w:tc>
          <w:tcPr>
            <w:tcW w:type="dxa" w:w="3200"/>
          </w:tcPr>
          <w:p>
            <w:r>
              <w:t xml:space="preserve">PlaybackController</w:t>
            </w:r>
          </w:p>
        </w:tc>
        <w:tc>
          <w:tcPr>
            <w:tcW w:type="dxa" w:w="6160"/>
          </w:tcPr>
          <w:p>
            <w:r>
              <w:t xml:space="preserve">Handles play/pause/speed/step-forward/step-backward/rewind commands.</w:t>
            </w:r>
          </w:p>
        </w:tc>
      </w:tr>
      <w:tr>
        <w:tc>
          <w:tcPr>
            <w:tcW w:type="dxa" w:w="3200"/>
          </w:tcPr>
          <w:p>
            <w:r>
              <w:t xml:space="preserve">PlaybackState</w:t>
            </w:r>
          </w:p>
        </w:tc>
        <w:tc>
          <w:tcPr>
            <w:tcW w:type="dxa" w:w="6160"/>
          </w:tcPr>
          <w:p>
            <w:r>
              <w:t xml:space="preserve">Current position, speed, and playing status — transient, in-memory only.</w:t>
            </w:r>
          </w:p>
        </w:tc>
      </w:tr>
      <w:tr>
        <w:tc>
          <w:tcPr>
            <w:tcW w:type="dxa" w:w="3200"/>
          </w:tcPr>
          <w:p>
            <w:r>
              <w:t xml:space="preserve">JavaFX Application Shell</w:t>
            </w:r>
          </w:p>
        </w:tc>
        <w:tc>
          <w:tcPr>
            <w:tcW w:type="dxa" w:w="6160"/>
          </w:tcPr>
          <w:p>
            <w:r>
              <w:t xml:space="preserve">Top-level window, layout, and integration of Modules A and B.</w:t>
            </w:r>
          </w:p>
        </w:tc>
      </w:tr>
    </w:tbl>
    <w:p>
      <w:pPr>
        <w:spacing w:after="150"/>
      </w:pPr>
      <w:r>
        <w:t xml:space="preserve">Satisfies: FR12–FR17. Related: ADR-2, ADR-4, ADR-5, ADR-6.</w:t>
      </w:r>
    </w:p>
    <w:p>
      <w:pPr>
        <w:pStyle w:val="Heading2"/>
        <w:spacing w:after="150" w:before="300"/>
      </w:pPr>
      <w:r>
        <w:t xml:space="preserve">3.4 Shared Interface Contract</w:t>
      </w:r>
    </w:p>
    <w:p>
      <w:pPr>
        <w:spacing w:after="150"/>
      </w:pPr>
      <w:r>
        <w:t xml:space="preserve">All three modules agree on a single shared contract, owned by Dev A and frozen early to unblock parallel work: the ordered TraceEvent stream and the PlaybackState object. Module B and Module C consume this stream independently and never call one another directly (ADR-5).</w:t>
      </w:r>
    </w:p>
    <w:p>
      <w:r>
        <w:br w:type="page"/>
      </w:r>
    </w:p>
    <w:p>
      <w:pPr>
        <w:pStyle w:val="Heading1"/>
        <w:spacing w:after="200" w:before="400"/>
      </w:pPr>
      <w:r>
        <w:t xml:space="preserve">4. Specific Requirements</w:t>
      </w:r>
    </w:p>
    <w:p>
      <w:pPr>
        <w:pStyle w:val="Heading2"/>
        <w:spacing w:after="150" w:before="300"/>
      </w:pPr>
      <w:r>
        <w:t xml:space="preserve">4.1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560"/>
        <w:gridCol w:w="1800"/>
      </w:tblGrid>
      <w:tr>
        <w:trPr>
          <w:tblHeader/>
        </w:trPr>
        <w:tc>
          <w:tcPr>
            <w:tcW w:type="dxa" w:w="1000"/>
            <w:shd w:fill="2F5496" w:val="clear"/>
          </w:tcPr>
          <w:p>
            <w:r>
              <w:rPr>
                <w:b/>
                <w:bCs/>
                <w:color w:val="FFFFFF"/>
              </w:rPr>
              <w:t xml:space="preserve">ID</w:t>
            </w:r>
          </w:p>
        </w:tc>
        <w:tc>
          <w:tcPr>
            <w:tcW w:type="dxa" w:w="6560"/>
            <w:shd w:fill="2F5496" w:val="clear"/>
          </w:tcPr>
          <w:p>
            <w:r>
              <w:rPr>
                <w:b/>
                <w:bCs/>
                <w:color w:val="FFFFFF"/>
              </w:rPr>
              <w:t xml:space="preserve">Requirement</w:t>
            </w:r>
          </w:p>
        </w:tc>
        <w:tc>
          <w:tcPr>
            <w:tcW w:type="dxa" w:w="1800"/>
            <w:shd w:fill="2F5496" w:val="clear"/>
          </w:tcPr>
          <w:p>
            <w:r>
              <w:rPr>
                <w:b/>
                <w:bCs/>
                <w:color w:val="FFFFFF"/>
              </w:rPr>
              <w:t xml:space="preserve">Module</w:t>
            </w:r>
          </w:p>
        </w:tc>
      </w:tr>
      <w:tr>
        <w:tc>
          <w:tcPr>
            <w:tcW w:type="dxa" w:w="1000"/>
          </w:tcPr>
          <w:p>
            <w:r>
              <w:t xml:space="preserve">FR1</w:t>
            </w:r>
          </w:p>
        </w:tc>
        <w:tc>
          <w:tcPr>
            <w:tcW w:type="dxa" w:w="6560"/>
          </w:tcPr>
          <w:p>
            <w:r>
              <w:t xml:space="preserve">Accept Java source code via an in-app text editor.</w:t>
            </w:r>
          </w:p>
        </w:tc>
        <w:tc>
          <w:tcPr>
            <w:tcW w:type="dxa" w:w="1800"/>
          </w:tcPr>
          <w:p>
            <w:r>
              <w:t xml:space="preserve">A</w:t>
            </w:r>
          </w:p>
        </w:tc>
      </w:tr>
      <w:tr>
        <w:tc>
          <w:tcPr>
            <w:tcW w:type="dxa" w:w="1000"/>
          </w:tcPr>
          <w:p>
            <w:r>
              <w:t xml:space="preserve">FR2</w:t>
            </w:r>
          </w:p>
        </w:tc>
        <w:tc>
          <w:tcPr>
            <w:tcW w:type="dxa" w:w="6560"/>
          </w:tcPr>
          <w:p>
            <w:r>
              <w:t xml:space="preserve">Editor provides syntax highlighting/beautification and direct editing.</w:t>
            </w:r>
          </w:p>
        </w:tc>
        <w:tc>
          <w:tcPr>
            <w:tcW w:type="dxa" w:w="1800"/>
          </w:tcPr>
          <w:p>
            <w:r>
              <w:t xml:space="preserve">B</w:t>
            </w:r>
          </w:p>
        </w:tc>
      </w:tr>
      <w:tr>
        <w:tc>
          <w:tcPr>
            <w:tcW w:type="dxa" w:w="1000"/>
          </w:tcPr>
          <w:p>
            <w:r>
              <w:t xml:space="preserve">FR3</w:t>
            </w:r>
          </w:p>
        </w:tc>
        <w:tc>
          <w:tcPr>
            <w:tcW w:type="dxa" w:w="6560"/>
          </w:tcPr>
          <w:p>
            <w:r>
              <w:t xml:space="preserve">Accept one or more .java files via file upload (multi-file).</w:t>
            </w:r>
          </w:p>
        </w:tc>
        <w:tc>
          <w:tcPr>
            <w:tcW w:type="dxa" w:w="1800"/>
          </w:tcPr>
          <w:p>
            <w:r>
              <w:t xml:space="preserve">A</w:t>
            </w:r>
          </w:p>
        </w:tc>
      </w:tr>
      <w:tr>
        <w:tc>
          <w:tcPr>
            <w:tcW w:type="dxa" w:w="1000"/>
          </w:tcPr>
          <w:p>
            <w:r>
              <w:t xml:space="preserve">FR4</w:t>
            </w:r>
          </w:p>
        </w:tc>
        <w:tc>
          <w:tcPr>
            <w:tcW w:type="dxa" w:w="6560"/>
          </w:tcPr>
          <w:p>
            <w:r>
              <w:t xml:space="preserve">Only accept code that compiles/runs with zero errors; display errors otherwise.</w:t>
            </w:r>
          </w:p>
        </w:tc>
        <w:tc>
          <w:tcPr>
            <w:tcW w:type="dxa" w:w="1800"/>
          </w:tcPr>
          <w:p>
            <w:r>
              <w:t xml:space="preserve">A</w:t>
            </w:r>
          </w:p>
        </w:tc>
      </w:tr>
      <w:tr>
        <w:tc>
          <w:tcPr>
            <w:tcW w:type="dxa" w:w="1000"/>
          </w:tcPr>
          <w:p>
            <w:r>
              <w:t xml:space="preserve">FR5</w:t>
            </w:r>
          </w:p>
        </w:tc>
        <w:tc>
          <w:tcPr>
            <w:tcW w:type="dxa" w:w="6560"/>
          </w:tcPr>
          <w:p>
            <w:r>
              <w:t xml:space="preserve">Compile and execute submitted code in a controlled runtime.</w:t>
            </w:r>
          </w:p>
        </w:tc>
        <w:tc>
          <w:tcPr>
            <w:tcW w:type="dxa" w:w="1800"/>
          </w:tcPr>
          <w:p>
            <w:r>
              <w:t xml:space="preserve">A</w:t>
            </w:r>
          </w:p>
        </w:tc>
      </w:tr>
      <w:tr>
        <w:tc>
          <w:tcPr>
            <w:tcW w:type="dxa" w:w="1000"/>
          </w:tcPr>
          <w:p>
            <w:r>
              <w:t xml:space="preserve">FR6</w:t>
            </w:r>
          </w:p>
        </w:tc>
        <w:tc>
          <w:tcPr>
            <w:tcW w:type="dxa" w:w="6560"/>
          </w:tcPr>
          <w:p>
            <w:r>
              <w:t xml:space="preserve">Capture a structured, ordered trace of execution events with required metadata.</w:t>
            </w:r>
          </w:p>
        </w:tc>
        <w:tc>
          <w:tcPr>
            <w:tcW w:type="dxa" w:w="1800"/>
          </w:tcPr>
          <w:p>
            <w:r>
              <w:t xml:space="preserve">A</w:t>
            </w:r>
          </w:p>
        </w:tc>
      </w:tr>
      <w:tr>
        <w:tc>
          <w:tcPr>
            <w:tcW w:type="dxa" w:w="1000"/>
          </w:tcPr>
          <w:p>
            <w:r>
              <w:t xml:space="preserve">FR7</w:t>
            </w:r>
          </w:p>
        </w:tc>
        <w:tc>
          <w:tcPr>
            <w:tcW w:type="dxa" w:w="6560"/>
          </w:tcPr>
          <w:p>
            <w:r>
              <w:t xml:space="preserve">Each trace event records enough metadata for both visualization and audio.</w:t>
            </w:r>
          </w:p>
        </w:tc>
        <w:tc>
          <w:tcPr>
            <w:tcW w:type="dxa" w:w="1800"/>
          </w:tcPr>
          <w:p>
            <w:r>
              <w:t xml:space="preserve">A</w:t>
            </w:r>
          </w:p>
        </w:tc>
      </w:tr>
      <w:tr>
        <w:tc>
          <w:tcPr>
            <w:tcW w:type="dxa" w:w="1000"/>
          </w:tcPr>
          <w:p>
            <w:r>
              <w:t xml:space="preserve">FR8</w:t>
            </w:r>
          </w:p>
        </w:tc>
        <w:tc>
          <w:tcPr>
            <w:tcW w:type="dxa" w:w="6560"/>
          </w:tcPr>
          <w:p>
            <w:r>
              <w:t xml:space="preserve">Animate data structures reflecting state changes in sync with the trace.</w:t>
            </w:r>
          </w:p>
        </w:tc>
        <w:tc>
          <w:tcPr>
            <w:tcW w:type="dxa" w:w="1800"/>
          </w:tcPr>
          <w:p>
            <w:r>
              <w:t xml:space="preserve">B</w:t>
            </w:r>
          </w:p>
        </w:tc>
      </w:tr>
      <w:tr>
        <w:tc>
          <w:tcPr>
            <w:tcW w:type="dxa" w:w="1000"/>
          </w:tcPr>
          <w:p>
            <w:r>
              <w:t xml:space="preserve">FR9</w:t>
            </w:r>
          </w:p>
        </w:tc>
        <w:tc>
          <w:tcPr>
            <w:tcW w:type="dxa" w:w="6560"/>
          </w:tcPr>
          <w:p>
            <w:r>
              <w:t xml:space="preserve">All visual elements are mechanically labeled from the code's own content.</w:t>
            </w:r>
          </w:p>
        </w:tc>
        <w:tc>
          <w:tcPr>
            <w:tcW w:type="dxa" w:w="1800"/>
          </w:tcPr>
          <w:p>
            <w:r>
              <w:t xml:space="preserve">B</w:t>
            </w:r>
          </w:p>
        </w:tc>
      </w:tr>
      <w:tr>
        <w:tc>
          <w:tcPr>
            <w:tcW w:type="dxa" w:w="1000"/>
          </w:tcPr>
          <w:p>
            <w:r>
              <w:t xml:space="preserve">FR10</w:t>
            </w:r>
          </w:p>
        </w:tc>
        <w:tc>
          <w:tcPr>
            <w:tcW w:type="dxa" w:w="6560"/>
          </w:tcPr>
          <w:p>
            <w:r>
              <w:t xml:space="preserve">Display relevant files simultaneously on cross-file method entry.</w:t>
            </w:r>
          </w:p>
        </w:tc>
        <w:tc>
          <w:tcPr>
            <w:tcW w:type="dxa" w:w="1800"/>
          </w:tcPr>
          <w:p>
            <w:r>
              <w:t xml:space="preserve">B</w:t>
            </w:r>
          </w:p>
        </w:tc>
      </w:tr>
      <w:tr>
        <w:tc>
          <w:tcPr>
            <w:tcW w:type="dxa" w:w="1000"/>
          </w:tcPr>
          <w:p>
            <w:r>
              <w:t xml:space="preserve">FR11</w:t>
            </w:r>
          </w:p>
        </w:tc>
        <w:tc>
          <w:tcPr>
            <w:tcW w:type="dxa" w:w="6560"/>
          </w:tcPr>
          <w:p>
            <w:r>
              <w:t xml:space="preserve">Draw a visible connector line at the moment of cross-file data access.</w:t>
            </w:r>
          </w:p>
        </w:tc>
        <w:tc>
          <w:tcPr>
            <w:tcW w:type="dxa" w:w="1800"/>
          </w:tcPr>
          <w:p>
            <w:r>
              <w:t xml:space="preserve">B</w:t>
            </w:r>
          </w:p>
        </w:tc>
      </w:tr>
      <w:tr>
        <w:tc>
          <w:tcPr>
            <w:tcW w:type="dxa" w:w="1000"/>
          </w:tcPr>
          <w:p>
            <w:r>
              <w:t xml:space="preserve">FR12</w:t>
            </w:r>
          </w:p>
        </w:tc>
        <w:tc>
          <w:tcPr>
            <w:tcW w:type="dxa" w:w="6560"/>
          </w:tcPr>
          <w:p>
            <w:r>
              <w:t xml:space="preserve">Generate an audio tone for every trace event.</w:t>
            </w:r>
          </w:p>
        </w:tc>
        <w:tc>
          <w:tcPr>
            <w:tcW w:type="dxa" w:w="1800"/>
          </w:tcPr>
          <w:p>
            <w:r>
              <w:t xml:space="preserve">C</w:t>
            </w:r>
          </w:p>
        </w:tc>
      </w:tr>
      <w:tr>
        <w:tc>
          <w:tcPr>
            <w:tcW w:type="dxa" w:w="1000"/>
          </w:tcPr>
          <w:p>
            <w:r>
              <w:t xml:space="preserve">FR13</w:t>
            </w:r>
          </w:p>
        </w:tc>
        <w:tc>
          <w:tcPr>
            <w:tcW w:type="dxa" w:w="6560"/>
          </w:tcPr>
          <w:p>
            <w:r>
              <w:t xml:space="preserve">Tone for a given event type is produced via a deterministic algorithm.</w:t>
            </w:r>
          </w:p>
        </w:tc>
        <w:tc>
          <w:tcPr>
            <w:tcW w:type="dxa" w:w="1800"/>
          </w:tcPr>
          <w:p>
            <w:r>
              <w:t xml:space="preserve">C</w:t>
            </w:r>
          </w:p>
        </w:tc>
      </w:tr>
      <w:tr>
        <w:tc>
          <w:tcPr>
            <w:tcW w:type="dxa" w:w="1000"/>
          </w:tcPr>
          <w:p>
            <w:r>
              <w:t xml:space="preserve">FR14</w:t>
            </w:r>
          </w:p>
        </w:tc>
        <w:tc>
          <w:tcPr>
            <w:tcW w:type="dxa" w:w="6560"/>
          </w:tcPr>
          <w:p>
            <w:r>
              <w:t xml:space="preserve">Same event type always produces the same tone, including on first occurrence.</w:t>
            </w:r>
          </w:p>
        </w:tc>
        <w:tc>
          <w:tcPr>
            <w:tcW w:type="dxa" w:w="1800"/>
          </w:tcPr>
          <w:p>
            <w:r>
              <w:t xml:space="preserve">C</w:t>
            </w:r>
          </w:p>
        </w:tc>
      </w:tr>
      <w:tr>
        <w:tc>
          <w:tcPr>
            <w:tcW w:type="dxa" w:w="1000"/>
          </w:tcPr>
          <w:p>
            <w:r>
              <w:t xml:space="preserve">FR15</w:t>
            </w:r>
          </w:p>
        </w:tc>
        <w:tc>
          <w:tcPr>
            <w:tcW w:type="dxa" w:w="6560"/>
          </w:tcPr>
          <w:p>
            <w:r>
              <w:t xml:space="preserve">Provide Play, Pause, Fast-Forward, Rewind, and Speed controls.</w:t>
            </w:r>
          </w:p>
        </w:tc>
        <w:tc>
          <w:tcPr>
            <w:tcW w:type="dxa" w:w="1800"/>
          </w:tcPr>
          <w:p>
            <w:r>
              <w:t xml:space="preserve">C</w:t>
            </w:r>
          </w:p>
        </w:tc>
      </w:tr>
      <w:tr>
        <w:tc>
          <w:tcPr>
            <w:tcW w:type="dxa" w:w="1000"/>
          </w:tcPr>
          <w:p>
            <w:r>
              <w:t xml:space="preserve">FR16</w:t>
            </w:r>
          </w:p>
        </w:tc>
        <w:tc>
          <w:tcPr>
            <w:tcW w:type="dxa" w:w="6560"/>
          </w:tcPr>
          <w:p>
            <w:r>
              <w:t xml:space="preserve">Provide Step-Forward control advancing exactly one event.</w:t>
            </w:r>
          </w:p>
        </w:tc>
        <w:tc>
          <w:tcPr>
            <w:tcW w:type="dxa" w:w="1800"/>
          </w:tcPr>
          <w:p>
            <w:r>
              <w:t xml:space="preserve">C</w:t>
            </w:r>
          </w:p>
        </w:tc>
      </w:tr>
      <w:tr>
        <w:tc>
          <w:tcPr>
            <w:tcW w:type="dxa" w:w="1000"/>
          </w:tcPr>
          <w:p>
            <w:r>
              <w:t xml:space="preserve">FR17</w:t>
            </w:r>
          </w:p>
        </w:tc>
        <w:tc>
          <w:tcPr>
            <w:tcW w:type="dxa" w:w="6560"/>
          </w:tcPr>
          <w:p>
            <w:r>
              <w:t xml:space="preserve">Provide Step-Backward control reversing exactly one event.</w:t>
            </w:r>
          </w:p>
        </w:tc>
        <w:tc>
          <w:tcPr>
            <w:tcW w:type="dxa" w:w="1800"/>
          </w:tcPr>
          <w:p>
            <w:r>
              <w:t xml:space="preserve">C</w:t>
            </w:r>
          </w:p>
        </w:tc>
      </w:tr>
    </w:tbl>
    <w:p>
      <w:pPr>
        <w:pStyle w:val="Heading2"/>
        <w:spacing w:after="150" w:before="300"/>
      </w:pPr>
      <w:r>
        <w:t xml:space="preserve">4.2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2F5496" w:val="clear"/>
          </w:tcPr>
          <w:p>
            <w:r>
              <w:rPr>
                <w:b/>
                <w:bCs/>
                <w:color w:val="FFFFFF"/>
              </w:rPr>
              <w:t xml:space="preserve">Category</w:t>
            </w:r>
          </w:p>
        </w:tc>
        <w:tc>
          <w:tcPr>
            <w:tcW w:type="dxa" w:w="7160"/>
            <w:shd w:fill="2F5496" w:val="clear"/>
          </w:tcPr>
          <w:p>
            <w:r>
              <w:rPr>
                <w:b/>
                <w:bCs/>
                <w:color w:val="FFFFFF"/>
              </w:rPr>
              <w:t xml:space="preserve">Requirement</w:t>
            </w:r>
          </w:p>
        </w:tc>
      </w:tr>
      <w:tr>
        <w:tc>
          <w:tcPr>
            <w:tcW w:type="dxa" w:w="2200"/>
          </w:tcPr>
          <w:p>
            <w:r>
              <w:t xml:space="preserve">Reliability</w:t>
            </w:r>
          </w:p>
        </w:tc>
        <w:tc>
          <w:tcPr>
            <w:tcW w:type="dxa" w:w="7160"/>
          </w:tcPr>
          <w:p>
            <w:r>
              <w:t xml:space="preserve">Must not crash on valid Java input; gracefully reports and halts on invalid input.</w:t>
            </w:r>
          </w:p>
        </w:tc>
      </w:tr>
      <w:tr>
        <w:tc>
          <w:tcPr>
            <w:tcW w:type="dxa" w:w="2200"/>
          </w:tcPr>
          <w:p>
            <w:r>
              <w:t xml:space="preserve">Determinism</w:t>
            </w:r>
          </w:p>
        </w:tc>
        <w:tc>
          <w:tcPr>
            <w:tcW w:type="dxa" w:w="7160"/>
          </w:tcPr>
          <w:p>
            <w:r>
              <w:t xml:space="preserve">Same code and same run must always produce identical trace, visualization, and audio output.</w:t>
            </w:r>
          </w:p>
        </w:tc>
      </w:tr>
      <w:tr>
        <w:tc>
          <w:tcPr>
            <w:tcW w:type="dxa" w:w="2200"/>
          </w:tcPr>
          <w:p>
            <w:r>
              <w:t xml:space="preserve">Performance</w:t>
            </w:r>
          </w:p>
        </w:tc>
        <w:tc>
          <w:tcPr>
            <w:tcW w:type="dxa" w:w="7160"/>
          </w:tcPr>
          <w:p>
            <w:r>
              <w:t xml:space="preserve">Playback controls (step, pause, speed change) must feel responsive with no perceptible lag, even on long traces.</w:t>
            </w:r>
          </w:p>
        </w:tc>
      </w:tr>
      <w:tr>
        <w:tc>
          <w:tcPr>
            <w:tcW w:type="dxa" w:w="2200"/>
          </w:tcPr>
          <w:p>
            <w:r>
              <w:t xml:space="preserve">Usability</w:t>
            </w:r>
          </w:p>
        </w:tc>
        <w:tc>
          <w:tcPr>
            <w:tcW w:type="dxa" w:w="7160"/>
          </w:tcPr>
          <w:p>
            <w:r>
              <w:t xml:space="preserve">Mechanical labels must be legible and unambiguous without external documentation.</w:t>
            </w:r>
          </w:p>
        </w:tc>
      </w:tr>
      <w:tr>
        <w:tc>
          <w:tcPr>
            <w:tcW w:type="dxa" w:w="2200"/>
          </w:tcPr>
          <w:p>
            <w:r>
              <w:t xml:space="preserve">Extensibility</w:t>
            </w:r>
          </w:p>
        </w:tc>
        <w:tc>
          <w:tcPr>
            <w:tcW w:type="dxa" w:w="7160"/>
          </w:tcPr>
          <w:p>
            <w:r>
              <w:t xml:space="preserve">Architecture must allow v2 semantic labeling and auto-fix without a full redesign of the trace/event model.</w:t>
            </w:r>
          </w:p>
        </w:tc>
      </w:tr>
    </w:tbl>
    <w:p>
      <w:pPr>
        <w:pStyle w:val="Heading2"/>
        <w:spacing w:after="150" w:before="300"/>
      </w:pPr>
      <w:r>
        <w:t xml:space="preserve">4.3 External Interface Requirements</w:t>
      </w:r>
    </w:p>
    <w:p>
      <w:pPr>
        <w:pStyle w:val="Heading3"/>
        <w:spacing w:after="100" w:before="200"/>
      </w:pPr>
      <w:r>
        <w:t xml:space="preserve">4.3.1 User Interfaces</w:t>
      </w:r>
    </w:p>
    <w:p>
      <w:pPr>
        <w:pStyle w:val="ListParagraph"/>
        <w:numPr>
          <w:ilvl w:val="0"/>
          <w:numId w:val="1"/>
        </w:numPr>
        <w:spacing w:after="80"/>
      </w:pPr>
      <w:r>
        <w:t xml:space="preserve">In-app code editor panel with syntax highlighting (Module B).</w:t>
      </w:r>
    </w:p>
    <w:p>
      <w:pPr>
        <w:pStyle w:val="ListParagraph"/>
        <w:numPr>
          <w:ilvl w:val="0"/>
          <w:numId w:val="1"/>
        </w:numPr>
        <w:spacing w:after="80"/>
      </w:pPr>
      <w:r>
        <w:t xml:space="preserve">Multi-file view panel capable of showing 2+ files simultaneously with connector overlays (Module B).</w:t>
      </w:r>
    </w:p>
    <w:p>
      <w:pPr>
        <w:pStyle w:val="ListParagraph"/>
        <w:numPr>
          <w:ilvl w:val="0"/>
          <w:numId w:val="1"/>
        </w:numPr>
        <w:spacing w:after="80"/>
      </w:pPr>
      <w:r>
        <w:t xml:space="preserve">Playback control bar (play/pause/step/speed/rewind) styled on standard video-player conventions (Module C).</w:t>
      </w:r>
    </w:p>
    <w:p>
      <w:pPr>
        <w:pStyle w:val="ListParagraph"/>
        <w:numPr>
          <w:ilvl w:val="0"/>
          <w:numId w:val="1"/>
        </w:numPr>
        <w:spacing w:after="80"/>
      </w:pPr>
      <w:r>
        <w:t xml:space="preserve">Error display panel for compile/runtime error reporting (Module A).</w:t>
      </w:r>
    </w:p>
    <w:p>
      <w:pPr>
        <w:pStyle w:val="Heading3"/>
        <w:spacing w:after="100" w:before="200"/>
      </w:pPr>
      <w:r>
        <w:t xml:space="preserve">4.3.2 Hardware / Software Interfaces</w:t>
      </w:r>
    </w:p>
    <w:p>
      <w:pPr>
        <w:pStyle w:val="ListParagraph"/>
        <w:numPr>
          <w:ilvl w:val="0"/>
          <w:numId w:val="1"/>
        </w:numPr>
        <w:spacing w:after="80"/>
      </w:pPr>
      <w:r>
        <w:t xml:space="preserve">Local JDK with JDI support for compilation and instrumented execution (Module A / ADR-1).</w:t>
      </w:r>
    </w:p>
    <w:p>
      <w:pPr>
        <w:pStyle w:val="ListParagraph"/>
        <w:numPr>
          <w:ilvl w:val="0"/>
          <w:numId w:val="1"/>
        </w:numPr>
        <w:spacing w:after="80"/>
      </w:pPr>
      <w:r>
        <w:t xml:space="preserve">JavaFX runtime for all UI rendering and animation (Modules B, C / ADR-6).</w:t>
      </w:r>
    </w:p>
    <w:p>
      <w:pPr>
        <w:pStyle w:val="ListParagraph"/>
        <w:numPr>
          <w:ilvl w:val="0"/>
          <w:numId w:val="1"/>
        </w:numPr>
        <w:spacing w:after="80"/>
      </w:pPr>
      <w:r>
        <w:t xml:space="preserve">System audio output for generated tone playback (Module C).</w:t>
      </w:r>
    </w:p>
    <w:p>
      <w:r>
        <w:br w:type="page"/>
      </w:r>
    </w:p>
    <w:p>
      <w:pPr>
        <w:pStyle w:val="Heading1"/>
        <w:spacing w:after="200" w:before="400"/>
      </w:pPr>
      <w:r>
        <w:t xml:space="preserve">5. Requirements Traceability Summary</w:t>
      </w:r>
    </w:p>
    <w:p>
      <w:pPr>
        <w:spacing w:after="150"/>
      </w:pPr>
      <w:r>
        <w:t xml:space="preserve">Every functional requirement maps to exactly one owning module, and every module maps to at least one ADR governing its core technical approach. This traceability will be maintained as the design evolves into implementation, and updated diagrams (use case, activity, sequence, class, ERD) will reference these same FR/module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200"/>
        <w:gridCol w:w="3000"/>
      </w:tblGrid>
      <w:tr>
        <w:trPr>
          <w:tblHeader/>
        </w:trPr>
        <w:tc>
          <w:tcPr>
            <w:tcW w:type="dxa" w:w="3160"/>
            <w:shd w:fill="2F5496" w:val="clear"/>
          </w:tcPr>
          <w:p>
            <w:r>
              <w:rPr>
                <w:b/>
                <w:bCs/>
                <w:color w:val="FFFFFF"/>
              </w:rPr>
              <w:t xml:space="preserve">Module</w:t>
            </w:r>
          </w:p>
        </w:tc>
        <w:tc>
          <w:tcPr>
            <w:tcW w:type="dxa" w:w="3200"/>
            <w:shd w:fill="2F5496" w:val="clear"/>
          </w:tcPr>
          <w:p>
            <w:r>
              <w:rPr>
                <w:b/>
                <w:bCs/>
                <w:color w:val="FFFFFF"/>
              </w:rPr>
              <w:t xml:space="preserve">FRs Covered</w:t>
            </w:r>
          </w:p>
        </w:tc>
        <w:tc>
          <w:tcPr>
            <w:tcW w:type="dxa" w:w="3000"/>
            <w:shd w:fill="2F5496" w:val="clear"/>
          </w:tcPr>
          <w:p>
            <w:r>
              <w:rPr>
                <w:b/>
                <w:bCs/>
                <w:color w:val="FFFFFF"/>
              </w:rPr>
              <w:t xml:space="preserve">Governing ADRs</w:t>
            </w:r>
          </w:p>
        </w:tc>
      </w:tr>
      <w:tr>
        <w:tc>
          <w:tcPr>
            <w:tcW w:type="dxa" w:w="3160"/>
          </w:tcPr>
          <w:p>
            <w:r>
              <w:t xml:space="preserve">A — Input, Validation &amp; Execution</w:t>
            </w:r>
          </w:p>
        </w:tc>
        <w:tc>
          <w:tcPr>
            <w:tcW w:type="dxa" w:w="3200"/>
          </w:tcPr>
          <w:p>
            <w:r>
              <w:t xml:space="preserve">FR1, FR3–FR7</w:t>
            </w:r>
          </w:p>
        </w:tc>
        <w:tc>
          <w:tcPr>
            <w:tcW w:type="dxa" w:w="3000"/>
          </w:tcPr>
          <w:p>
            <w:r>
              <w:t xml:space="preserve">ADR-1, ADR-3, ADR-4</w:t>
            </w:r>
          </w:p>
        </w:tc>
      </w:tr>
      <w:tr>
        <w:tc>
          <w:tcPr>
            <w:tcW w:type="dxa" w:w="3160"/>
          </w:tcPr>
          <w:p>
            <w:r>
              <w:t xml:space="preserve">B — Visualization &amp; Multi-File Rendering</w:t>
            </w:r>
          </w:p>
        </w:tc>
        <w:tc>
          <w:tcPr>
            <w:tcW w:type="dxa" w:w="3200"/>
          </w:tcPr>
          <w:p>
            <w:r>
              <w:t xml:space="preserve">FR2, FR8–FR11</w:t>
            </w:r>
          </w:p>
        </w:tc>
        <w:tc>
          <w:tcPr>
            <w:tcW w:type="dxa" w:w="3000"/>
          </w:tcPr>
          <w:p>
            <w:r>
              <w:t xml:space="preserve">ADR-3, ADR-5, ADR-6</w:t>
            </w:r>
          </w:p>
        </w:tc>
      </w:tr>
      <w:tr>
        <w:tc>
          <w:tcPr>
            <w:tcW w:type="dxa" w:w="3160"/>
          </w:tcPr>
          <w:p>
            <w:r>
              <w:t xml:space="preserve">C — Audio, Playback &amp; Integration</w:t>
            </w:r>
          </w:p>
        </w:tc>
        <w:tc>
          <w:tcPr>
            <w:tcW w:type="dxa" w:w="3200"/>
          </w:tcPr>
          <w:p>
            <w:r>
              <w:t xml:space="preserve">FR12–FR17</w:t>
            </w:r>
          </w:p>
        </w:tc>
        <w:tc>
          <w:tcPr>
            <w:tcW w:type="dxa" w:w="3000"/>
          </w:tcPr>
          <w:p>
            <w:r>
              <w:t xml:space="preserve">ADR-2, ADR-4, ADR-5, ADR-6</w:t>
            </w:r>
          </w:p>
        </w:tc>
      </w:tr>
    </w:tbl>
    <w:p>
      <w:pPr>
        <w:pStyle w:val="Heading1"/>
        <w:spacing w:after="200" w:before="400"/>
      </w:pPr>
      <w:r>
        <w:t xml:space="preserve">6. Open Items</w:t>
      </w:r>
    </w:p>
    <w:p>
      <w:pPr>
        <w:pStyle w:val="ListParagraph"/>
        <w:numPr>
          <w:ilvl w:val="0"/>
          <w:numId w:val="1"/>
        </w:numPr>
        <w:spacing w:after="80"/>
      </w:pPr>
      <w:r>
        <w:t xml:space="preserve">Exact granularity of CodeElement (class-level vs. method-level) to finalize before UML/ERD are drawn.</w:t>
      </w:r>
    </w:p>
    <w:p>
      <w:pPr>
        <w:pStyle w:val="ListParagraph"/>
        <w:numPr>
          <w:ilvl w:val="0"/>
          <w:numId w:val="1"/>
        </w:numPr>
        <w:spacing w:after="80"/>
      </w:pPr>
      <w:r>
        <w:t xml:space="preserve">Final enumeration of EventType values, to be locked once Module A's proof-of-concept confirms what JDI can reliably capture.</w:t>
      </w:r>
    </w:p>
    <w:p>
      <w:pPr>
        <w:pStyle w:val="ListParagraph"/>
        <w:numPr>
          <w:ilvl w:val="0"/>
          <w:numId w:val="1"/>
        </w:numPr>
        <w:spacing w:after="80"/>
      </w:pPr>
      <w:r>
        <w:t xml:space="preserve">Frequency/timbre mapping design for ToneGenerator (functionally deterministic already; aesthetic tuning pending).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2026-09-10T08:22:12.764Z</dcterms:created>
  <dcterms:modified xsi:type="dcterms:W3CDTF">2026-09-10T08:22:12.764Z</dcterms:modified>
</cp:coreProperties>
</file>

<file path=docProps/custom.xml><?xml version="1.0" encoding="utf-8"?>
<Properties xmlns="http://schemas.openxmlformats.org/officeDocument/2006/custom-properties" xmlns:vt="http://schemas.openxmlformats.org/officeDocument/2006/docPropsVTypes"/>
</file>