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GROUP 13- Rudrani Sakhare, Sophie Deveikis, Mohammad Al Najjar.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Executive Summary: This data provides insights into H-1B applications and their approval rates, highlighting various companies, their sponsorship practices, and wage trends across different industries and states.Access to the Server:</w:t>
      </w:r>
    </w:p>
    <w:p w:rsidR="00000000" w:rsidDel="00000000" w:rsidP="00000000" w:rsidRDefault="00000000" w:rsidRPr="00000000" w14:paraId="00000003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User: prof_luis  Password: 12345  Hostname: hult-13.mysql.database.azure.com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337207</wp:posOffset>
            </wp:positionV>
            <wp:extent cx="1138238" cy="12573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276225</wp:posOffset>
            </wp:positionV>
            <wp:extent cx="2667000" cy="1373516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73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BASED ON THE DATA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Analysis: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State-wise analysis of H1b Applications shows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Total applications, Approved and Denied Cases. Illustrating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prevalence of H-1B sponsorship and the varying approval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rates across states.      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Recommendation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The states mentioned above are the top 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for H1Visa applications you can also look at states such as Florida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and Arizona For Healthcare, Manufacturing, and Microchip Industry.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(Refer for more State related Info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state rankings for jobs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Analysis: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Top 10 employers with the Number of H1B Sponsorships from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4495800</wp:posOffset>
            </wp:positionH>
            <wp:positionV relativeFrom="paragraph">
              <wp:posOffset>238125</wp:posOffset>
            </wp:positionV>
            <wp:extent cx="2724150" cy="12606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60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data available from 2022 &amp; 2024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Recommendation: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Target high-sponsorship employers like Google and Tata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Consultancy for H1B opportunities, focusing on companies offering competitive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wages such as LinkedIn and Adobe. Enhance skill development aligned with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industry demands to increase employability and advocate for streamlined company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sponsorship processes.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Hypothesis: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Democrat States have a higher Living Cost Index than Republican States.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5067300</wp:posOffset>
            </wp:positionH>
            <wp:positionV relativeFrom="paragraph">
              <wp:posOffset>200025</wp:posOffset>
            </wp:positionV>
            <wp:extent cx="2447925" cy="132397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Null-Hypothesis: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There is no difference in the Living Cost Index between Democratic and Republican </w:t>
      </w:r>
    </w:p>
    <w:p w:rsidR="00000000" w:rsidDel="00000000" w:rsidP="00000000" w:rsidRDefault="00000000" w:rsidRPr="00000000" w14:paraId="00000019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states.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Alternative Hypothesis: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Democratic States do have higher Living Cost Index and better affordability than</w:t>
      </w:r>
    </w:p>
    <w:p w:rsidR="00000000" w:rsidDel="00000000" w:rsidP="00000000" w:rsidRDefault="00000000" w:rsidRPr="00000000" w14:paraId="0000001B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Republican states </w:t>
      </w:r>
    </w:p>
    <w:p w:rsidR="00000000" w:rsidDel="00000000" w:rsidP="00000000" w:rsidRDefault="00000000" w:rsidRPr="00000000" w14:paraId="0000001C">
      <w:pPr>
        <w:spacing w:line="240" w:lineRule="auto"/>
        <w:ind w:left="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Analysis: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West Virginia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(0.0052)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18"/>
          <w:szCs w:val="18"/>
          <w:rtl w:val="0"/>
        </w:rPr>
        <w:t xml:space="preserve">Maine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(0.0066)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Washington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(0.0075)</w:t>
      </w:r>
    </w:p>
    <w:p w:rsidR="00000000" w:rsidDel="00000000" w:rsidP="00000000" w:rsidRDefault="00000000" w:rsidRPr="00000000" w14:paraId="0000001E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have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lowest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Living Cost Index, indicating high affordability relative to wages, </w:t>
      </w:r>
    </w:p>
    <w:p w:rsidR="00000000" w:rsidDel="00000000" w:rsidP="00000000" w:rsidRDefault="00000000" w:rsidRPr="00000000" w14:paraId="0000001F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Alaska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(0.0140)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8"/>
          <w:szCs w:val="18"/>
          <w:rtl w:val="0"/>
        </w:rPr>
        <w:t xml:space="preserve">Wyoming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(0.0129)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Utah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(0.0127)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higher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cost</w:t>
      </w:r>
    </w:p>
    <w:p w:rsidR="00000000" w:rsidDel="00000000" w:rsidP="00000000" w:rsidRDefault="00000000" w:rsidRPr="00000000" w14:paraId="00000020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of living compared to wages.</w:t>
      </w:r>
    </w:p>
    <w:p w:rsidR="00000000" w:rsidDel="00000000" w:rsidP="00000000" w:rsidRDefault="00000000" w:rsidRPr="00000000" w14:paraId="00000021">
      <w:pPr>
        <w:spacing w:line="240" w:lineRule="auto"/>
        <w:ind w:left="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180" w:right="-117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Conclusion: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The analysis failed to reject the null hypothesis, indicating no significant difference in Living Cost Index and affordability between Democratic and Republican states.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Hypothesis: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 H-1B visa holder earning $80,000 might save $56,000 per year in low-cost areas with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living expenses of $24,000(calculated at 30% of income). This is computed by multiplying $80,000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4981575</wp:posOffset>
            </wp:positionH>
            <wp:positionV relativeFrom="paragraph">
              <wp:posOffset>116216</wp:posOffset>
            </wp:positionV>
            <wp:extent cx="2533650" cy="1661065"/>
            <wp:effectExtent b="0" l="0" r="0" t="0"/>
            <wp:wrapNone/>
            <wp:docPr descr="Chart" id="3" name="image4.png"/>
            <a:graphic>
              <a:graphicData uri="http://schemas.openxmlformats.org/drawingml/2006/picture">
                <pic:pic>
                  <pic:nvPicPr>
                    <pic:cNvPr descr="Chart" id="0" name="image4.png"/>
                    <pic:cNvPicPr preferRelativeResize="0"/>
                  </pic:nvPicPr>
                  <pic:blipFill>
                    <a:blip r:embed="rId11"/>
                    <a:srcRect b="0" l="-3649" r="36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6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by 0.3 expenditures and subtracting the result from total income. In high-cost states, where living expenses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are predicted to be 50% of income (or $40,000) savings fall to $40,000. This approach demonstrates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how living expenses, expressed as a proportion of income, have a significant impact on financial stability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and savings capacity.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Null Hypothesis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(H0): Based on the cost of living in various states, there are no appreciable variations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 the financial Circumstances and standard of living of H-1B visa holders.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Alternative Hypothesis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(H1): In states where living expenses are lower than average income, H-1B visa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holders have better financial circumstances and a higher standard of living.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In low-cost states, holders of H-1B visas can save around $56,000 a year, while in high-cost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states, they can save $40,000 a year. This illustrates how living expenses have a direct influence on their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ability to save money and their standard of living, making the cost of living an important consideration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7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when deciding where to live and work.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-117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right="-117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Recommendation: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right="-117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Skill Development: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Continuously build your tech and data analysis skills through relevant certifications. Stay updated on emerging tools and trends, and aim to specialize in a high-impact area to stand out.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right="-117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Political Awareness: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Track state-specific political climates, as Democratic-led states typically have higher H1B certification rates and wages, indicating more favorable support for H1B holders.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right="-117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Leverage F1 Status: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Use Optional Practical Training (OPT) opportunities effectively to gain U.S.-based experience in your field. Engaging in internships or work experiences under OPT not only strengthens your skills but also increases your chances of H1B sponsorship by a future employer.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right="-117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Network Strategically: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Connect with alumni, industry professionals, and career centers to build relationships in your target states and industries. Networking is often key to finding companies open to H1B sponsorships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right="-117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Build Industry Knowledge: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Focus on analytics applications in sectors like finance, healthcare, or retail (e.g., risk analysis, consumer insights) to align with industry needs and boost employer appeal.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right="-1170" w:hanging="360"/>
        <w:rPr>
          <w:rFonts w:ascii="Times New Roman" w:cs="Times New Roman" w:eastAsia="Times New Roman" w:hAnsi="Times New Roman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Target Key States and Companies with High H1B Sponsorship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Focus on high-certification states (California, New York, Washington, and New Jersey) and seek companies with strong H1B sponsorship histories in data-driven industries like tech, finance, and healthcare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right="-117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line="240" w:lineRule="auto"/>
        <w:ind w:left="0" w:right="-117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References: United States Joint Economic Committee.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Massachusetts inflation update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 Retrieved November 3, 2024, from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12"/>
            <w:szCs w:val="12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2"/>
            <w:szCs w:val="12"/>
            <w:u w:val="single"/>
            <w:rtl w:val="0"/>
          </w:rPr>
          <w:t xml:space="preserve">https://www.jec.senate.gov/public/index.cfm/republicans/massachusetts-inflation-report/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-180" w:right="-1170" w:firstLine="0"/>
        <w:rPr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     Ballotpedia.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2"/>
          <w:szCs w:val="12"/>
          <w:rtl w:val="0"/>
        </w:rPr>
        <w:t xml:space="preserve">Party affiliation of the mayors of the 100 largest cities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. Retrieved November 3, 2024, from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12"/>
            <w:szCs w:val="12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2"/>
            <w:szCs w:val="12"/>
            <w:u w:val="single"/>
            <w:rtl w:val="0"/>
          </w:rPr>
          <w:t xml:space="preserve">http://ballotpedia.org/Party_afillation_of_the_mayors_of_the_100_largest_citie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0" w:top="180" w:left="1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yperlink" Target="https://www.jec.senate.gov/public/index.cfm/republicans/massachusetts-inflation-report/" TargetMode="External"/><Relationship Id="rId12" Type="http://schemas.openxmlformats.org/officeDocument/2006/relationships/hyperlink" Target="https://www.jec.senate.gov/public/index.cfm/republicans/massachusetts-inflation-repor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ballotpedia.org/Party_afillation_of_the_mayors_of_the_100_largest_cities" TargetMode="External"/><Relationship Id="rId14" Type="http://schemas.openxmlformats.org/officeDocument/2006/relationships/hyperlink" Target="http://ballotpedia.org/Party_afillation_of_the_mayors_of_the_100_largest_cities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www.usnews.com/news/best-states/rankings/economy/employment/job-grow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