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60" w:before="1200"/>
        <w:jc w:val="center"/>
      </w:pPr>
      <w:r>
        <w:rPr>
          <w:rFonts w:ascii="Times New Roman" w:cs="Times New Roman" w:eastAsia="SimSun" w:hAnsi="Times New Roman"/>
          <w:b/>
          <w:bCs/>
          <w:color w:val="263238"/>
          <w:sz w:val="36"/>
          <w:szCs w:val="36"/>
        </w:rPr>
        <w:t xml:space="preserve">Privacy-Preserving Multimodal Biometric Authentication Using Cancelable Templates: Performance, Revocability, Unlinkability, and Empirical Reconstruction Analysis</w:t>
      </w:r>
    </w:p>
    <w:p>
      <w:pPr>
        <w:spacing w:after="480"/>
        <w:jc w:val="center"/>
      </w:pPr>
      <w:r>
        <w:rPr>
          <w:rFonts w:ascii="Times New Roman" w:cs="Times New Roman" w:eastAsia="SimSun" w:hAnsi="Times New Roman"/>
          <w:i/>
          <w:iCs/>
          <w:color w:val="37474F"/>
          <w:sz w:val="24"/>
          <w:szCs w:val="24"/>
        </w:rPr>
        <w:t xml:space="preserve">A research-prototype study of key-dependent chaotic projections over fused face and fingerprint embeddings, with an empirical evaluation of accuracy, revocation, unlinkability, and reconstruction under key compromise</w:t>
      </w:r>
    </w:p>
    <w:p>
      <w:pPr>
        <w:spacing w:after="40"/>
        <w:jc w:val="center"/>
      </w:pPr>
      <w:r>
        <w:rPr>
          <w:rFonts w:ascii="Times New Roman" w:cs="Times New Roman" w:eastAsia="SimSun" w:hAnsi="Times New Roman"/>
          <w:b/>
          <w:bCs/>
          <w:sz w:val="24"/>
          <w:szCs w:val="24"/>
        </w:rPr>
        <w:t xml:space="preserve">Rudransh D.</w:t>
      </w:r>
    </w:p>
    <w:p>
      <w:pPr>
        <w:spacing w:after="360"/>
        <w:jc w:val="center"/>
      </w:pPr>
      <w:r>
        <w:rPr>
          <w:rFonts w:ascii="Times New Roman" w:cs="Times New Roman" w:eastAsia="SimSun" w:hAnsi="Times New Roman"/>
          <w:color w:val="8C4A32"/>
          <w:sz w:val="20"/>
          <w:szCs w:val="20"/>
        </w:rPr>
        <w:t xml:space="preserve">[Full legal name, department, institution, and contact email to be inserted by the author before submission]</w:t>
      </w:r>
    </w:p>
    <w:p>
      <w:pPr>
        <w:spacing w:after="40"/>
        <w:jc w:val="center"/>
      </w:pPr>
      <w:r>
        <w:rPr>
          <w:rFonts w:ascii="Times New Roman" w:cs="Times New Roman" w:eastAsia="SimSun" w:hAnsi="Times New Roman"/>
          <w:sz w:val="20"/>
          <w:szCs w:val="20"/>
        </w:rPr>
        <w:t xml:space="preserve">Manuscript v3.0 (review-corrected draft) — October 2026</w:t>
      </w:r>
    </w:p>
    <w:p>
      <w:pPr>
        <w:spacing w:after="480"/>
        <w:jc w:val="center"/>
      </w:pPr>
      <w:r>
        <w:rPr>
          <w:rFonts w:ascii="Times New Roman" w:cs="Times New Roman" w:eastAsia="SimSun" w:hAnsi="Times New Roman"/>
          <w:sz w:val="20"/>
          <w:szCs w:val="20"/>
        </w:rPr>
        <w:t xml:space="preserve">Implementation artifact: https://github.com/RudranshD24/ZK-CaMBio-Project</w:t>
      </w:r>
    </w:p>
    <w:p>
      <w:pPr>
        <w:spacing w:after="80" w:before="240"/>
      </w:pPr>
      <w:r>
        <w:rPr>
          <w:rFonts w:ascii="Times New Roman" w:cs="Times New Roman" w:eastAsia="SimSun" w:hAnsi="Times New Roman"/>
          <w:b/>
          <w:bCs/>
          <w:color w:val="263238"/>
          <w:sz w:val="20"/>
          <w:szCs w:val="20"/>
        </w:rPr>
        <w:t xml:space="preserve">How to read the citation markers in this manuscript</w:t>
      </w:r>
    </w:p>
    <w:p>
      <w:pPr>
        <w:spacing w:after="120"/>
        <w:jc w:val="both"/>
      </w:pPr>
      <w:r>
        <w:rPr>
          <w:rFonts w:ascii="Times New Roman" w:cs="Times New Roman" w:eastAsia="SimSun" w:hAnsi="Times New Roman"/>
          <w:color w:val="37474F"/>
          <w:sz w:val="18"/>
          <w:szCs w:val="18"/>
        </w:rPr>
        <w:t xml:space="preserve">Numbered citations [1]–[20] refer to the reference list at the end of this paper; each of those entries was checked against a publisher, arXiv, or standards listing during preparation. Markers of the form [V1]–[V31] identify candidate references whose bibliographic details have not yet been verified; they are listed in full in the section “References Pending Verification” and in the companion file VERIFY_LIST.md, and must be confirmed or removed before submission. All experimental numbers in this paper are reported results taken from the project’s evaluation artifacts and technical documentation; they were not independently re-executed during the preparation of this manuscript (see Section 12).</w:t>
      </w:r>
    </w:p>
    <w:p>
      <w:r>
        <w:br w:type="page"/>
      </w:r>
    </w:p>
    <w:p>
      <w:pPr>
        <w:pStyle w:val="Heading1"/>
        <w:spacing w:after="160" w:before="240"/>
      </w:pPr>
      <w:r>
        <w:rPr>
          <w:rFonts w:ascii="Times New Roman" w:cs="Times New Roman" w:eastAsia="SimSun" w:hAnsi="Times New Roman"/>
          <w:b/>
          <w:bCs/>
          <w:color w:val="263238"/>
          <w:sz w:val="28"/>
          <w:szCs w:val="28"/>
        </w:rPr>
        <w:t xml:space="preserve">Contents</w:t>
      </w:r>
    </w:p>
    <w:p>
      <w:pPr>
        <w:spacing w:after="120"/>
      </w:pPr>
      <w:r>
        <w:rPr>
          <w:rFonts w:ascii="Times New Roman" w:cs="Times New Roman" w:eastAsia="SimSun" w:hAnsi="Times New Roman"/>
          <w:i/>
          <w:iCs/>
          <w:color w:val="78909C"/>
          <w:sz w:val="18"/>
          <w:szCs w:val="18"/>
        </w:rPr>
        <w:t xml:space="preserve">Right-click the table of contents and choose “Update Field” to refresh page numbers.</w:t>
      </w:r>
    </w:p>
    <w:sdt xmlns:w="http://schemas.openxmlformats.org/wordprocessingml/2006/main">
      <w:sdtPr>
        <w:alias w:val="Contents"/>
      </w:sdtPr>
      <w:sdtContent>
        <w:p>
          <w:r>
            <w:fldChar w:fldCharType="begin" w:dirty="true"/>
            <w:instrText xml:space="preserve"> TOC \o "1-2" \h \z \u </w:instrText>
            <w:fldChar w:fldCharType="separate"/>
          </w:r>
        </w:p>
        <w:p>
          <w:pPr>
            <w:pStyle w:val="TOC1"/>
            <w:tabs>
              <w:tab w:val="right" w:leader="dot" w:pos="9000"/>
            </w:tabs>
            <w:ind w:left="0"/>
          </w:pPr>
          <w:r>
            <w:t>Abstract</w:t>
          </w:r>
          <w:r>
            <w:tab/>
          </w:r>
          <w:r>
            <w:t>3</w:t>
          </w:r>
        </w:p>
        <w:p>
          <w:pPr>
            <w:pStyle w:val="TOC1"/>
            <w:tabs>
              <w:tab w:val="right" w:leader="dot" w:pos="9000"/>
            </w:tabs>
            <w:ind w:left="0"/>
          </w:pPr>
          <w:r>
            <w:t>1. Introduction</w:t>
          </w:r>
          <w:r>
            <w:tab/>
          </w:r>
          <w:r>
            <w:t>4</w:t>
          </w:r>
        </w:p>
        <w:p>
          <w:pPr>
            <w:pStyle w:val="TOC1"/>
            <w:tabs>
              <w:tab w:val="right" w:leader="dot" w:pos="9000"/>
            </w:tabs>
            <w:ind w:left="0"/>
          </w:pPr>
          <w:r>
            <w:t>2. Related Work</w:t>
          </w:r>
          <w:r>
            <w:tab/>
          </w:r>
          <w:r>
            <w:t>7</w:t>
          </w:r>
        </w:p>
        <w:p>
          <w:pPr>
            <w:pStyle w:val="TOC1"/>
            <w:tabs>
              <w:tab w:val="right" w:leader="dot" w:pos="9000"/>
            </w:tabs>
            <w:ind w:left="0"/>
          </w:pPr>
          <w:r>
            <w:t>3. Preliminaries, Notation, and Threat Model</w:t>
          </w:r>
          <w:r>
            <w:tab/>
          </w:r>
          <w:r>
            <w:t>11</w:t>
          </w:r>
        </w:p>
        <w:p>
          <w:pPr>
            <w:pStyle w:val="TOC1"/>
            <w:tabs>
              <w:tab w:val="right" w:leader="dot" w:pos="9000"/>
            </w:tabs>
            <w:ind w:left="0"/>
          </w:pPr>
          <w:r>
            <w:t>4. Method: The ZK-CaMBio Transformation Pipeline</w:t>
          </w:r>
          <w:r>
            <w:tab/>
          </w:r>
          <w:r>
            <w:t>14</w:t>
          </w:r>
        </w:p>
        <w:p>
          <w:pPr>
            <w:pStyle w:val="TOC1"/>
            <w:tabs>
              <w:tab w:val="right" w:leader="dot" w:pos="9000"/>
            </w:tabs>
            <w:ind w:left="0"/>
          </w:pPr>
          <w:r>
            <w:t>5. Dataset and Experimental Protocol</w:t>
          </w:r>
          <w:r>
            <w:tab/>
          </w:r>
          <w:r>
            <w:t>18</w:t>
          </w:r>
        </w:p>
        <w:p>
          <w:pPr>
            <w:pStyle w:val="TOC1"/>
            <w:tabs>
              <w:tab w:val="right" w:leader="dot" w:pos="9000"/>
            </w:tabs>
            <w:ind w:left="0"/>
          </w:pPr>
          <w:r>
            <w:t>6. Results I: Recognition Performance</w:t>
          </w:r>
          <w:r>
            <w:tab/>
          </w:r>
          <w:r>
            <w:t>21</w:t>
          </w:r>
        </w:p>
        <w:p>
          <w:pPr>
            <w:pStyle w:val="TOC1"/>
            <w:tabs>
              <w:tab w:val="right" w:leader="dot" w:pos="9000"/>
            </w:tabs>
            <w:ind w:left="0"/>
          </w:pPr>
          <w:r>
            <w:t>7. Results II: Revocability and Unlinkability</w:t>
          </w:r>
          <w:r>
            <w:tab/>
          </w:r>
          <w:r>
            <w:t>24</w:t>
          </w:r>
        </w:p>
        <w:p>
          <w:pPr>
            <w:pStyle w:val="TOC1"/>
            <w:tabs>
              <w:tab w:val="right" w:leader="dot" w:pos="9000"/>
            </w:tabs>
            <w:ind w:left="0"/>
          </w:pPr>
          <w:r>
            <w:t>8. Security and Adversarial Analysis</w:t>
          </w:r>
          <w:r>
            <w:tab/>
          </w:r>
          <w:r>
            <w:t>26</w:t>
          </w:r>
        </w:p>
        <w:p>
          <w:pPr>
            <w:pStyle w:val="TOC1"/>
            <w:tabs>
              <w:tab w:val="right" w:leader="dot" w:pos="9000"/>
            </w:tabs>
            <w:ind w:left="0"/>
          </w:pPr>
          <w:r>
            <w:t>9. Discussion</w:t>
          </w:r>
          <w:r>
            <w:tab/>
          </w:r>
          <w:r>
            <w:t>29</w:t>
          </w:r>
        </w:p>
        <w:p>
          <w:pPr>
            <w:pStyle w:val="TOC1"/>
            <w:tabs>
              <w:tab w:val="right" w:leader="dot" w:pos="9000"/>
            </w:tabs>
            <w:ind w:left="0"/>
          </w:pPr>
          <w:r>
            <w:t>10. Limitations</w:t>
          </w:r>
          <w:r>
            <w:tab/>
          </w:r>
          <w:r>
            <w:t>31</w:t>
          </w:r>
        </w:p>
        <w:p>
          <w:pPr>
            <w:pStyle w:val="TOC1"/>
            <w:tabs>
              <w:tab w:val="right" w:leader="dot" w:pos="9000"/>
            </w:tabs>
            <w:ind w:left="0"/>
          </w:pPr>
          <w:r>
            <w:t>11. Conclusion and Future Work</w:t>
          </w:r>
          <w:r>
            <w:tab/>
          </w:r>
          <w:r>
            <w:t>32</w:t>
          </w:r>
        </w:p>
        <w:p>
          <w:pPr>
            <w:pStyle w:val="TOC1"/>
            <w:tabs>
              <w:tab w:val="right" w:leader="dot" w:pos="9000"/>
            </w:tabs>
            <w:ind w:left="0"/>
          </w:pPr>
          <w:r>
            <w:t>12. Reproducibility, Data Availability, and Ethics</w:t>
          </w:r>
          <w:r>
            <w:tab/>
          </w:r>
          <w:r>
            <w:t>33</w:t>
          </w:r>
        </w:p>
        <w:p>
          <w:pPr>
            <w:pStyle w:val="TOC1"/>
            <w:tabs>
              <w:tab w:val="right" w:leader="dot" w:pos="9000"/>
            </w:tabs>
            <w:ind w:left="0"/>
          </w:pPr>
          <w:r>
            <w:t>References</w:t>
          </w:r>
          <w:r>
            <w:tab/>
          </w:r>
          <w:r>
            <w:t>34</w:t>
          </w:r>
        </w:p>
        <w:p>
          <w:pPr>
            <w:pStyle w:val="TOC1"/>
            <w:tabs>
              <w:tab w:val="right" w:leader="dot" w:pos="9000"/>
            </w:tabs>
            <w:ind w:left="0"/>
          </w:pPr>
          <w:r>
            <w:t>References Pending Verification</w:t>
          </w:r>
          <w:r>
            <w:tab/>
          </w:r>
          <w:r>
            <w:t>35</w:t>
          </w:r>
        </w:p>
        <w:p>
          <w:pPr>
            <w:pStyle w:val="TOC1"/>
            <w:tabs>
              <w:tab w:val="right" w:leader="dot" w:pos="9000"/>
            </w:tabs>
            <w:ind w:left="0"/>
          </w:pPr>
          <w:r>
            <w:t>Appendix A. Derivation Details and Worked Example</w:t>
          </w:r>
          <w:r>
            <w:tab/>
          </w:r>
          <w:r>
            <w:t>36</w:t>
          </w:r>
        </w:p>
        <w:p>
          <w:pPr>
            <w:pStyle w:val="TOC1"/>
            <w:tabs>
              <w:tab w:val="right" w:leader="dot" w:pos="9000"/>
            </w:tabs>
            <w:ind w:left="0"/>
          </w:pPr>
          <w:r>
            <w:t>Appendix B. Planned Experiments (E1–E7)</w:t>
          </w:r>
          <w:r>
            <w:tab/>
          </w:r>
          <w:r>
            <w:t>37</w:t>
          </w:r>
        </w:p>
        <w:p>
          <w:pPr>
            <w:pStyle w:val="TOC1"/>
            <w:tabs>
              <w:tab w:val="right" w:leader="dot" w:pos="9000"/>
            </w:tabs>
            <w:ind w:left="0"/>
          </w:pPr>
          <w:r>
            <w:t>Appendix C. Author-Verification Checklist</w:t>
          </w:r>
          <w:r>
            <w:tab/>
          </w:r>
          <w:r>
            <w:t>38</w:t>
          </w:r>
        </w:p>
        <w:p>
          <w:r>
            <w:fldChar w:fldCharType="end"/>
          </w:r>
        </w:p>
      </w:sdtContent>
    </w:sdt>
    <w:p>
      <w:r>
        <w:br w:type="page"/>
      </w:r>
    </w:p>
    <w:p>
      <w:pPr>
        <w:pStyle w:val="Heading1"/>
        <w:spacing w:after="160" w:before="320"/>
      </w:pPr>
      <w:r>
        <w:rPr>
          <w:rFonts w:ascii="Times New Roman" w:cs="Times New Roman" w:eastAsia="SimSun" w:hAnsi="Times New Roman"/>
          <w:b/>
          <w:bCs/>
          <w:color w:val="263238"/>
          <w:sz w:val="28"/>
          <w:szCs w:val="28"/>
        </w:rPr>
        <w:t xml:space="preserve">Abstract</w:t>
      </w:r>
    </w:p>
    <w:p>
      <w:pPr>
        <w:spacing w:after="120" w:line="276"/>
        <w:ind w:firstLine="431"/>
        <w:jc w:val="both"/>
      </w:pPr>
      <w:r>
        <w:rPr>
          <w:rFonts w:ascii="Times New Roman" w:cs="Times New Roman" w:eastAsia="SimSun" w:hAnsi="Times New Roman"/>
          <w:sz w:val="22"/>
          <w:szCs w:val="22"/>
        </w:rPr>
        <w:t xml:space="preserve">Centralized databases of raw biometric credentials pose a structural security risk: unlike passwords or cryptographic keys, compromised biological traits cannot be revoked or reissued. This paper presents ZK-CaMBio, a research prototype for privacy-preserving multimodal biometric authentication built around key-dependent cancelable templates. Deep facial embeddings (InceptionResnetV1, 512 dimensions) and convolutional fingerprint embeddings (FingerResNet18 V2, 256 dimensions) are combined by weighted feature-level concatenation (w = 0.60, 768 dimensions) and mapped to a 512-bit binary template by an integer-quantized, key-dependent chaotic projection engine implemented in deterministic C++17. The term “zero-knowledge” is used here strictly as a data-at-rest property — no raw biometric samples, no floating-point embeddings, and (in user-secret mode) no key material are stored on the server; no cryptographic zero-knowledge proof system is implemented. On 120 chimeric test subjects evaluated under within-sensor Protocol D-009 (14,040 impostor comparisons), the reported cancelable-system Equal Error Rate (EER) is 1.29% ± 0.23% at m = 512 bits, against a reported unprotected fusion baseline of 1.11% (95% CI [0.29, 1.66]%). The paired bootstrap difference at the EER point is +0.213% (95% CI [−0.135, +0.688]%); the interval includes zero, and with 120 test subjects differences of up to about 0.7 points cannot be excluded. Reported revocation rejects retired templates completely (a result that follows largely by construction) while genuine matching is restored after key rollover (FNMR 1.67%). Score-based cross-service unlinkability is close to zero when keys are secret (D_sys = 0.0245) and collapses when keys are known (D_sys = 0.9649). Under key compromise, a learned linear decoder reconstructs fused embeddings with a reported centered cosine similarity of 0.9335 ± 0.0115 and 100% replay success against the victim’s unprotected account. The security of the construction therefore rests on key secrecy, not on the one-wayness of binarized random projection. All numerical results are reported results from the project’s artifacts; the evaluation uses chimeric (virtually paired) subjects, a methodological limitation we disclose and discuss.</w:t>
      </w:r>
    </w:p>
    <w:p>
      <w:pPr>
        <w:spacing w:after="120" w:line="276"/>
        <w:jc w:val="both"/>
      </w:pPr>
      <w:r>
        <w:rPr>
          <w:rFonts w:ascii="Times New Roman" w:cs="Times New Roman" w:eastAsia="SimSun" w:hAnsi="Times New Roman"/>
          <w:b/>
          <w:bCs/>
          <w:sz w:val="22"/>
          <w:szCs w:val="22"/>
        </w:rPr>
        <w:t xml:space="preserve">Keywords—</w:t>
      </w:r>
      <w:r>
        <w:rPr>
          <w:rFonts w:ascii="Times New Roman" w:cs="Times New Roman" w:eastAsia="SimSun" w:hAnsi="Times New Roman"/>
          <w:sz w:val="22"/>
          <w:szCs w:val="22"/>
        </w:rPr>
        <w:t xml:space="preserve">Cancelable biometrics, biometric template protection, multimodal fusion, random projections, chaotic systems, revocability, unlinkability, template inversion, ISO/IEC 30136.</w:t>
      </w:r>
    </w:p>
    <w:p>
      <w:pPr>
        <w:pStyle w:val="Heading1"/>
        <w:spacing w:after="160" w:before="320"/>
      </w:pPr>
      <w:r>
        <w:rPr>
          <w:rFonts w:ascii="Times New Roman" w:cs="Times New Roman" w:eastAsia="SimSun" w:hAnsi="Times New Roman"/>
          <w:b/>
          <w:bCs/>
          <w:color w:val="263238"/>
          <w:sz w:val="28"/>
          <w:szCs w:val="28"/>
        </w:rPr>
        <w:t xml:space="preserve">1. Introduction</w:t>
      </w:r>
    </w:p>
    <w:p>
      <w:pPr>
        <w:pStyle w:val="Heading2"/>
        <w:spacing w:after="120" w:before="240"/>
      </w:pPr>
      <w:r>
        <w:rPr>
          <w:rFonts w:ascii="Times New Roman" w:cs="Times New Roman" w:eastAsia="SimSun" w:hAnsi="Times New Roman"/>
          <w:b/>
          <w:bCs/>
          <w:color w:val="263238"/>
          <w:sz w:val="24"/>
          <w:szCs w:val="24"/>
        </w:rPr>
        <w:t xml:space="preserve">1.1 Context and Problem Statement</w:t>
      </w:r>
    </w:p>
    <w:p>
      <w:pPr>
        <w:spacing w:after="120" w:line="276"/>
        <w:ind w:firstLine="431"/>
        <w:jc w:val="both"/>
      </w:pPr>
      <w:r>
        <w:rPr>
          <w:rFonts w:ascii="Times New Roman" w:cs="Times New Roman" w:eastAsia="SimSun" w:hAnsi="Times New Roman"/>
          <w:sz w:val="22"/>
          <w:szCs w:val="22"/>
        </w:rPr>
        <w:t xml:space="preserve">Biometric recognition — automated face identification, fingerprint verification, iris scanning — has become a standard mechanism for identity assertion and access control [1], [V9]. Its core premise is the binding of a digital identity to physical or behavioral characteristics that cannot be forgotten, lost, or casually shared. That same premise creates an equally fundamental vulnerability: biometric identifiers are immutable. When a password or private key is exfiltrated, the compromised secret can be revoked and replaced. When a database of raw face images, fingerprint minutiae, or unquantized deep feature embeddings is breached, the affected users face permanent exposure, because the same biological trait is typically enrolled across many services [1], [2], [V7].</w:t>
      </w:r>
    </w:p>
    <w:p>
      <w:pPr>
        <w:spacing w:after="120" w:line="276"/>
        <w:ind w:firstLine="431"/>
        <w:jc w:val="both"/>
      </w:pPr>
      <w:r>
        <w:rPr>
          <w:rFonts w:ascii="Times New Roman" w:cs="Times New Roman" w:eastAsia="SimSun" w:hAnsi="Times New Roman"/>
          <w:sz w:val="22"/>
          <w:szCs w:val="22"/>
        </w:rPr>
        <w:t xml:space="preserve">Biometric template protection (BTP) addresses this dilemma by storing, in place of the raw trait, a transformed representation from which the original biometric is intended to be difficult to recover [1], [2]. The property requirements of such schemes — irreversibility, unlinkability, and renewability (revocability) — are articulated in ISO/IEC 24745 [V1], while ISO/IEC 30136 specifies how the performance of template protection schemes should be tested and reported [3]. Throughout this paper we use “revocability,” “unlinkability,” and “irreversibility” in the ISO/IEC 24745 sense, and we treat ISO/IEC 30136 as evaluation guidance rather than as a source of pass/fail metrics.</w:t>
      </w:r>
    </w:p>
    <w:p>
      <w:pPr>
        <w:pStyle w:val="Heading2"/>
        <w:spacing w:after="120" w:before="240"/>
      </w:pPr>
      <w:r>
        <w:rPr>
          <w:rFonts w:ascii="Times New Roman" w:cs="Times New Roman" w:eastAsia="SimSun" w:hAnsi="Times New Roman"/>
          <w:b/>
          <w:bCs/>
          <w:color w:val="263238"/>
          <w:sz w:val="24"/>
          <w:szCs w:val="24"/>
        </w:rPr>
        <w:t xml:space="preserve">1.2 Motivation</w:t>
      </w:r>
    </w:p>
    <w:p>
      <w:pPr>
        <w:spacing w:after="120" w:line="276"/>
        <w:ind w:firstLine="431"/>
        <w:jc w:val="both"/>
      </w:pPr>
      <w:r>
        <w:rPr>
          <w:rFonts w:ascii="Times New Roman" w:cs="Times New Roman" w:eastAsia="SimSun" w:hAnsi="Times New Roman"/>
          <w:sz w:val="22"/>
          <w:szCs w:val="22"/>
        </w:rPr>
        <w:t xml:space="preserve">Among BTP families, cancelable biometrics [1], [4] applies a key-dependent, intentionally distortionary transform to the biometric signal or its features. If a template or key is compromised, a new key is issued and a new, unrelated template is generated from the same trait. BioHashing [5] and its variants [6]–[9] instantiate this idea with user-specific random projections followed by sign binarization, producing compact binary templates matched by Hamming distance. The approach is attractive: templates are small, matching is cheap, and revocation reduces to re-keying.</w:t>
      </w:r>
    </w:p>
    <w:p>
      <w:pPr>
        <w:spacing w:after="120" w:line="276"/>
        <w:ind w:firstLine="431"/>
        <w:jc w:val="both"/>
      </w:pPr>
      <w:r>
        <w:rPr>
          <w:rFonts w:ascii="Times New Roman" w:cs="Times New Roman" w:eastAsia="SimSun" w:hAnsi="Times New Roman"/>
          <w:sz w:val="22"/>
          <w:szCs w:val="22"/>
        </w:rPr>
        <w:t xml:space="preserve">The literature, however, leaves open questions that motivate the present work. First, reported accuracy for key-dependent schemes has repeatedly been shown to depend on hidden assumptions about token secrecy; the near-zero error rates of early BioHashing collapse once the impostor is given the victim’s token [6]–[8]. Second, claims of “non-invertibility” for binarized projections are frequently argued from underdetermined dimensionality alone, without confronting learned reconstruction attacks that exploit auxiliary population data [10]–[12], [V17], [V18]. Third, multimodal evaluations are often performed on chimeric (virtually paired) subjects, a practice whose validity has been questioned for a large share of experimental designs [13], yet pairing assumptions are seldom stress-tested. Finally, published schemes are rarely evaluated as running software, where timing behavior, score disclosure, lockout policy, and cross-platform numerical determinism materially affect security.</w:t>
      </w:r>
    </w:p>
    <w:p>
      <w:pPr>
        <w:pStyle w:val="Heading2"/>
        <w:spacing w:after="120" w:before="240"/>
      </w:pPr>
      <w:r>
        <w:rPr>
          <w:rFonts w:ascii="Times New Roman" w:cs="Times New Roman" w:eastAsia="SimSun" w:hAnsi="Times New Roman"/>
          <w:b/>
          <w:bCs/>
          <w:color w:val="263238"/>
          <w:sz w:val="24"/>
          <w:szCs w:val="24"/>
        </w:rPr>
        <w:t xml:space="preserve">1.3 Research Questions</w:t>
      </w:r>
    </w:p>
    <w:p>
      <w:pPr>
        <w:spacing w:after="120" w:line="276"/>
        <w:ind w:firstLine="431"/>
        <w:jc w:val="both"/>
      </w:pPr>
      <w:r>
        <w:rPr>
          <w:rFonts w:ascii="Times New Roman" w:cs="Times New Roman" w:eastAsia="SimSun" w:hAnsi="Times New Roman"/>
          <w:sz w:val="22"/>
          <w:szCs w:val="22"/>
        </w:rPr>
        <w:t xml:space="preserve">We evaluate ZK-CaMBio, a research prototype that fuses face and fingerprint embeddings and transforms them into key-dependent binary templates via a deterministic chaotic projection engine. Five research questions organize the study:</w:t>
      </w:r>
    </w:p>
    <w:p>
      <w:pPr>
        <w:pStyle w:val="ListParagraph"/>
        <w:numPr>
          <w:ilvl w:val="0"/>
          <w:numId w:val="2"/>
        </w:numPr>
        <w:spacing w:after="60" w:line="276"/>
      </w:pPr>
      <w:r>
        <w:rPr>
          <w:rFonts w:ascii="Times New Roman" w:cs="Times New Roman" w:eastAsia="SimSun" w:hAnsi="Times New Roman"/>
          <w:sz w:val="22"/>
          <w:szCs w:val="22"/>
        </w:rPr>
        <w:t xml:space="preserve">RQ1 (Utility). How much recognition performance is retained when fused face–fingerprint embeddings are transformed into sign-binarized cancelable templates under a fixed key?</w:t>
      </w:r>
    </w:p>
    <w:p>
      <w:pPr>
        <w:pStyle w:val="ListParagraph"/>
        <w:numPr>
          <w:ilvl w:val="0"/>
          <w:numId w:val="2"/>
        </w:numPr>
        <w:spacing w:after="60" w:line="276"/>
      </w:pPr>
      <w:r>
        <w:rPr>
          <w:rFonts w:ascii="Times New Roman" w:cs="Times New Roman" w:eastAsia="SimSun" w:hAnsi="Times New Roman"/>
          <w:sz w:val="22"/>
          <w:szCs w:val="22"/>
        </w:rPr>
        <w:t xml:space="preserve">RQ2 (Revocability). How completely does the system reject credentials derived from a revoked key, and to what level is genuine performance restored after re-keying?</w:t>
      </w:r>
    </w:p>
    <w:p>
      <w:pPr>
        <w:pStyle w:val="ListParagraph"/>
        <w:numPr>
          <w:ilvl w:val="0"/>
          <w:numId w:val="2"/>
        </w:numPr>
        <w:spacing w:after="60" w:line="276"/>
      </w:pPr>
      <w:r>
        <w:rPr>
          <w:rFonts w:ascii="Times New Roman" w:cs="Times New Roman" w:eastAsia="SimSun" w:hAnsi="Times New Roman"/>
          <w:sz w:val="22"/>
          <w:szCs w:val="22"/>
        </w:rPr>
        <w:t xml:space="preserve">RQ3 (Unlinkability). How resistant are templates of the same person to cross-service linkage when application-specific keys are unknown — and when they are known?</w:t>
      </w:r>
    </w:p>
    <w:p>
      <w:pPr>
        <w:pStyle w:val="ListParagraph"/>
        <w:numPr>
          <w:ilvl w:val="0"/>
          <w:numId w:val="2"/>
        </w:numPr>
        <w:spacing w:after="60" w:line="276"/>
      </w:pPr>
      <w:r>
        <w:rPr>
          <w:rFonts w:ascii="Times New Roman" w:cs="Times New Roman" w:eastAsia="SimSun" w:hAnsi="Times New Roman"/>
          <w:sz w:val="22"/>
          <w:szCs w:val="22"/>
        </w:rPr>
        <w:t xml:space="preserve">RQ4 (Inversion). How much continuous biometric information can learned reconstruction attacks recover when the projection key is compromised?</w:t>
      </w:r>
    </w:p>
    <w:p>
      <w:pPr>
        <w:pStyle w:val="ListParagraph"/>
        <w:numPr>
          <w:ilvl w:val="0"/>
          <w:numId w:val="2"/>
        </w:numPr>
        <w:spacing w:after="60" w:line="276"/>
      </w:pPr>
      <w:r>
        <w:rPr>
          <w:rFonts w:ascii="Times New Roman" w:cs="Times New Roman" w:eastAsia="SimSun" w:hAnsi="Times New Roman"/>
          <w:sz w:val="22"/>
          <w:szCs w:val="22"/>
        </w:rPr>
        <w:t xml:space="preserve">RQ5 (Engineering). What software and cryptographic controls are needed to move cancelable biometrics from an algorithmic description to a defensible research prototype, and which gaps remain?</w:t>
      </w:r>
    </w:p>
    <w:p>
      <w:pPr>
        <w:pStyle w:val="Heading2"/>
        <w:spacing w:after="120" w:before="240"/>
      </w:pPr>
      <w:r>
        <w:rPr>
          <w:rFonts w:ascii="Times New Roman" w:cs="Times New Roman" w:eastAsia="SimSun" w:hAnsi="Times New Roman"/>
          <w:b/>
          <w:bCs/>
          <w:color w:val="263238"/>
          <w:sz w:val="24"/>
          <w:szCs w:val="24"/>
        </w:rPr>
        <w:t xml:space="preserve">1.4 Contributions</w:t>
      </w:r>
    </w:p>
    <w:p>
      <w:pPr>
        <w:spacing w:after="120" w:line="276"/>
        <w:ind w:firstLine="431"/>
        <w:jc w:val="both"/>
      </w:pPr>
      <w:r>
        <w:rPr>
          <w:rFonts w:ascii="Times New Roman" w:cs="Times New Roman" w:eastAsia="SimSun" w:hAnsi="Times New Roman"/>
          <w:sz w:val="22"/>
          <w:szCs w:val="22"/>
        </w:rPr>
        <w:t xml:space="preserve">This paper makes the following contributions, stated at the level our evidence supports:</w:t>
      </w:r>
    </w:p>
    <w:p>
      <w:pPr>
        <w:pStyle w:val="ListParagraph"/>
        <w:numPr>
          <w:ilvl w:val="0"/>
          <w:numId w:val="2"/>
        </w:numPr>
        <w:spacing w:after="60" w:line="276"/>
      </w:pPr>
      <w:r>
        <w:rPr>
          <w:rFonts w:ascii="Times New Roman" w:cs="Times New Roman" w:eastAsia="SimSun" w:hAnsi="Times New Roman"/>
          <w:sz w:val="22"/>
          <w:szCs w:val="22"/>
        </w:rPr>
        <w:t xml:space="preserve">An end-to-end description and evaluation of ZK-CaMBio, coupling InceptionResnetV1 face embeddings (512-d) with FingerResNet18 V2 fingerprint embeddings (256-d) by weighted feature-level fusion (768-d) and a deterministic fixed-point C++17 chaotic projection producing 512-bit templates.</w:t>
      </w:r>
    </w:p>
    <w:p>
      <w:pPr>
        <w:pStyle w:val="ListParagraph"/>
        <w:numPr>
          <w:ilvl w:val="0"/>
          <w:numId w:val="2"/>
        </w:numPr>
        <w:spacing w:after="60" w:line="276"/>
      </w:pPr>
      <w:r>
        <w:rPr>
          <w:rFonts w:ascii="Times New Roman" w:cs="Times New Roman" w:eastAsia="SimSun" w:hAnsi="Times New Roman"/>
          <w:sz w:val="22"/>
          <w:szCs w:val="22"/>
        </w:rPr>
        <w:t xml:space="preserve">A paired-bootstrap statistical evaluation on 120 chimeric test subjects under within-sensor Protocol D-009, comparing the cancelable system (reported EER 1.29% ± 0.23% at m = 512) with unprotected unimodal and fused baselines (reported fusion EER 1.11%).</w:t>
      </w:r>
    </w:p>
    <w:p>
      <w:pPr>
        <w:pStyle w:val="ListParagraph"/>
        <w:numPr>
          <w:ilvl w:val="0"/>
          <w:numId w:val="2"/>
        </w:numPr>
        <w:spacing w:after="60" w:line="276"/>
      </w:pPr>
      <w:r>
        <w:rPr>
          <w:rFonts w:ascii="Times New Roman" w:cs="Times New Roman" w:eastAsia="SimSun" w:hAnsi="Times New Roman"/>
          <w:sz w:val="22"/>
          <w:szCs w:val="22"/>
        </w:rPr>
        <w:t xml:space="preserve">A revocability and unlinkability evaluation following ISO/IEC 30136 guidance and the Gomez-Barrero et al. unlinkability framework [3], [14], reported with explicit attention to which outcomes hold by construction and which are measured.</w:t>
      </w:r>
    </w:p>
    <w:p>
      <w:pPr>
        <w:pStyle w:val="ListParagraph"/>
        <w:numPr>
          <w:ilvl w:val="0"/>
          <w:numId w:val="2"/>
        </w:numPr>
        <w:spacing w:after="60" w:line="276"/>
      </w:pPr>
      <w:r>
        <w:rPr>
          <w:rFonts w:ascii="Times New Roman" w:cs="Times New Roman" w:eastAsia="SimSun" w:hAnsi="Times New Roman"/>
          <w:sz w:val="22"/>
          <w:szCs w:val="22"/>
        </w:rPr>
        <w:t xml:space="preserve">An empirical adversarial analysis with four reconstruction decoders. Under key compromise, a Ridge decoder reaches a reported centered cosine similarity of 0.9335 ± 0.0115 at m = 512 with 100% replay success against the unprotected account — a negative result for non-invertibility that we report without qualification.</w:t>
      </w:r>
    </w:p>
    <w:p>
      <w:pPr>
        <w:pStyle w:val="ListParagraph"/>
        <w:numPr>
          <w:ilvl w:val="0"/>
          <w:numId w:val="2"/>
        </w:numPr>
        <w:spacing w:after="60" w:line="276"/>
      </w:pPr>
      <w:r>
        <w:rPr>
          <w:rFonts w:ascii="Times New Roman" w:cs="Times New Roman" w:eastAsia="SimSun" w:hAnsi="Times New Roman"/>
          <w:sz w:val="22"/>
          <w:szCs w:val="22"/>
        </w:rPr>
        <w:t xml:space="preserve">A software-level security analysis of the reference implementation (FastAPI backend, PostgreSQL storage, Streamlit dashboard, Docker deployment), separating design intent, implementation evidence, test evidence, and genuine guarantees.</w:t>
      </w:r>
    </w:p>
    <w:p>
      <w:pPr>
        <w:spacing w:after="120" w:line="276"/>
        <w:ind w:firstLine="431"/>
        <w:jc w:val="both"/>
      </w:pPr>
      <w:r>
        <w:rPr>
          <w:rFonts w:ascii="Times New Roman" w:cs="Times New Roman" w:eastAsia="SimSun" w:hAnsi="Times New Roman"/>
          <w:sz w:val="22"/>
          <w:szCs w:val="22"/>
        </w:rPr>
        <w:t xml:space="preserve">We deliberately do not claim novelty for combining established encoders and projections; the contribution is the integrated, honestly bounded evaluation — including the measurement of where the construction fails.</w:t>
      </w:r>
    </w:p>
    <w:p>
      <w:pPr>
        <w:pStyle w:val="Heading2"/>
        <w:spacing w:after="120" w:before="240"/>
      </w:pPr>
      <w:r>
        <w:rPr>
          <w:rFonts w:ascii="Times New Roman" w:cs="Times New Roman" w:eastAsia="SimSun" w:hAnsi="Times New Roman"/>
          <w:b/>
          <w:bCs/>
          <w:color w:val="263238"/>
          <w:sz w:val="24"/>
          <w:szCs w:val="24"/>
        </w:rPr>
        <w:t xml:space="preserve">1.5 Paper Organization</w:t>
      </w:r>
    </w:p>
    <w:p>
      <w:pPr>
        <w:spacing w:after="120" w:line="276"/>
        <w:ind w:firstLine="431"/>
        <w:jc w:val="both"/>
      </w:pPr>
      <w:r>
        <w:rPr>
          <w:rFonts w:ascii="Times New Roman" w:cs="Times New Roman" w:eastAsia="SimSun" w:hAnsi="Times New Roman"/>
          <w:sz w:val="22"/>
          <w:szCs w:val="22"/>
        </w:rPr>
        <w:t xml:space="preserve">Section 2 reviews related work. Section 3 fixes notation, states the geometric facts underlying sign-projection matching, and defines the threat model. Section 4 describes the method. Section 5 presents the dataset and protocol, including the chimeric-pairing caveat. Sections 6 and 7 report recognition and privacy results. Section 8 analyzes attacks. Section 9 discusses the central accuracy–leakage coupling, and Sections 10–12 cover limitations, conclusions, and reproducibility. Appendix A collects derivations, Appendix B lists the planned experiments E1–E7, and Appendix C is the author-verification checklist.</w:t>
      </w:r>
    </w:p>
    <w:p>
      <w:pPr>
        <w:pStyle w:val="Heading1"/>
        <w:spacing w:after="160" w:before="320"/>
      </w:pPr>
      <w:r>
        <w:rPr>
          <w:rFonts w:ascii="Times New Roman" w:cs="Times New Roman" w:eastAsia="SimSun" w:hAnsi="Times New Roman"/>
          <w:b/>
          <w:bCs/>
          <w:color w:val="263238"/>
          <w:sz w:val="28"/>
          <w:szCs w:val="28"/>
        </w:rPr>
        <w:t xml:space="preserve">2. Related Work</w:t>
      </w:r>
    </w:p>
    <w:p>
      <w:pPr>
        <w:pStyle w:val="Heading2"/>
        <w:spacing w:after="120" w:before="240"/>
      </w:pPr>
      <w:r>
        <w:rPr>
          <w:rFonts w:ascii="Times New Roman" w:cs="Times New Roman" w:eastAsia="SimSun" w:hAnsi="Times New Roman"/>
          <w:b/>
          <w:bCs/>
          <w:color w:val="263238"/>
          <w:sz w:val="24"/>
          <w:szCs w:val="24"/>
        </w:rPr>
        <w:t xml:space="preserve">2.1 Cancelable Biometrics</w:t>
      </w:r>
    </w:p>
    <w:p>
      <w:pPr>
        <w:spacing w:after="120" w:line="276"/>
        <w:ind w:firstLine="431"/>
        <w:jc w:val="both"/>
      </w:pPr>
      <w:r>
        <w:rPr>
          <w:rFonts w:ascii="Times New Roman" w:cs="Times New Roman" w:eastAsia="SimSun" w:hAnsi="Times New Roman"/>
          <w:sz w:val="22"/>
          <w:szCs w:val="22"/>
        </w:rPr>
        <w:t xml:space="preserve">Ratha, Connell, and Bolle introduced cancelable biometrics, proposing intentional, repeatable distortions of the biometric signal (Cartesian and polar transformations, surface folding) so that a compromised template can be replaced by re-parameterizing the transform [1]. The follow-on work on cancelable fingerprint templates applied such transforms at the minutiae level and reported the resulting accuracy cost on FVC2002 data [4]. Survey literature has since consolidated the field: Nandakumar and Jain argue that protection schemes seldom deliver irreversibility, revocability, and unlinkability simultaneously without sacrificing accuracy [2]; Rathgeb and Uhl [V8] and Patel, Ratha, and Chellappa [V7] review cancelable schemes and biometric cryptosystems more broadly. ZK-CaMBio sits squarely in the cancelable family: the biometric features are projected by a key-dependent matrix and binarized, and revocation is achieved by re-keying.</w:t>
      </w:r>
    </w:p>
    <w:p>
      <w:pPr>
        <w:pStyle w:val="Heading2"/>
        <w:spacing w:after="120" w:before="240"/>
      </w:pPr>
      <w:r>
        <w:rPr>
          <w:rFonts w:ascii="Times New Roman" w:cs="Times New Roman" w:eastAsia="SimSun" w:hAnsi="Times New Roman"/>
          <w:b/>
          <w:bCs/>
          <w:color w:val="263238"/>
          <w:sz w:val="24"/>
          <w:szCs w:val="24"/>
        </w:rPr>
        <w:t xml:space="preserve">2.2 BioHashing and Its Critical Analysis</w:t>
      </w:r>
    </w:p>
    <w:p>
      <w:pPr>
        <w:spacing w:after="120" w:line="276"/>
        <w:ind w:firstLine="431"/>
        <w:jc w:val="both"/>
      </w:pPr>
      <w:r>
        <w:rPr>
          <w:rFonts w:ascii="Times New Roman" w:cs="Times New Roman" w:eastAsia="SimSun" w:hAnsi="Times New Roman"/>
          <w:sz w:val="22"/>
          <w:szCs w:val="22"/>
        </w:rPr>
        <w:t xml:space="preserve">BioHashing combines a biometric feature vector with a user-specific token that parameterizes a set of pseudo-random vectors; the inner products are thresholded at zero to form a binary code [5]. Early reports of near-zero EER were later shown to rest on a hidden assumption — that the impostor never possesses the genuine token. Kong et al. analyzed this assumption and its variants [6]; Lumini and Nanni proposed an improved BioHashing and documented the stolen-token collapse, in which performance degrades to or below the unprotected baseline [7]; Teoh, Kuan, and Lee systematically separated the stolen-biometric and stolen-token scenarios [8]; and Nanni and Lumini reported empirical tests including face–fingerprint BioHashing fusion on chimeric data [9]. These results directly shape our evaluation design: we separate the same-key scenario (Scenario K) from the different-key scenario (Scenario U) so that biometric utility is never conflated with token entropy, and we treat key compromise as a first-class threat rather than an afterthought.</w:t>
      </w:r>
    </w:p>
    <w:p>
      <w:pPr>
        <w:pStyle w:val="Heading2"/>
        <w:spacing w:after="120" w:before="240"/>
      </w:pPr>
      <w:r>
        <w:rPr>
          <w:rFonts w:ascii="Times New Roman" w:cs="Times New Roman" w:eastAsia="SimSun" w:hAnsi="Times New Roman"/>
          <w:b/>
          <w:bCs/>
          <w:color w:val="263238"/>
          <w:sz w:val="24"/>
          <w:szCs w:val="24"/>
        </w:rPr>
        <w:t xml:space="preserve">2.3 Random Projections and Similarity Estimation</w:t>
      </w:r>
    </w:p>
    <w:p>
      <w:pPr>
        <w:spacing w:after="120" w:line="276"/>
        <w:ind w:firstLine="431"/>
        <w:jc w:val="both"/>
      </w:pPr>
      <w:r>
        <w:rPr>
          <w:rFonts w:ascii="Times New Roman" w:cs="Times New Roman" w:eastAsia="SimSun" w:hAnsi="Times New Roman"/>
          <w:sz w:val="22"/>
          <w:szCs w:val="22"/>
        </w:rPr>
        <w:t xml:space="preserve">Sign-of-inner-product hashing over random hyperplanes gives an unbiased estimator of angular distance: for Gaussian hyperplanes, the probability that two unit vectors receive opposite signs equals θ/π, where θ is their angle [V3], [V4]. The Johnson–Lindenstrauss lemma [V6] and locality-sensitive hashing for nearest-neighbor search [V5] supply the broader theoretical backdrop. Two caveats matter for our setting. First, the θ/π identity is exact for rotation-invariant (Gaussian) projection directions; ZK-CaMBio uses ±1 entries generated by a chaotic map, so the identity holds only approximately (the project’s measured slope of normalized Hamming distance against θ/π is about 1.01, consistent with a close approximation). Second — and central to this paper — the same similarity preservation that protects accuracy is precisely what makes templates information-leaky once the projection key is known. Genetic-algorithm and pre-image attacks on BioHash-style codes report that longer codes improve accuracy while weakening inversion resistance [12], [V17], [V18], a trade-off our own measurements reproduce (Section 8).</w:t>
      </w:r>
    </w:p>
    <w:p>
      <w:pPr>
        <w:pStyle w:val="Heading2"/>
        <w:spacing w:after="120" w:before="240"/>
      </w:pPr>
      <w:r>
        <w:rPr>
          <w:rFonts w:ascii="Times New Roman" w:cs="Times New Roman" w:eastAsia="SimSun" w:hAnsi="Times New Roman"/>
          <w:b/>
          <w:bCs/>
          <w:color w:val="263238"/>
          <w:sz w:val="24"/>
          <w:szCs w:val="24"/>
        </w:rPr>
        <w:t xml:space="preserve">2.4 Multimodal Fusion and Multibiometric Template Protection</w:t>
      </w:r>
    </w:p>
    <w:p>
      <w:pPr>
        <w:spacing w:after="120" w:line="276"/>
        <w:ind w:firstLine="431"/>
        <w:jc w:val="both"/>
      </w:pPr>
      <w:r>
        <w:rPr>
          <w:rFonts w:ascii="Times New Roman" w:cs="Times New Roman" w:eastAsia="SimSun" w:hAnsi="Times New Roman"/>
          <w:sz w:val="22"/>
          <w:szCs w:val="22"/>
        </w:rPr>
        <w:t xml:space="preserve">Multimodal fusion addresses the noise, non-universality, and spoofing limits of single modalities; fusion can operate at sensor, feature, score, or decision level [V2]. Feature-level fusion retains cross-modal information that score-level fusion discards, at the price of requiring compatible representations. Nagar, Nandakumar, and Jain built multibiometric cryptosystems on feature-level fusion and — importantly for us — evaluated them partly on a virtual multimodal database, a precedent for chimeric evaluation [15]. Gomez-Barrero et al. proposed Bloom-filter-based template protection extended to multiple biometrics [V19], [V20]. Our fusion is feature-level weighted concatenation with an L2-unit-norm guarantee (Section 4); we compare it with a score-level variant in Section 6.</w:t>
      </w:r>
    </w:p>
    <w:p>
      <w:pPr>
        <w:pStyle w:val="Heading2"/>
        <w:spacing w:after="120" w:before="240"/>
      </w:pPr>
      <w:r>
        <w:rPr>
          <w:rFonts w:ascii="Times New Roman" w:cs="Times New Roman" w:eastAsia="SimSun" w:hAnsi="Times New Roman"/>
          <w:b/>
          <w:bCs/>
          <w:color w:val="263238"/>
          <w:sz w:val="24"/>
          <w:szCs w:val="24"/>
        </w:rPr>
        <w:t xml:space="preserve">2.5 Template Inversion and Inverse Biometrics</w:t>
      </w:r>
    </w:p>
    <w:p>
      <w:pPr>
        <w:spacing w:after="120" w:line="276"/>
        <w:ind w:firstLine="431"/>
        <w:jc w:val="both"/>
      </w:pPr>
      <w:r>
        <w:rPr>
          <w:rFonts w:ascii="Times New Roman" w:cs="Times New Roman" w:eastAsia="SimSun" w:hAnsi="Times New Roman"/>
          <w:sz w:val="22"/>
          <w:szCs w:val="22"/>
        </w:rPr>
        <w:t xml:space="preserve">The assumption that discarding magnitude information makes binary templates “irreversible” has been systematically weakened. Gomez-Barrero and Galbally survey inverse-biometrics methods that reconstruct images or feature vectors from protected templates and match scores [10]. Mai et al. showed that deep face templates can be inverted to recognizable face images [11]. Lacharme, Cherrier, and Rosenberger mounted a genetic-algorithm pre-image attack on BioHashing given the seed and code [12]. Score-based hill-climbing attacks were demonstrated by Adler [16] and, for face verification, by Galbally et al. [17]; these motivate the score-suppression and lockout controls in the ZK-CaMBio service layer (Section 8.4). Fingerprint-specific reconstruction from minutiae templates has likewise been demonstrated [V32]. Our attack evaluation (Section 8) follows this lineage but targets a multimodal, fused, key-dependent template.</w:t>
      </w:r>
    </w:p>
    <w:p>
      <w:pPr>
        <w:pStyle w:val="Heading2"/>
        <w:spacing w:after="120" w:before="240"/>
      </w:pPr>
      <w:r>
        <w:rPr>
          <w:rFonts w:ascii="Times New Roman" w:cs="Times New Roman" w:eastAsia="SimSun" w:hAnsi="Times New Roman"/>
          <w:b/>
          <w:bCs/>
          <w:color w:val="263238"/>
          <w:sz w:val="24"/>
          <w:szCs w:val="24"/>
        </w:rPr>
        <w:t xml:space="preserve">2.6 Unlinkability Evaluation</w:t>
      </w:r>
    </w:p>
    <w:p>
      <w:pPr>
        <w:spacing w:after="120" w:line="276"/>
        <w:ind w:firstLine="431"/>
        <w:jc w:val="both"/>
      </w:pPr>
      <w:r>
        <w:rPr>
          <w:rFonts w:ascii="Times New Roman" w:cs="Times New Roman" w:eastAsia="SimSun" w:hAnsi="Times New Roman"/>
          <w:sz w:val="22"/>
          <w:szCs w:val="22"/>
        </w:rPr>
        <w:t xml:space="preserve">Unlinkability — that two protected templates of the same person in different applications must be indistinguishable from templates of different people — was historically assessed by informal inspection of score distributions. Gomez-Barrero, Galbally, Rathgeb, and Busch introduced a general framework with a local linkability measure and a global system-level metric D_sys in [0, 1], where 0 indicates full unlinkability and 1 full linkability [14]; we use their metric and reference implementation, and we stress that the framework defines no official acceptance threshold — values are interpreted by proximity to the endpoints, not against a fixed cut-off.</w:t>
      </w:r>
    </w:p>
    <w:p>
      <w:pPr>
        <w:pStyle w:val="Heading2"/>
        <w:spacing w:after="120" w:before="240"/>
      </w:pPr>
      <w:r>
        <w:rPr>
          <w:rFonts w:ascii="Times New Roman" w:cs="Times New Roman" w:eastAsia="SimSun" w:hAnsi="Times New Roman"/>
          <w:b/>
          <w:bCs/>
          <w:color w:val="263238"/>
          <w:sz w:val="24"/>
          <w:szCs w:val="24"/>
        </w:rPr>
        <w:t xml:space="preserve">2.7 Zero-Knowledge Proofs and Biometrics</w:t>
      </w:r>
    </w:p>
    <w:p>
      <w:pPr>
        <w:spacing w:after="120" w:line="276"/>
        <w:ind w:firstLine="431"/>
        <w:jc w:val="both"/>
      </w:pPr>
      <w:r>
        <w:rPr>
          <w:rFonts w:ascii="Times New Roman" w:cs="Times New Roman" w:eastAsia="SimSun" w:hAnsi="Times New Roman"/>
          <w:sz w:val="22"/>
          <w:szCs w:val="22"/>
        </w:rPr>
        <w:t xml:space="preserve">A distinct research line combines biometric authentication with genuine zero-knowledge proofs: a zk-SNARK-based construction over cancelable fingerprint templates for blockchain identity management [V21], a ZKP-based anonymous biometric scheme for e-health using commitments [V22], and verifiable-computation approaches to biometric authentication [V23]. In these systems, a prover demonstrates that a fresh biometric matches a committed template under a distance threshold without revealing the biometric. ZK-CaMBio implements nothing of the kind: its “zero-knowledge” label denotes only that the server stores no raw biometrics, no continuous embeddings, and (in user-secret mode) no key material. We keep the two meanings strictly separated throughout.</w:t>
      </w:r>
    </w:p>
    <w:p>
      <w:pPr>
        <w:pStyle w:val="Heading2"/>
        <w:spacing w:after="120" w:before="240"/>
      </w:pPr>
      <w:r>
        <w:rPr>
          <w:rFonts w:ascii="Times New Roman" w:cs="Times New Roman" w:eastAsia="SimSun" w:hAnsi="Times New Roman"/>
          <w:b/>
          <w:bCs/>
          <w:color w:val="263238"/>
          <w:sz w:val="24"/>
          <w:szCs w:val="24"/>
        </w:rPr>
        <w:t xml:space="preserve">2.8 Structured Comparison</w:t>
      </w:r>
    </w:p>
    <w:p>
      <w:pPr>
        <w:spacing w:after="120" w:line="276"/>
        <w:ind w:firstLine="431"/>
        <w:jc w:val="both"/>
      </w:pPr>
      <w:r>
        <w:rPr>
          <w:rFonts w:ascii="Times New Roman" w:cs="Times New Roman" w:eastAsia="SimSun" w:hAnsi="Times New Roman"/>
          <w:sz w:val="22"/>
          <w:szCs w:val="22"/>
        </w:rPr>
        <w:t xml:space="preserve">Table 1 positions ZK-CaMBio against representative lines of work. Entries marked “not reported” reflect what could be confirmed from bibliographic listings during preparation; the comparison is qualitative and does not support superiority claims, since datasets and protocols differ across rows.</w:t>
      </w:r>
    </w:p>
    <w:p>
      <w:pPr>
        <w:spacing w:after="200" w:before="60"/>
        <w:jc w:val="center"/>
      </w:pPr>
      <w:r>
        <w:rPr>
          <w:rFonts w:ascii="Times New Roman" w:cs="Times New Roman" w:eastAsia="SimSun" w:hAnsi="Times New Roman"/>
          <w:i/>
          <w:iCs/>
          <w:color w:val="37474F"/>
          <w:sz w:val="18"/>
          <w:szCs w:val="18"/>
        </w:rPr>
        <w:t xml:space="preserve">Table 1. Structured comparison of template-protection approaches. “[Vn]” entries are pending bibliographic verification.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50"/>
        <w:gridCol w:w="850"/>
        <w:gridCol w:w="1250"/>
        <w:gridCol w:w="780"/>
        <w:gridCol w:w="780"/>
        <w:gridCol w:w="780"/>
        <w:gridCol w:w="1100"/>
        <w:gridCol w:w="1100"/>
        <w:gridCol w:w="1136"/>
      </w:tblGrid>
      <w:tr>
        <w:trPr>
          <w:tblHeader/>
        </w:trPr>
        <w:tc>
          <w:tcPr>
            <w:tcW w:type="dxa" w:w="1250"/>
            <w:shd w:fill="EEF3F6" w:val="clear"/>
            <w:tcMar>
              <w:top w:type="dxa" w:w="60"/>
              <w:left w:type="dxa" w:w="80"/>
              <w:bottom w:type="dxa" w:w="60"/>
              <w:right w:type="dxa" w:w="80"/>
            </w:tcMar>
          </w:tcPr>
          <w:p>
            <w:pPr>
              <w:spacing w:after="20" w:line="230"/>
            </w:pPr>
            <w:r>
              <w:rPr>
                <w:rFonts w:ascii="Times New Roman" w:cs="Times New Roman" w:eastAsia="SimSun" w:hAnsi="Times New Roman"/>
                <w:b/>
                <w:bCs/>
                <w:color w:val="263238"/>
                <w:sz w:val="16"/>
                <w:szCs w:val="16"/>
              </w:rPr>
              <w:t xml:space="preserve">Reference</w:t>
            </w:r>
          </w:p>
        </w:tc>
        <w:tc>
          <w:tcPr>
            <w:tcW w:type="dxa" w:w="850"/>
            <w:shd w:fill="EEF3F6" w:val="clear"/>
            <w:tcMar>
              <w:top w:type="dxa" w:w="60"/>
              <w:left w:type="dxa" w:w="80"/>
              <w:bottom w:type="dxa" w:w="60"/>
              <w:right w:type="dxa" w:w="80"/>
            </w:tcMar>
          </w:tcPr>
          <w:p>
            <w:pPr>
              <w:spacing w:after="20" w:line="230"/>
            </w:pPr>
            <w:r>
              <w:rPr>
                <w:rFonts w:ascii="Times New Roman" w:cs="Times New Roman" w:eastAsia="SimSun" w:hAnsi="Times New Roman"/>
                <w:b/>
                <w:bCs/>
                <w:color w:val="263238"/>
                <w:sz w:val="16"/>
                <w:szCs w:val="16"/>
              </w:rPr>
              <w:t xml:space="preserve">Modality</w:t>
            </w:r>
          </w:p>
        </w:tc>
        <w:tc>
          <w:tcPr>
            <w:tcW w:type="dxa" w:w="1250"/>
            <w:shd w:fill="EEF3F6" w:val="clear"/>
            <w:tcMar>
              <w:top w:type="dxa" w:w="60"/>
              <w:left w:type="dxa" w:w="80"/>
              <w:bottom w:type="dxa" w:w="60"/>
              <w:right w:type="dxa" w:w="80"/>
            </w:tcMar>
          </w:tcPr>
          <w:p>
            <w:pPr>
              <w:spacing w:after="20" w:line="230"/>
            </w:pPr>
            <w:r>
              <w:rPr>
                <w:rFonts w:ascii="Times New Roman" w:cs="Times New Roman" w:eastAsia="SimSun" w:hAnsi="Times New Roman"/>
                <w:b/>
                <w:bCs/>
                <w:color w:val="263238"/>
                <w:sz w:val="16"/>
                <w:szCs w:val="16"/>
              </w:rPr>
              <w:t xml:space="preserve">Protection approach</w:t>
            </w:r>
          </w:p>
        </w:tc>
        <w:tc>
          <w:tcPr>
            <w:tcW w:type="dxa" w:w="780"/>
            <w:shd w:fill="EEF3F6" w:val="clear"/>
            <w:tcMar>
              <w:top w:type="dxa" w:w="60"/>
              <w:left w:type="dxa" w:w="80"/>
              <w:bottom w:type="dxa" w:w="60"/>
              <w:right w:type="dxa" w:w="80"/>
            </w:tcMar>
          </w:tcPr>
          <w:p>
            <w:pPr>
              <w:spacing w:after="20" w:line="230"/>
            </w:pPr>
            <w:r>
              <w:rPr>
                <w:rFonts w:ascii="Times New Roman" w:cs="Times New Roman" w:eastAsia="SimSun" w:hAnsi="Times New Roman"/>
                <w:b/>
                <w:bCs/>
                <w:color w:val="263238"/>
                <w:sz w:val="16"/>
                <w:szCs w:val="16"/>
              </w:rPr>
              <w:t xml:space="preserve">Fusion level</w:t>
            </w:r>
          </w:p>
        </w:tc>
        <w:tc>
          <w:tcPr>
            <w:tcW w:type="dxa" w:w="780"/>
            <w:shd w:fill="EEF3F6" w:val="clear"/>
            <w:tcMar>
              <w:top w:type="dxa" w:w="60"/>
              <w:left w:type="dxa" w:w="80"/>
              <w:bottom w:type="dxa" w:w="60"/>
              <w:right w:type="dxa" w:w="80"/>
            </w:tcMar>
          </w:tcPr>
          <w:p>
            <w:pPr>
              <w:spacing w:after="20" w:line="230"/>
            </w:pPr>
            <w:r>
              <w:rPr>
                <w:rFonts w:ascii="Times New Roman" w:cs="Times New Roman" w:eastAsia="SimSun" w:hAnsi="Times New Roman"/>
                <w:b/>
                <w:bCs/>
                <w:color w:val="263238"/>
                <w:sz w:val="16"/>
                <w:szCs w:val="16"/>
              </w:rPr>
              <w:t xml:space="preserve">Key-dependent</w:t>
            </w:r>
          </w:p>
        </w:tc>
        <w:tc>
          <w:tcPr>
            <w:tcW w:type="dxa" w:w="780"/>
            <w:shd w:fill="EEF3F6" w:val="clear"/>
            <w:tcMar>
              <w:top w:type="dxa" w:w="60"/>
              <w:left w:type="dxa" w:w="80"/>
              <w:bottom w:type="dxa" w:w="60"/>
              <w:right w:type="dxa" w:w="80"/>
            </w:tcMar>
          </w:tcPr>
          <w:p>
            <w:pPr>
              <w:spacing w:after="20" w:line="230"/>
            </w:pPr>
            <w:r>
              <w:rPr>
                <w:rFonts w:ascii="Times New Roman" w:cs="Times New Roman" w:eastAsia="SimSun" w:hAnsi="Times New Roman"/>
                <w:b/>
                <w:bCs/>
                <w:color w:val="263238"/>
                <w:sz w:val="16"/>
                <w:szCs w:val="16"/>
              </w:rPr>
              <w:t xml:space="preserve">Revocable</w:t>
            </w:r>
          </w:p>
        </w:tc>
        <w:tc>
          <w:tcPr>
            <w:tcW w:type="dxa" w:w="1100"/>
            <w:shd w:fill="EEF3F6" w:val="clear"/>
            <w:tcMar>
              <w:top w:type="dxa" w:w="60"/>
              <w:left w:type="dxa" w:w="80"/>
              <w:bottom w:type="dxa" w:w="60"/>
              <w:right w:type="dxa" w:w="80"/>
            </w:tcMar>
          </w:tcPr>
          <w:p>
            <w:pPr>
              <w:spacing w:after="20" w:line="230"/>
            </w:pPr>
            <w:r>
              <w:rPr>
                <w:rFonts w:ascii="Times New Roman" w:cs="Times New Roman" w:eastAsia="SimSun" w:hAnsi="Times New Roman"/>
                <w:b/>
                <w:bCs/>
                <w:color w:val="263238"/>
                <w:sz w:val="16"/>
                <w:szCs w:val="16"/>
              </w:rPr>
              <w:t xml:space="preserve">Unlinkability evaluation</w:t>
            </w:r>
          </w:p>
        </w:tc>
        <w:tc>
          <w:tcPr>
            <w:tcW w:type="dxa" w:w="1100"/>
            <w:shd w:fill="EEF3F6" w:val="clear"/>
            <w:tcMar>
              <w:top w:type="dxa" w:w="60"/>
              <w:left w:type="dxa" w:w="80"/>
              <w:bottom w:type="dxa" w:w="60"/>
              <w:right w:type="dxa" w:w="80"/>
            </w:tcMar>
          </w:tcPr>
          <w:p>
            <w:pPr>
              <w:spacing w:after="20" w:line="230"/>
            </w:pPr>
            <w:r>
              <w:rPr>
                <w:rFonts w:ascii="Times New Roman" w:cs="Times New Roman" w:eastAsia="SimSun" w:hAnsi="Times New Roman"/>
                <w:b/>
                <w:bCs/>
                <w:color w:val="263238"/>
                <w:sz w:val="16"/>
                <w:szCs w:val="16"/>
              </w:rPr>
              <w:t xml:space="preserve">Inversion / adversarial testing</w:t>
            </w:r>
          </w:p>
        </w:tc>
        <w:tc>
          <w:tcPr>
            <w:tcW w:type="dxa" w:w="1136"/>
            <w:shd w:fill="EEF3F6" w:val="clear"/>
            <w:tcMar>
              <w:top w:type="dxa" w:w="60"/>
              <w:left w:type="dxa" w:w="80"/>
              <w:bottom w:type="dxa" w:w="60"/>
              <w:right w:type="dxa" w:w="80"/>
            </w:tcMar>
          </w:tcPr>
          <w:p>
            <w:pPr>
              <w:spacing w:after="20" w:line="230"/>
            </w:pPr>
            <w:r>
              <w:rPr>
                <w:rFonts w:ascii="Times New Roman" w:cs="Times New Roman" w:eastAsia="SimSun" w:hAnsi="Times New Roman"/>
                <w:b/>
                <w:bCs/>
                <w:color w:val="263238"/>
                <w:sz w:val="16"/>
                <w:szCs w:val="16"/>
              </w:rPr>
              <w:t xml:space="preserve">Limitations / relevance</w:t>
            </w:r>
          </w:p>
        </w:tc>
      </w:tr>
      <w:tr>
        <w:tc>
          <w:tcPr>
            <w:tcW w:type="dxa" w:w="12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Ratha et al. 2001 [1]</w:t>
            </w:r>
          </w:p>
        </w:tc>
        <w:tc>
          <w:tcPr>
            <w:tcW w:type="dxa" w:w="8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Generic</w:t>
            </w:r>
          </w:p>
        </w:tc>
        <w:tc>
          <w:tcPr>
            <w:tcW w:type="dxa" w:w="12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Intentional signal distortion</w:t>
            </w:r>
          </w:p>
        </w:tc>
        <w:tc>
          <w:tcPr>
            <w:tcW w:type="dxa" w:w="78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Unimodal</w:t>
            </w:r>
          </w:p>
        </w:tc>
        <w:tc>
          <w:tcPr>
            <w:tcW w:type="dxa" w:w="78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Yes</w:t>
            </w:r>
          </w:p>
        </w:tc>
        <w:tc>
          <w:tcPr>
            <w:tcW w:type="dxa" w:w="78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Yes</w:t>
            </w:r>
          </w:p>
        </w:tc>
        <w:tc>
          <w:tcPr>
            <w:tcW w:type="dxa" w:w="11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Not reported</w:t>
            </w:r>
          </w:p>
        </w:tc>
        <w:tc>
          <w:tcPr>
            <w:tcW w:type="dxa" w:w="11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Heuristic argument only</w:t>
            </w:r>
          </w:p>
        </w:tc>
        <w:tc>
          <w:tcPr>
            <w:tcW w:type="dxa" w:w="113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Foundational concept; no learned-attack evaluation</w:t>
            </w:r>
          </w:p>
        </w:tc>
      </w:tr>
      <w:tr>
        <w:tc>
          <w:tcPr>
            <w:tcW w:type="dxa" w:w="12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Ratha et al. 2007 [4]</w:t>
            </w:r>
          </w:p>
        </w:tc>
        <w:tc>
          <w:tcPr>
            <w:tcW w:type="dxa" w:w="8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Fingerprint</w:t>
            </w:r>
          </w:p>
        </w:tc>
        <w:tc>
          <w:tcPr>
            <w:tcW w:type="dxa" w:w="12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Cartesian / polar minutiae warping</w:t>
            </w:r>
          </w:p>
        </w:tc>
        <w:tc>
          <w:tcPr>
            <w:tcW w:type="dxa" w:w="78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Unimodal</w:t>
            </w:r>
          </w:p>
        </w:tc>
        <w:tc>
          <w:tcPr>
            <w:tcW w:type="dxa" w:w="78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Yes</w:t>
            </w:r>
          </w:p>
        </w:tc>
        <w:tc>
          <w:tcPr>
            <w:tcW w:type="dxa" w:w="78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Yes</w:t>
            </w:r>
          </w:p>
        </w:tc>
        <w:tc>
          <w:tcPr>
            <w:tcW w:type="dxa" w:w="11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Not reported</w:t>
            </w:r>
          </w:p>
        </w:tc>
        <w:tc>
          <w:tcPr>
            <w:tcW w:type="dxa" w:w="11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Heuristic argument only</w:t>
            </w:r>
          </w:p>
        </w:tc>
        <w:tc>
          <w:tcPr>
            <w:tcW w:type="dxa" w:w="113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Alignment-sensitive; accuracy cost on FVC2002</w:t>
            </w:r>
          </w:p>
        </w:tc>
      </w:tr>
      <w:tr>
        <w:tc>
          <w:tcPr>
            <w:tcW w:type="dxa" w:w="12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Teoh et al. 2004 [5]</w:t>
            </w:r>
          </w:p>
        </w:tc>
        <w:tc>
          <w:tcPr>
            <w:tcW w:type="dxa" w:w="8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Fingerprint</w:t>
            </w:r>
          </w:p>
        </w:tc>
        <w:tc>
          <w:tcPr>
            <w:tcW w:type="dxa" w:w="12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BioHashing (tokenized random projection)</w:t>
            </w:r>
          </w:p>
        </w:tc>
        <w:tc>
          <w:tcPr>
            <w:tcW w:type="dxa" w:w="78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Unimodal</w:t>
            </w:r>
          </w:p>
        </w:tc>
        <w:tc>
          <w:tcPr>
            <w:tcW w:type="dxa" w:w="78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Yes</w:t>
            </w:r>
          </w:p>
        </w:tc>
        <w:tc>
          <w:tcPr>
            <w:tcW w:type="dxa" w:w="78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Yes</w:t>
            </w:r>
          </w:p>
        </w:tc>
        <w:tc>
          <w:tcPr>
            <w:tcW w:type="dxa" w:w="11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Not reported</w:t>
            </w:r>
          </w:p>
        </w:tc>
        <w:tc>
          <w:tcPr>
            <w:tcW w:type="dxa" w:w="11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Not evaluated</w:t>
            </w:r>
          </w:p>
        </w:tc>
        <w:tc>
          <w:tcPr>
            <w:tcW w:type="dxa" w:w="113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Accuracy rests on token secrecy; stolen-token collapse [7], [8]</w:t>
            </w:r>
          </w:p>
        </w:tc>
      </w:tr>
      <w:tr>
        <w:tc>
          <w:tcPr>
            <w:tcW w:type="dxa" w:w="12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Lumini &amp; Nanni 2007 [7]</w:t>
            </w:r>
          </w:p>
        </w:tc>
        <w:tc>
          <w:tcPr>
            <w:tcW w:type="dxa" w:w="8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Face + fingerprint</w:t>
            </w:r>
          </w:p>
        </w:tc>
        <w:tc>
          <w:tcPr>
            <w:tcW w:type="dxa" w:w="12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Improved / user-adaptive BioHashing</w:t>
            </w:r>
          </w:p>
        </w:tc>
        <w:tc>
          <w:tcPr>
            <w:tcW w:type="dxa" w:w="78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Score level</w:t>
            </w:r>
          </w:p>
        </w:tc>
        <w:tc>
          <w:tcPr>
            <w:tcW w:type="dxa" w:w="78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Yes</w:t>
            </w:r>
          </w:p>
        </w:tc>
        <w:tc>
          <w:tcPr>
            <w:tcW w:type="dxa" w:w="78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Yes</w:t>
            </w:r>
          </w:p>
        </w:tc>
        <w:tc>
          <w:tcPr>
            <w:tcW w:type="dxa" w:w="11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Not reported</w:t>
            </w:r>
          </w:p>
        </w:tc>
        <w:tc>
          <w:tcPr>
            <w:tcW w:type="dxa" w:w="11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Not evaluated</w:t>
            </w:r>
          </w:p>
        </w:tc>
        <w:tc>
          <w:tcPr>
            <w:tcW w:type="dxa" w:w="113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Documents stolen-token degradation; chimeric data</w:t>
            </w:r>
          </w:p>
        </w:tc>
      </w:tr>
      <w:tr>
        <w:tc>
          <w:tcPr>
            <w:tcW w:type="dxa" w:w="12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Nagar et al. 2012 [15]</w:t>
            </w:r>
          </w:p>
        </w:tc>
        <w:tc>
          <w:tcPr>
            <w:tcW w:type="dxa" w:w="8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Fingerprint + others</w:t>
            </w:r>
          </w:p>
        </w:tc>
        <w:tc>
          <w:tcPr>
            <w:tcW w:type="dxa" w:w="12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Multibiometric fuzzy vault / commitment</w:t>
            </w:r>
          </w:p>
        </w:tc>
        <w:tc>
          <w:tcPr>
            <w:tcW w:type="dxa" w:w="78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Feature level</w:t>
            </w:r>
          </w:p>
        </w:tc>
        <w:tc>
          <w:tcPr>
            <w:tcW w:type="dxa" w:w="78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No (vault)</w:t>
            </w:r>
          </w:p>
        </w:tc>
        <w:tc>
          <w:tcPr>
            <w:tcW w:type="dxa" w:w="78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Limited</w:t>
            </w:r>
          </w:p>
        </w:tc>
        <w:tc>
          <w:tcPr>
            <w:tcW w:type="dxa" w:w="11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Not reported</w:t>
            </w:r>
          </w:p>
        </w:tc>
        <w:tc>
          <w:tcPr>
            <w:tcW w:type="dxa" w:w="11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Brute-force / correlation discussed</w:t>
            </w:r>
          </w:p>
        </w:tc>
        <w:tc>
          <w:tcPr>
            <w:tcW w:type="dxa" w:w="113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Precedent for virtual (chimeric) multimodal evaluation</w:t>
            </w:r>
          </w:p>
        </w:tc>
      </w:tr>
      <w:tr>
        <w:tc>
          <w:tcPr>
            <w:tcW w:type="dxa" w:w="12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Gomez-Barrero et al. [V19], [V20]</w:t>
            </w:r>
          </w:p>
        </w:tc>
        <w:tc>
          <w:tcPr>
            <w:tcW w:type="dxa" w:w="8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Multi (face, iris, finger)</w:t>
            </w:r>
          </w:p>
        </w:tc>
        <w:tc>
          <w:tcPr>
            <w:tcW w:type="dxa" w:w="12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Bloom-filter quantization</w:t>
            </w:r>
          </w:p>
        </w:tc>
        <w:tc>
          <w:tcPr>
            <w:tcW w:type="dxa" w:w="78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Feature level</w:t>
            </w:r>
          </w:p>
        </w:tc>
        <w:tc>
          <w:tcPr>
            <w:tcW w:type="dxa" w:w="78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Yes</w:t>
            </w:r>
          </w:p>
        </w:tc>
        <w:tc>
          <w:tcPr>
            <w:tcW w:type="dxa" w:w="78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Yes</w:t>
            </w:r>
          </w:p>
        </w:tc>
        <w:tc>
          <w:tcPr>
            <w:tcW w:type="dxa" w:w="11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Formal D_sys framework [14]</w:t>
            </w:r>
          </w:p>
        </w:tc>
        <w:tc>
          <w:tcPr>
            <w:tcW w:type="dxa" w:w="11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Some attack analysis</w:t>
            </w:r>
          </w:p>
        </w:tc>
        <w:tc>
          <w:tcPr>
            <w:tcW w:type="dxa" w:w="113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Closest protected-multibiometric line; unimodal-to-multi extension</w:t>
            </w:r>
          </w:p>
        </w:tc>
      </w:tr>
      <w:tr>
        <w:tc>
          <w:tcPr>
            <w:tcW w:type="dxa" w:w="12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ZK-biometric schemes [V21]–[V23]</w:t>
            </w:r>
          </w:p>
        </w:tc>
        <w:tc>
          <w:tcPr>
            <w:tcW w:type="dxa" w:w="8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Fingerprint / multimodal</w:t>
            </w:r>
          </w:p>
        </w:tc>
        <w:tc>
          <w:tcPr>
            <w:tcW w:type="dxa" w:w="12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zk-SNARK / commitments over cancelable templates</w:t>
            </w:r>
          </w:p>
        </w:tc>
        <w:tc>
          <w:tcPr>
            <w:tcW w:type="dxa" w:w="78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Varies</w:t>
            </w:r>
          </w:p>
        </w:tc>
        <w:tc>
          <w:tcPr>
            <w:tcW w:type="dxa" w:w="78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Yes</w:t>
            </w:r>
          </w:p>
        </w:tc>
        <w:tc>
          <w:tcPr>
            <w:tcW w:type="dxa" w:w="78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Yes</w:t>
            </w:r>
          </w:p>
        </w:tc>
        <w:tc>
          <w:tcPr>
            <w:tcW w:type="dxa" w:w="11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Not reported</w:t>
            </w:r>
          </w:p>
        </w:tc>
        <w:tc>
          <w:tcPr>
            <w:tcW w:type="dxa" w:w="11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Proof-system security</w:t>
            </w:r>
          </w:p>
        </w:tc>
        <w:tc>
          <w:tcPr>
            <w:tcW w:type="dxa" w:w="113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Genuine ZK proofs; contrast with our data-at-rest usage</w:t>
            </w:r>
          </w:p>
        </w:tc>
      </w:tr>
      <w:tr>
        <w:tc>
          <w:tcPr>
            <w:tcW w:type="dxa" w:w="12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ZK-CaMBio (this work)</w:t>
            </w:r>
          </w:p>
        </w:tc>
        <w:tc>
          <w:tcPr>
            <w:tcW w:type="dxa" w:w="8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Face + fingerprint</w:t>
            </w:r>
          </w:p>
        </w:tc>
        <w:tc>
          <w:tcPr>
            <w:tcW w:type="dxa" w:w="12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Key-dependent chaotic projection + sign binarization</w:t>
            </w:r>
          </w:p>
        </w:tc>
        <w:tc>
          <w:tcPr>
            <w:tcW w:type="dxa" w:w="78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Feature level (w = 0.60)</w:t>
            </w:r>
          </w:p>
        </w:tc>
        <w:tc>
          <w:tcPr>
            <w:tcW w:type="dxa" w:w="78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Yes (scrypt + HMAC)</w:t>
            </w:r>
          </w:p>
        </w:tc>
        <w:tc>
          <w:tcPr>
            <w:tcW w:type="dxa" w:w="78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Yes (by re-keying)</w:t>
            </w:r>
          </w:p>
        </w:tc>
        <w:tc>
          <w:tcPr>
            <w:tcW w:type="dxa" w:w="11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D_sys with keys secret and known [14]</w:t>
            </w:r>
          </w:p>
        </w:tc>
        <w:tc>
          <w:tcPr>
            <w:tcW w:type="dxa" w:w="11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Four reconstruction decoders + replay</w:t>
            </w:r>
          </w:p>
        </w:tc>
        <w:tc>
          <w:tcPr>
            <w:tcW w:type="dxa" w:w="113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Not non-invertible under key compromise; chimeric evaluation; research prototype</w:t>
            </w:r>
          </w:p>
        </w:tc>
      </w:tr>
    </w:tbl>
    <w:p>
      <w:pPr>
        <w:pStyle w:val="Heading1"/>
        <w:spacing w:after="160" w:before="320"/>
      </w:pPr>
      <w:r>
        <w:rPr>
          <w:rFonts w:ascii="Times New Roman" w:cs="Times New Roman" w:eastAsia="SimSun" w:hAnsi="Times New Roman"/>
          <w:b/>
          <w:bCs/>
          <w:color w:val="263238"/>
          <w:sz w:val="28"/>
          <w:szCs w:val="28"/>
        </w:rPr>
        <w:t xml:space="preserve">3. Preliminaries, Notation, and Threat Model</w:t>
      </w:r>
    </w:p>
    <w:p>
      <w:pPr>
        <w:pStyle w:val="Heading2"/>
        <w:spacing w:after="120" w:before="240"/>
      </w:pPr>
      <w:r>
        <w:rPr>
          <w:rFonts w:ascii="Times New Roman" w:cs="Times New Roman" w:eastAsia="SimSun" w:hAnsi="Times New Roman"/>
          <w:b/>
          <w:bCs/>
          <w:color w:val="263238"/>
          <w:sz w:val="24"/>
          <w:szCs w:val="24"/>
        </w:rPr>
        <w:t xml:space="preserve">3.1 Notation</w:t>
      </w:r>
    </w:p>
    <w:p>
      <w:pPr>
        <w:spacing w:after="120" w:line="276"/>
        <w:ind w:firstLine="431"/>
        <w:jc w:val="both"/>
      </w:pPr>
      <w:r>
        <w:rPr>
          <w:rFonts w:ascii="Times New Roman" w:cs="Times New Roman" w:eastAsia="SimSun" w:hAnsi="Times New Roman"/>
          <w:sz w:val="22"/>
          <w:szCs w:val="22"/>
        </w:rPr>
        <w:t xml:space="preserve">Table 2 collects the notation used throughout. Vectors are column vectors; ⟨u, v⟩ denotes the inner product; ⊕ denotes bitwise XOR; popcount counts set bits.</w:t>
      </w:r>
    </w:p>
    <w:p>
      <w:pPr>
        <w:spacing w:after="200" w:before="60"/>
        <w:jc w:val="center"/>
      </w:pPr>
      <w:r>
        <w:rPr>
          <w:rFonts w:ascii="Times New Roman" w:cs="Times New Roman" w:eastAsia="SimSun" w:hAnsi="Times New Roman"/>
          <w:i/>
          <w:iCs/>
          <w:color w:val="37474F"/>
          <w:sz w:val="18"/>
          <w:szCs w:val="18"/>
        </w:rPr>
        <w:t xml:space="preserve">Table 2. Notation.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EEF3F6" w:val="clear"/>
            <w:tcMar>
              <w:top w:type="dxa" w:w="60"/>
              <w:left w:type="dxa" w:w="80"/>
              <w:bottom w:type="dxa" w:w="60"/>
              <w:right w:type="dxa" w:w="80"/>
            </w:tcMar>
          </w:tcPr>
          <w:p>
            <w:pPr>
              <w:spacing w:after="20" w:line="230"/>
            </w:pPr>
            <w:r>
              <w:rPr>
                <w:rFonts w:ascii="Times New Roman" w:cs="Times New Roman" w:eastAsia="SimSun" w:hAnsi="Times New Roman"/>
                <w:b/>
                <w:bCs/>
                <w:color w:val="263238"/>
                <w:sz w:val="18"/>
                <w:szCs w:val="18"/>
              </w:rPr>
              <w:t xml:space="preserve">Symbol</w:t>
            </w:r>
          </w:p>
        </w:tc>
        <w:tc>
          <w:tcPr>
            <w:tcW w:type="dxa" w:w="6826"/>
            <w:shd w:fill="EEF3F6" w:val="clear"/>
            <w:tcMar>
              <w:top w:type="dxa" w:w="60"/>
              <w:left w:type="dxa" w:w="80"/>
              <w:bottom w:type="dxa" w:w="60"/>
              <w:right w:type="dxa" w:w="80"/>
            </w:tcMar>
          </w:tcPr>
          <w:p>
            <w:pPr>
              <w:spacing w:after="20" w:line="230"/>
            </w:pPr>
            <w:r>
              <w:rPr>
                <w:rFonts w:ascii="Times New Roman" w:cs="Times New Roman" w:eastAsia="SimSun" w:hAnsi="Times New Roman"/>
                <w:b/>
                <w:bCs/>
                <w:color w:val="263238"/>
                <w:sz w:val="18"/>
                <w:szCs w:val="18"/>
              </w:rPr>
              <w:t xml:space="preserve">Meaning</w:t>
            </w:r>
          </w:p>
        </w:tc>
      </w:tr>
      <w:tr>
        <w:tc>
          <w:tcPr>
            <w:tcW w:type="dxa" w:w="22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8"/>
                <w:szCs w:val="18"/>
              </w:rPr>
              <w:t xml:space="preserve">x_face ∈ ℝ^512, x_finger ∈ ℝ^256</w:t>
            </w:r>
          </w:p>
        </w:tc>
        <w:tc>
          <w:tcPr>
            <w:tcW w:type="dxa" w:w="68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8"/>
                <w:szCs w:val="18"/>
              </w:rPr>
              <w:t xml:space="preserve">L2-normalized face and fingerprint embeddings</w:t>
            </w:r>
          </w:p>
        </w:tc>
      </w:tr>
      <w:tr>
        <w:tc>
          <w:tcPr>
            <w:tcW w:type="dxa" w:w="22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8"/>
                <w:szCs w:val="18"/>
              </w:rPr>
              <w:t xml:space="preserve">w = 0.60</w:t>
            </w:r>
          </w:p>
        </w:tc>
        <w:tc>
          <w:tcPr>
            <w:tcW w:type="dxa" w:w="68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8"/>
                <w:szCs w:val="18"/>
              </w:rPr>
              <w:t xml:space="preserve">Face modality weight in feature-level fusion</w:t>
            </w:r>
          </w:p>
        </w:tc>
      </w:tr>
      <w:tr>
        <w:tc>
          <w:tcPr>
            <w:tcW w:type="dxa" w:w="22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8"/>
                <w:szCs w:val="18"/>
              </w:rPr>
              <w:t xml:space="preserve">x ∈ ℝ^768</w:t>
            </w:r>
          </w:p>
        </w:tc>
        <w:tc>
          <w:tcPr>
            <w:tcW w:type="dxa" w:w="68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8"/>
                <w:szCs w:val="18"/>
              </w:rPr>
              <w:t xml:space="preserve">Fused, unit-norm multimodal embedding (d = 768)</w:t>
            </w:r>
          </w:p>
        </w:tc>
      </w:tr>
      <w:tr>
        <w:tc>
          <w:tcPr>
            <w:tcW w:type="dxa" w:w="22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8"/>
                <w:szCs w:val="18"/>
              </w:rPr>
              <w:t xml:space="preserve">μ ∈ ℝ^768</w:t>
            </w:r>
          </w:p>
        </w:tc>
        <w:tc>
          <w:tcPr>
            <w:tcW w:type="dxa" w:w="68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8"/>
                <w:szCs w:val="18"/>
              </w:rPr>
              <w:t xml:space="preserve">Public centering vector fitted on the 180 training subjects</w:t>
            </w:r>
          </w:p>
        </w:tc>
      </w:tr>
      <w:tr>
        <w:tc>
          <w:tcPr>
            <w:tcW w:type="dxa" w:w="22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8"/>
                <w:szCs w:val="18"/>
              </w:rPr>
              <w:t xml:space="preserve">m</w:t>
            </w:r>
          </w:p>
        </w:tc>
        <w:tc>
          <w:tcPr>
            <w:tcW w:type="dxa" w:w="68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8"/>
                <w:szCs w:val="18"/>
              </w:rPr>
              <w:t xml:space="preserve">Projection dimension / template length in bits (default 512)</w:t>
            </w:r>
          </w:p>
        </w:tc>
      </w:tr>
      <w:tr>
        <w:tc>
          <w:tcPr>
            <w:tcW w:type="dxa" w:w="22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8"/>
                <w:szCs w:val="18"/>
              </w:rPr>
              <w:t xml:space="preserve">R ∈ {−1,+1}^(m×768)</w:t>
            </w:r>
          </w:p>
        </w:tc>
        <w:tc>
          <w:tcPr>
            <w:tcW w:type="dxa" w:w="68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8"/>
                <w:szCs w:val="18"/>
              </w:rPr>
              <w:t xml:space="preserve">Key-dependent projection matrix generated by the chaotic engine</w:t>
            </w:r>
          </w:p>
        </w:tc>
      </w:tr>
      <w:tr>
        <w:tc>
          <w:tcPr>
            <w:tcW w:type="dxa" w:w="22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8"/>
                <w:szCs w:val="18"/>
              </w:rPr>
              <w:t xml:space="preserve">x_q ∈ ℤ^768</w:t>
            </w:r>
          </w:p>
        </w:tc>
        <w:tc>
          <w:tcPr>
            <w:tcW w:type="dxa" w:w="68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8"/>
                <w:szCs w:val="18"/>
              </w:rPr>
              <w:t xml:space="preserve">Fixed-point quantization of (x − μ) with scale 2^20</w:t>
            </w:r>
          </w:p>
        </w:tc>
      </w:tr>
      <w:tr>
        <w:tc>
          <w:tcPr>
            <w:tcW w:type="dxa" w:w="22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8"/>
                <w:szCs w:val="18"/>
              </w:rPr>
              <w:t xml:space="preserve">b ∈ {0,1}^m</w:t>
            </w:r>
          </w:p>
        </w:tc>
        <w:tc>
          <w:tcPr>
            <w:tcW w:type="dxa" w:w="68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8"/>
                <w:szCs w:val="18"/>
              </w:rPr>
              <w:t xml:space="preserve">Cancelable binary template, packed to ⌈m/8⌉ bytes (64 bytes at m = 512)</w:t>
            </w:r>
          </w:p>
        </w:tc>
      </w:tr>
      <w:tr>
        <w:tc>
          <w:tcPr>
            <w:tcW w:type="dxa" w:w="22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8"/>
                <w:szCs w:val="18"/>
              </w:rPr>
              <w:t xml:space="preserve">D_H(·,·)</w:t>
            </w:r>
          </w:p>
        </w:tc>
        <w:tc>
          <w:tcPr>
            <w:tcW w:type="dxa" w:w="68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8"/>
                <w:szCs w:val="18"/>
              </w:rPr>
              <w:t xml:space="preserve">Normalized Hamming distance between two templates</w:t>
            </w:r>
          </w:p>
        </w:tc>
      </w:tr>
      <w:tr>
        <w:tc>
          <w:tcPr>
            <w:tcW w:type="dxa" w:w="22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8"/>
                <w:szCs w:val="18"/>
              </w:rPr>
              <w:t xml:space="preserve">τ</w:t>
            </w:r>
          </w:p>
        </w:tc>
        <w:tc>
          <w:tcPr>
            <w:tcW w:type="dxa" w:w="68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8"/>
                <w:szCs w:val="18"/>
              </w:rPr>
              <w:t xml:space="preserve">Verification threshold on D_H calibrated on validation subjects</w:t>
            </w:r>
          </w:p>
        </w:tc>
      </w:tr>
      <w:tr>
        <w:tc>
          <w:tcPr>
            <w:tcW w:type="dxa" w:w="22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8"/>
                <w:szCs w:val="18"/>
              </w:rPr>
              <w:t xml:space="preserve">FMR, FNMR, EER, d′</w:t>
            </w:r>
          </w:p>
        </w:tc>
        <w:tc>
          <w:tcPr>
            <w:tcW w:type="dxa" w:w="68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8"/>
                <w:szCs w:val="18"/>
              </w:rPr>
              <w:t xml:space="preserve">False match rate, false non-match rate, equal error rate, decidability</w:t>
            </w:r>
          </w:p>
        </w:tc>
      </w:tr>
      <w:tr>
        <w:tc>
          <w:tcPr>
            <w:tcW w:type="dxa" w:w="22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8"/>
                <w:szCs w:val="18"/>
              </w:rPr>
              <w:t xml:space="preserve">K, salt, v</w:t>
            </w:r>
          </w:p>
        </w:tc>
        <w:tc>
          <w:tcPr>
            <w:tcW w:type="dxa" w:w="68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8"/>
                <w:szCs w:val="18"/>
              </w:rPr>
              <w:t xml:space="preserve">Transformation key material, per-user 16-byte salt, key version</w:t>
            </w:r>
          </w:p>
        </w:tc>
      </w:tr>
      <w:tr>
        <w:tc>
          <w:tcPr>
            <w:tcW w:type="dxa" w:w="22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8"/>
                <w:szCs w:val="18"/>
              </w:rPr>
              <w:t xml:space="preserve">D_sys ∈ [0,1]</w:t>
            </w:r>
          </w:p>
        </w:tc>
        <w:tc>
          <w:tcPr>
            <w:tcW w:type="dxa" w:w="68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8"/>
                <w:szCs w:val="18"/>
              </w:rPr>
              <w:t xml:space="preserve">Global system unlinkability metric of Gomez-Barrero et al. [14]</w:t>
            </w:r>
          </w:p>
        </w:tc>
      </w:tr>
    </w:tbl>
    <w:p>
      <w:pPr>
        <w:pStyle w:val="Heading2"/>
        <w:spacing w:after="120" w:before="240"/>
      </w:pPr>
      <w:r>
        <w:rPr>
          <w:rFonts w:ascii="Times New Roman" w:cs="Times New Roman" w:eastAsia="SimSun" w:hAnsi="Times New Roman"/>
          <w:b/>
          <w:bCs/>
          <w:color w:val="263238"/>
          <w:sz w:val="24"/>
          <w:szCs w:val="24"/>
        </w:rPr>
        <w:t xml:space="preserve">3.2 Embeddings, Normalization, and Fusion Geometry</w:t>
      </w:r>
    </w:p>
    <w:p>
      <w:pPr>
        <w:spacing w:after="120" w:line="276"/>
        <w:ind w:firstLine="431"/>
        <w:jc w:val="both"/>
      </w:pPr>
      <w:r>
        <w:rPr>
          <w:rFonts w:ascii="Times New Roman" w:cs="Times New Roman" w:eastAsia="SimSun" w:hAnsi="Times New Roman"/>
          <w:sz w:val="22"/>
          <w:szCs w:val="22"/>
        </w:rPr>
        <w:t xml:space="preserve">Face and fingerprint encoders map preprocessed inputs to continuous embeddings, which are L2-normalized to the unit hypersphere:</w:t>
      </w:r>
    </w:p>
    <w:p>
      <w:pPr>
        <w:tabs>
          <w:tab w:val="center" w:pos="4500"/>
          <w:tab w:val="right" w:pos="9000"/>
        </w:tabs>
        <w:spacing w:after="120" w:before="100"/>
      </w:pPr>
      <w:r>
        <w:tab/>
      </w:r>
      <m:oMath>
        <m:r>
          <m:t>x_face = Φ_face(I_face) / ‖Φ_face(I_face)‖₂,   x_finger = Φ_finger(I_finger) / ‖Φ_finger(I_finger)‖₂</m:t>
        </m:r>
      </m:oMath>
      <w:r>
        <w:rPr>
          <w:rFonts w:ascii="Times New Roman" w:cs="Times New Roman" w:eastAsia="SimSun" w:hAnsi="Times New Roman"/>
          <w:sz w:val="22"/>
          <w:szCs w:val="22"/>
        </w:rPr>
        <w:tab/>
        <w:t>(1)</w:t>
      </w:r>
    </w:p>
    <w:p>
      <w:pPr>
        <w:spacing w:after="120" w:line="276"/>
        <w:ind w:firstLine="431"/>
        <w:jc w:val="both"/>
      </w:pPr>
      <w:r>
        <w:rPr>
          <w:rFonts w:ascii="Times New Roman" w:cs="Times New Roman" w:eastAsia="SimSun" w:hAnsi="Times New Roman"/>
          <w:sz w:val="22"/>
          <w:szCs w:val="22"/>
        </w:rPr>
        <w:t xml:space="preserve">Under unit normalization, Euclidean distance and cosine similarity are monotonically linked, ‖u − v‖₂² = 2(1 − cos(u, v)), so either can drive matching. Fusion concatenates the two unit vectors with square-root weights:</w:t>
      </w:r>
    </w:p>
    <w:p>
      <w:pPr>
        <w:tabs>
          <w:tab w:val="center" w:pos="4500"/>
          <w:tab w:val="right" w:pos="9000"/>
        </w:tabs>
        <w:spacing w:after="120" w:before="100"/>
      </w:pPr>
      <w:r>
        <w:tab/>
      </w:r>
      <m:oMath>
        <m:r>
          <m:t>x = [ √w · x_face ;  √(1−w) · x_finger ] ∈ ℝ⁷⁶⁸</m:t>
        </m:r>
      </m:oMath>
      <w:r>
        <w:rPr>
          <w:rFonts w:ascii="Times New Roman" w:cs="Times New Roman" w:eastAsia="SimSun" w:hAnsi="Times New Roman"/>
          <w:sz w:val="22"/>
          <w:szCs w:val="22"/>
        </w:rPr>
        <w:tab/>
        <w:t>(2)</w:t>
      </w:r>
    </w:p>
    <w:p>
      <w:pPr>
        <w:spacing w:after="120" w:line="276"/>
        <w:ind w:firstLine="431"/>
        <w:jc w:val="both"/>
      </w:pPr>
      <w:r>
        <w:rPr>
          <w:rFonts w:ascii="Times New Roman" w:cs="Times New Roman" w:eastAsia="SimSun" w:hAnsi="Times New Roman"/>
          <w:sz w:val="22"/>
          <w:szCs w:val="22"/>
        </w:rPr>
        <w:t xml:space="preserve">Proposition 1 (unit-norm preservation). If ‖x_face‖₂ = ‖x_finger‖₂ = 1 and w ∈ [0, 1], then the fused vector in (2) satisfies ‖x‖₂ = 1. Proof: ‖x‖₂² = w‖x_face‖₂² + (1−w)‖x_finger‖₂² = w + (1−w) = 1. The construction therefore needs no renormalization step, and the weight w continuously interpolates the contribution of the two modalities; w = 0.60 was selected on the validation split (Section 5).</w:t>
      </w:r>
    </w:p>
    <w:p>
      <w:pPr>
        <w:pStyle w:val="Heading2"/>
        <w:spacing w:after="120" w:before="240"/>
      </w:pPr>
      <w:r>
        <w:rPr>
          <w:rFonts w:ascii="Times New Roman" w:cs="Times New Roman" w:eastAsia="SimSun" w:hAnsi="Times New Roman"/>
          <w:b/>
          <w:bCs/>
          <w:color w:val="263238"/>
          <w:sz w:val="24"/>
          <w:szCs w:val="24"/>
        </w:rPr>
        <w:t xml:space="preserve">3.3 Sign Projections Preserve Angles — and Therefore Leak</w:t>
      </w:r>
    </w:p>
    <w:p>
      <w:pPr>
        <w:spacing w:after="120" w:line="276"/>
        <w:ind w:firstLine="431"/>
        <w:jc w:val="both"/>
      </w:pPr>
      <w:r>
        <w:rPr>
          <w:rFonts w:ascii="Times New Roman" w:cs="Times New Roman" w:eastAsia="SimSun" w:hAnsi="Times New Roman"/>
          <w:sz w:val="22"/>
          <w:szCs w:val="22"/>
        </w:rPr>
        <w:t xml:space="preserve">For two unit vectors u, v with angle θ(u, v) = arccos⟨u, v⟩, a Gaussian random hyperplane r satisfies [V3], [V4]:</w:t>
      </w:r>
    </w:p>
    <w:p>
      <w:pPr>
        <w:tabs>
          <w:tab w:val="center" w:pos="4500"/>
          <w:tab w:val="right" w:pos="9000"/>
        </w:tabs>
        <w:spacing w:after="120" w:before="100"/>
      </w:pPr>
      <w:r>
        <w:tab/>
      </w:r>
      <m:oMath>
        <m:r>
          <m:t>Pr[ sign⟨u, r⟩ ≠ sign⟨v, r⟩ ] = θ(u, v) / π</m:t>
        </m:r>
      </m:oMath>
      <w:r>
        <w:rPr>
          <w:rFonts w:ascii="Times New Roman" w:cs="Times New Roman" w:eastAsia="SimSun" w:hAnsi="Times New Roman"/>
          <w:sz w:val="22"/>
          <w:szCs w:val="22"/>
        </w:rPr>
        <w:tab/>
        <w:t>(3)</w:t>
      </w:r>
    </w:p>
    <w:p>
      <w:pPr>
        <w:spacing w:after="120" w:line="276"/>
        <w:ind w:firstLine="431"/>
        <w:jc w:val="both"/>
      </w:pPr>
      <w:r>
        <w:rPr>
          <w:rFonts w:ascii="Times New Roman" w:cs="Times New Roman" w:eastAsia="SimSun" w:hAnsi="Times New Roman"/>
          <w:sz w:val="22"/>
          <w:szCs w:val="22"/>
        </w:rPr>
        <w:t xml:space="preserve">so the expected normalized Hamming distance between the sign codes equals θ/π. For ZK-CaMBio’s ±1 chaotic matrix R this identity is an approximation, not an exact identity; the project’s measured regression slope of D_H against θ/π is about 1.01, close to the theoretical value. Genuine pairs (small θ) map to small D_H; impostor pairs (θ near π/2 in high dimensions) map to D_H near 0.5. This is the mechanism that preserves recognition accuracy — and it is a double-edged sword. Because the template is, bit by bit, a noisy linear measurement of the embedding, an adversary who knows R obtains m linear sign constraints on x. As m grows, those constraints localize x ever more tightly: accuracy and information leakage rise together. Section 8 quantifies this coupling empirically, and Section 9 discusses it as the paper’s central finding.</w:t>
      </w:r>
    </w:p>
    <w:p>
      <w:pPr>
        <w:pStyle w:val="Heading2"/>
        <w:spacing w:after="120" w:before="240"/>
      </w:pPr>
      <w:r>
        <w:rPr>
          <w:rFonts w:ascii="Times New Roman" w:cs="Times New Roman" w:eastAsia="SimSun" w:hAnsi="Times New Roman"/>
          <w:b/>
          <w:bCs/>
          <w:color w:val="263238"/>
          <w:sz w:val="24"/>
          <w:szCs w:val="24"/>
        </w:rPr>
        <w:t xml:space="preserve">3.4 Performance and Unlinkability Metrics</w:t>
      </w:r>
    </w:p>
    <w:p>
      <w:pPr>
        <w:spacing w:after="120" w:line="276"/>
        <w:ind w:firstLine="431"/>
        <w:jc w:val="both"/>
      </w:pPr>
      <w:r>
        <w:rPr>
          <w:rFonts w:ascii="Times New Roman" w:cs="Times New Roman" w:eastAsia="SimSun" w:hAnsi="Times New Roman"/>
          <w:sz w:val="22"/>
          <w:szCs w:val="22"/>
        </w:rPr>
        <w:t xml:space="preserve">FMR(τ) and FNMR(τ) are the impostor-acceptance and genuine-rejection rates at threshold τ; the EER is their common value at the crossing point τ_EER. The decidability index d′ = |μ_imp − μ_gen| / √(½(σ_imp² + σ_gen²)) summarizes distribution separation. Rank-1 identification accuracy is the fraction of probes whose nearest gallery template (by D_H) belongs to the correct identity. Confidence intervals are two-sided 95% percentile intervals from 1,000 paired bootstrap resamples over test subjects, in the spirit of the subsets bootstrap for biometric error analysis [V31]. Unlinkability is measured by D_sys [14]: the score-local measure max(0, 1 − p(s|H_nm)/p(s|H_m)) integrated against the mated distribution, where H_m pairs same-subject templates under different keys and H_nm pairs different-subject templates under different keys. D_sys = 0 denotes full unlinkability, D_sys = 1 full linkability; there is no normative acceptance threshold, and we report values against both endpoints rather than a cut-off.</w:t>
      </w:r>
    </w:p>
    <w:p>
      <w:pPr>
        <w:pStyle w:val="Heading2"/>
        <w:spacing w:after="120" w:before="240"/>
      </w:pPr>
      <w:r>
        <w:rPr>
          <w:rFonts w:ascii="Times New Roman" w:cs="Times New Roman" w:eastAsia="SimSun" w:hAnsi="Times New Roman"/>
          <w:b/>
          <w:bCs/>
          <w:color w:val="263238"/>
          <w:sz w:val="24"/>
          <w:szCs w:val="24"/>
        </w:rPr>
        <w:t xml:space="preserve">3.5 Threat Model</w:t>
      </w:r>
    </w:p>
    <w:p>
      <w:pPr>
        <w:spacing w:after="120" w:line="276"/>
        <w:ind w:firstLine="431"/>
        <w:jc w:val="both"/>
      </w:pPr>
      <w:r>
        <w:rPr>
          <w:rFonts w:ascii="Times New Roman" w:cs="Times New Roman" w:eastAsia="SimSun" w:hAnsi="Times New Roman"/>
          <w:sz w:val="22"/>
          <w:szCs w:val="22"/>
        </w:rPr>
        <w:t xml:space="preserve">Table 3 defines the six adversary cases A1–A6 used throughout the evaluation. We distinguish what the adversary holds (templates, keys, multiple services, an oracle) from what the adversary wants (reconstruction, linkage, access).</w:t>
      </w:r>
    </w:p>
    <w:p>
      <w:pPr>
        <w:spacing w:after="200" w:before="60"/>
        <w:jc w:val="center"/>
      </w:pPr>
      <w:r>
        <w:rPr>
          <w:rFonts w:ascii="Times New Roman" w:cs="Times New Roman" w:eastAsia="SimSun" w:hAnsi="Times New Roman"/>
          <w:i/>
          <w:iCs/>
          <w:color w:val="37474F"/>
          <w:sz w:val="18"/>
          <w:szCs w:val="18"/>
        </w:rPr>
        <w:t xml:space="preserve">Table 3. Threat model: adversary knowledge and objective.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2700"/>
        <w:gridCol w:w="2126"/>
      </w:tblGrid>
      <w:tr>
        <w:trPr>
          <w:tblHeader/>
        </w:trPr>
        <w:tc>
          <w:tcPr>
            <w:tcW w:type="dxa" w:w="900"/>
            <w:shd w:fill="EEF3F6" w:val="clear"/>
            <w:tcMar>
              <w:top w:type="dxa" w:w="60"/>
              <w:left w:type="dxa" w:w="80"/>
              <w:bottom w:type="dxa" w:w="60"/>
              <w:right w:type="dxa" w:w="80"/>
            </w:tcMar>
          </w:tcPr>
          <w:p>
            <w:pPr>
              <w:spacing w:after="20" w:line="230"/>
            </w:pPr>
            <w:r>
              <w:rPr>
                <w:rFonts w:ascii="Times New Roman" w:cs="Times New Roman" w:eastAsia="SimSun" w:hAnsi="Times New Roman"/>
                <w:b/>
                <w:bCs/>
                <w:color w:val="263238"/>
                <w:sz w:val="17"/>
                <w:szCs w:val="17"/>
              </w:rPr>
              <w:t xml:space="preserve">Case</w:t>
            </w:r>
          </w:p>
        </w:tc>
        <w:tc>
          <w:tcPr>
            <w:tcW w:type="dxa" w:w="3300"/>
            <w:shd w:fill="EEF3F6" w:val="clear"/>
            <w:tcMar>
              <w:top w:type="dxa" w:w="60"/>
              <w:left w:type="dxa" w:w="80"/>
              <w:bottom w:type="dxa" w:w="60"/>
              <w:right w:type="dxa" w:w="80"/>
            </w:tcMar>
          </w:tcPr>
          <w:p>
            <w:pPr>
              <w:spacing w:after="20" w:line="230"/>
            </w:pPr>
            <w:r>
              <w:rPr>
                <w:rFonts w:ascii="Times New Roman" w:cs="Times New Roman" w:eastAsia="SimSun" w:hAnsi="Times New Roman"/>
                <w:b/>
                <w:bCs/>
                <w:color w:val="263238"/>
                <w:sz w:val="17"/>
                <w:szCs w:val="17"/>
              </w:rPr>
              <w:t xml:space="preserve">Adversary knowledge</w:t>
            </w:r>
          </w:p>
        </w:tc>
        <w:tc>
          <w:tcPr>
            <w:tcW w:type="dxa" w:w="2700"/>
            <w:shd w:fill="EEF3F6" w:val="clear"/>
            <w:tcMar>
              <w:top w:type="dxa" w:w="60"/>
              <w:left w:type="dxa" w:w="80"/>
              <w:bottom w:type="dxa" w:w="60"/>
              <w:right w:type="dxa" w:w="80"/>
            </w:tcMar>
          </w:tcPr>
          <w:p>
            <w:pPr>
              <w:spacing w:after="20" w:line="230"/>
            </w:pPr>
            <w:r>
              <w:rPr>
                <w:rFonts w:ascii="Times New Roman" w:cs="Times New Roman" w:eastAsia="SimSun" w:hAnsi="Times New Roman"/>
                <w:b/>
                <w:bCs/>
                <w:color w:val="263238"/>
                <w:sz w:val="17"/>
                <w:szCs w:val="17"/>
              </w:rPr>
              <w:t xml:space="preserve">Objective</w:t>
            </w:r>
          </w:p>
        </w:tc>
        <w:tc>
          <w:tcPr>
            <w:tcW w:type="dxa" w:w="2126"/>
            <w:shd w:fill="EEF3F6" w:val="clear"/>
            <w:tcMar>
              <w:top w:type="dxa" w:w="60"/>
              <w:left w:type="dxa" w:w="80"/>
              <w:bottom w:type="dxa" w:w="60"/>
              <w:right w:type="dxa" w:w="80"/>
            </w:tcMar>
          </w:tcPr>
          <w:p>
            <w:pPr>
              <w:spacing w:after="20" w:line="230"/>
            </w:pPr>
            <w:r>
              <w:rPr>
                <w:rFonts w:ascii="Times New Roman" w:cs="Times New Roman" w:eastAsia="SimSun" w:hAnsi="Times New Roman"/>
                <w:b/>
                <w:bCs/>
                <w:color w:val="263238"/>
                <w:sz w:val="17"/>
                <w:szCs w:val="17"/>
              </w:rPr>
              <w:t xml:space="preserve">Primary defense</w:t>
            </w:r>
          </w:p>
        </w:tc>
      </w:tr>
      <w:tr>
        <w:tc>
          <w:tcPr>
            <w:tcW w:type="dxa" w:w="9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A1</w:t>
            </w:r>
          </w:p>
        </w:tc>
        <w:tc>
          <w:tcPr>
            <w:tcW w:type="dxa" w:w="33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Database: packed templates b, public salts</w:t>
            </w:r>
          </w:p>
        </w:tc>
        <w:tc>
          <w:tcPr>
            <w:tcW w:type="dxa" w:w="27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Reconstruct x or identify the user</w:t>
            </w:r>
          </w:p>
        </w:tc>
        <w:tc>
          <w:tcPr>
            <w:tcW w:type="dxa" w:w="21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Key secrecy; 64-byte templates carry no plaintext structure</w:t>
            </w:r>
          </w:p>
        </w:tc>
      </w:tr>
      <w:tr>
        <w:tc>
          <w:tcPr>
            <w:tcW w:type="dxa" w:w="9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A2</w:t>
            </w:r>
          </w:p>
        </w:tc>
        <w:tc>
          <w:tcPr>
            <w:tcW w:type="dxa" w:w="33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Database + transformation key K</w:t>
            </w:r>
          </w:p>
        </w:tc>
        <w:tc>
          <w:tcPr>
            <w:tcW w:type="dxa" w:w="27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Reconstruct x; replay x̂ against unprotected systems</w:t>
            </w:r>
          </w:p>
        </w:tc>
        <w:tc>
          <w:tcPr>
            <w:tcW w:type="dxa" w:w="21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None at the algorithmic level — measured in Section 8.1</w:t>
            </w:r>
          </w:p>
        </w:tc>
      </w:tr>
      <w:tr>
        <w:tc>
          <w:tcPr>
            <w:tcW w:type="dxa" w:w="9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A3</w:t>
            </w:r>
          </w:p>
        </w:tc>
        <w:tc>
          <w:tcPr>
            <w:tcW w:type="dxa" w:w="33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Two services’ templates and keys (b_A, K_A), (b_B, K_B)</w:t>
            </w:r>
          </w:p>
        </w:tc>
        <w:tc>
          <w:tcPr>
            <w:tcW w:type="dxa" w:w="27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Link the same person across services</w:t>
            </w:r>
          </w:p>
        </w:tc>
        <w:tc>
          <w:tcPr>
            <w:tcW w:type="dxa" w:w="21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Key separation; independent salts — measured in Section 8.2</w:t>
            </w:r>
          </w:p>
        </w:tc>
      </w:tr>
      <w:tr>
        <w:tc>
          <w:tcPr>
            <w:tcW w:type="dxa" w:w="9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A4</w:t>
            </w:r>
          </w:p>
        </w:tc>
        <w:tc>
          <w:tcPr>
            <w:tcW w:type="dxa" w:w="33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Network: intercepted template or API transcript</w:t>
            </w:r>
          </w:p>
        </w:tc>
        <w:tc>
          <w:tcPr>
            <w:tcW w:type="dxa" w:w="27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Replay captured credentials</w:t>
            </w:r>
          </w:p>
        </w:tc>
        <w:tc>
          <w:tcPr>
            <w:tcW w:type="dxa" w:w="21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Score suppression, TLS; challenge–response is future work (Section 10)</w:t>
            </w:r>
          </w:p>
        </w:tc>
      </w:tr>
      <w:tr>
        <w:tc>
          <w:tcPr>
            <w:tcW w:type="dxa" w:w="9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A5</w:t>
            </w:r>
          </w:p>
        </w:tc>
        <w:tc>
          <w:tcPr>
            <w:tcW w:type="dxa" w:w="33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Revoked key K_v and retired template b_v</w:t>
            </w:r>
          </w:p>
        </w:tc>
        <w:tc>
          <w:tcPr>
            <w:tcW w:type="dxa" w:w="27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Authenticate after revocation</w:t>
            </w:r>
          </w:p>
        </w:tc>
        <w:tc>
          <w:tcPr>
            <w:tcW w:type="dxa" w:w="21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Key versioning and re-enrollment (Section 7)</w:t>
            </w:r>
          </w:p>
        </w:tc>
      </w:tr>
      <w:tr>
        <w:tc>
          <w:tcPr>
            <w:tcW w:type="dxa" w:w="9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A6</w:t>
            </w:r>
          </w:p>
        </w:tc>
        <w:tc>
          <w:tcPr>
            <w:tcW w:type="dxa" w:w="33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Black-box match oracle (boolean or score)</w:t>
            </w:r>
          </w:p>
        </w:tc>
        <w:tc>
          <w:tcPr>
            <w:tcW w:type="dxa" w:w="27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Hill-climb toward acceptance; brute force keys</w:t>
            </w:r>
          </w:p>
        </w:tc>
        <w:tc>
          <w:tcPr>
            <w:tcW w:type="dxa" w:w="21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Score suppression, escalating lockout, scrypt stretching</w:t>
            </w:r>
          </w:p>
        </w:tc>
      </w:tr>
    </w:tbl>
    <w:p>
      <w:pPr>
        <w:spacing w:after="120" w:line="276"/>
        <w:ind w:firstLine="431"/>
        <w:jc w:val="both"/>
      </w:pPr>
      <w:r>
        <w:rPr>
          <w:rFonts w:ascii="Times New Roman" w:cs="Times New Roman" w:eastAsia="SimSun" w:hAnsi="Times New Roman"/>
          <w:sz w:val="22"/>
          <w:szCs w:val="22"/>
        </w:rPr>
        <w:t xml:space="preserve">Two boundary remarks. First, A2 is deliberately not assumed away: the whole point of Section 8 is to measure how bad key compromise is, rather than to declare it out of scope. Second, no defense at the template layer can substitute for key management; the system-level mitigations against A4 and A6 (score suppression, lockout) are software controls, evaluated as such in Section 5.4 and Section 8.4.</w:t>
      </w:r>
    </w:p>
    <w:p>
      <w:pPr>
        <w:pStyle w:val="Heading1"/>
        <w:spacing w:after="160" w:before="320"/>
      </w:pPr>
      <w:r>
        <w:rPr>
          <w:rFonts w:ascii="Times New Roman" w:cs="Times New Roman" w:eastAsia="SimSun" w:hAnsi="Times New Roman"/>
          <w:b/>
          <w:bCs/>
          <w:color w:val="263238"/>
          <w:sz w:val="28"/>
          <w:szCs w:val="28"/>
        </w:rPr>
        <w:t xml:space="preserve">4. Method: The ZK-CaMBio Transformation Pipeline</w:t>
      </w:r>
    </w:p>
    <w:p>
      <w:pPr>
        <w:spacing w:after="120" w:line="276"/>
        <w:ind w:firstLine="431"/>
        <w:jc w:val="both"/>
      </w:pPr>
      <w:r>
        <w:rPr>
          <w:rFonts w:ascii="Times New Roman" w:cs="Times New Roman" w:eastAsia="SimSun" w:hAnsi="Times New Roman"/>
          <w:sz w:val="22"/>
          <w:szCs w:val="22"/>
        </w:rPr>
        <w:t xml:space="preserve">Figure 1 summarizes the end-to-end pipeline from biometric presentation to stored template; the subsections specify each stage.</w:t>
      </w:r>
    </w:p>
    <w:p>
      <w:pPr>
        <w:spacing w:after="40" w:before="120"/>
        <w:jc w:val="center"/>
      </w:pPr>
      <w:r>
        <w:drawing>
          <wp:inline distT="0" distB="0" distL="0" distR="0">
            <wp:extent cx="59055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390900"/>
                    </a:xfrm>
                    <a:prstGeom prst="rect">
                      <a:avLst/>
                    </a:prstGeom>
                  </pic:spPr>
                </pic:pic>
              </a:graphicData>
            </a:graphic>
          </wp:inline>
        </w:drawing>
      </w:r>
    </w:p>
    <w:p>
      <w:pPr>
        <w:spacing w:after="200" w:before="60"/>
        <w:jc w:val="center"/>
      </w:pPr>
      <w:r>
        <w:rPr>
          <w:rFonts w:ascii="Times New Roman" w:cs="Times New Roman" w:eastAsia="SimSun" w:hAnsi="Times New Roman"/>
          <w:i/>
          <w:iCs/>
          <w:color w:val="37474F"/>
          <w:sz w:val="18"/>
          <w:szCs w:val="18"/>
        </w:rPr>
        <w:t xml:space="preserve">Figure 1. ZK-CaMBio enrollment and verification pipeline (schematic). The server stores only packed 512-bit templates and non-secret metadata; raw images and continuous embeddings are discarded after extraction.</w:t>
      </w:r>
    </w:p>
    <w:p>
      <w:pPr>
        <w:pStyle w:val="Heading2"/>
        <w:spacing w:after="120" w:before="240"/>
      </w:pPr>
      <w:r>
        <w:rPr>
          <w:rFonts w:ascii="Times New Roman" w:cs="Times New Roman" w:eastAsia="SimSun" w:hAnsi="Times New Roman"/>
          <w:b/>
          <w:bCs/>
          <w:color w:val="263238"/>
          <w:sz w:val="24"/>
          <w:szCs w:val="24"/>
        </w:rPr>
        <w:t xml:space="preserve">4.1 Feature Extraction</w:t>
      </w:r>
    </w:p>
    <w:p>
      <w:pPr>
        <w:spacing w:after="120" w:line="276"/>
        <w:ind w:firstLine="431"/>
        <w:jc w:val="both"/>
      </w:pPr>
      <w:r>
        <w:rPr>
          <w:rFonts w:ascii="Times New Roman" w:cs="Times New Roman" w:eastAsia="SimSun" w:hAnsi="Times New Roman"/>
          <w:sz w:val="22"/>
          <w:szCs w:val="22"/>
        </w:rPr>
        <w:t xml:space="preserve">Face branch. Face crops are 112×112 aligned crops from the UMDFaces release, resized to 160×160, intensity-normalized to [−1, 1] via (x − 127.5)/128, and fed to InceptionResnetV1 [V25], [V26] initialized with VGGFace2-pretrained weights [18] as packaged by the facenet-pytorch library [V27]; inference runs under torch.no_grad() and the 512-d output is L2-normalized.</w:t>
      </w:r>
    </w:p>
    <w:p>
      <w:pPr>
        <w:spacing w:after="120" w:line="276"/>
        <w:ind w:firstLine="431"/>
        <w:jc w:val="both"/>
      </w:pPr>
      <w:r>
        <w:rPr>
          <w:rFonts w:ascii="Times New Roman" w:cs="Times New Roman" w:eastAsia="SimSun" w:hAnsi="Times New Roman"/>
          <w:sz w:val="22"/>
          <w:szCs w:val="22"/>
        </w:rPr>
        <w:t xml:space="preserve">Fingerprint branch. FingerResNet18 V2 adapts a ResNet-18 backbone [V24] to single-channel 128×128 fingerprint inputs: the first convolution takes in_channels = 1 (7×7 kernel, stride 2, padding 3), and the classification head is replaced by a linear projection to 256 dimensions followed by L2 normalization. The network was fine-tuned from ImageNet initialization with a CosFace-style margin loss [V29] on a training pool of 150 in-distribution fingers, 100 synthetic fingers from FVC2004 DB4_A (SFinGe-generated), and 40 fingers from the FVC2004 B-sets, with early stopping on 30 validation fingers. The use of synthetic fingerprint data in training is a deviation from a purely real-data regime and is flagged as a limitation (Section 10).</w:t>
      </w:r>
    </w:p>
    <w:p>
      <w:pPr>
        <w:spacing w:after="120" w:line="276"/>
        <w:ind w:firstLine="431"/>
        <w:jc w:val="both"/>
      </w:pPr>
      <w:r>
        <w:rPr>
          <w:rFonts w:ascii="Times New Roman" w:cs="Times New Roman" w:eastAsia="SimSun" w:hAnsi="Times New Roman"/>
          <w:sz w:val="22"/>
          <w:szCs w:val="22"/>
        </w:rPr>
        <w:t xml:space="preserve">Fingerprint preprocessing V2. The final preprocessing is a fixed-scale, centroid-centred crop pipeline: intensity normalization, estimation of the ridge centroid, a fixed-scale crop to 128×128 around that centroid, and contrast-limited adaptive histogram equalization. We record for honesty that the earlier V1 pipeline — block-variance foreground masking with per-block normalization — failed: it destabilized embeddings across impressions of the same finger and was abandoned after validation-split testing (project decision record). The failure matters scientifically: preprocessing choice, not the encoder, dominated early fingerprint error rates, and the S2a Gabor baseline in Section 6 quantifies how badly a classical pipeline performs on these data.</w:t>
      </w:r>
    </w:p>
    <w:p>
      <w:pPr>
        <w:pStyle w:val="Heading2"/>
        <w:spacing w:after="120" w:before="240"/>
      </w:pPr>
      <w:r>
        <w:rPr>
          <w:rFonts w:ascii="Times New Roman" w:cs="Times New Roman" w:eastAsia="SimSun" w:hAnsi="Times New Roman"/>
          <w:b/>
          <w:bCs/>
          <w:color w:val="263238"/>
          <w:sz w:val="24"/>
          <w:szCs w:val="24"/>
        </w:rPr>
        <w:t xml:space="preserve">4.2 Weighted Feature-Level Fusion</w:t>
      </w:r>
    </w:p>
    <w:p>
      <w:pPr>
        <w:spacing w:after="120" w:line="276"/>
        <w:ind w:firstLine="431"/>
        <w:jc w:val="both"/>
      </w:pPr>
      <w:r>
        <w:rPr>
          <w:rFonts w:ascii="Times New Roman" w:cs="Times New Roman" w:eastAsia="SimSun" w:hAnsi="Times New Roman"/>
          <w:sz w:val="22"/>
          <w:szCs w:val="22"/>
        </w:rPr>
        <w:t xml:space="preserve">Fusion follows (2): the two unit-norm embeddings are scaled by √w and √(1−w) and concatenated into a 768-d unit-norm vector (Proposition 1). With w = 0.60, the effective per-dimension weight is √0.60 ≈ 0.7746 for face and √0.40 ≈ 0.6325 for fingerprint. Because both branches are unit-norm, no modality dominates through magnitude alone; the weight tunes the angular contribution of each modality to the fused geometry.</w:t>
      </w:r>
    </w:p>
    <w:p>
      <w:pPr>
        <w:pStyle w:val="Heading2"/>
        <w:spacing w:after="120" w:before="240"/>
      </w:pPr>
      <w:r>
        <w:rPr>
          <w:rFonts w:ascii="Times New Roman" w:cs="Times New Roman" w:eastAsia="SimSun" w:hAnsi="Times New Roman"/>
          <w:b/>
          <w:bCs/>
          <w:color w:val="263238"/>
          <w:sz w:val="24"/>
          <w:szCs w:val="24"/>
        </w:rPr>
        <w:t xml:space="preserve">4.3 Key Derivation</w:t>
      </w:r>
    </w:p>
    <w:p>
      <w:pPr>
        <w:spacing w:after="120" w:line="276"/>
        <w:ind w:firstLine="431"/>
        <w:jc w:val="both"/>
      </w:pPr>
      <w:r>
        <w:rPr>
          <w:rFonts w:ascii="Times New Roman" w:cs="Times New Roman" w:eastAsia="SimSun" w:hAnsi="Times New Roman"/>
          <w:sz w:val="22"/>
          <w:szCs w:val="22"/>
        </w:rPr>
        <w:t xml:space="preserve">In user-secret mode, the user’s passphrase is stretched with the memory-hard scrypt function (N = 16384, r = 8, p = 1, dkLen = 32) [V13] together with a per-user random 16-byte salt stored as users.kdf_salt. The stretched key is bound to application, user, and key-version context through HMAC-SHA256 [V14]:</w:t>
      </w:r>
    </w:p>
    <w:p>
      <w:pPr>
        <w:tabs>
          <w:tab w:val="center" w:pos="4500"/>
          <w:tab w:val="right" w:pos="9000"/>
        </w:tabs>
        <w:spacing w:after="120" w:before="100"/>
      </w:pPr>
      <w:r>
        <w:tab/>
      </w:r>
      <m:oMath>
        <m:r>
          <m:t>seed = HMAC-SHA256(K_master,  "zkcambio" ‖ salt_app ‖ v ‖ user_id ‖ K_stretched)</m:t>
        </m:r>
      </m:oMath>
      <w:r>
        <w:rPr>
          <w:rFonts w:ascii="Times New Roman" w:cs="Times New Roman" w:eastAsia="SimSun" w:hAnsi="Times New Roman"/>
          <w:sz w:val="22"/>
          <w:szCs w:val="22"/>
        </w:rPr>
        <w:tab/>
        <w:t>(4)</w:t>
      </w:r>
    </w:p>
    <w:p>
      <w:pPr>
        <w:spacing w:after="120" w:line="276"/>
        <w:ind w:firstLine="431"/>
        <w:jc w:val="both"/>
      </w:pPr>
      <w:r>
        <w:rPr>
          <w:rFonts w:ascii="Times New Roman" w:cs="Times New Roman" w:eastAsia="SimSun" w:hAnsi="Times New Roman"/>
          <w:sz w:val="22"/>
          <w:szCs w:val="22"/>
        </w:rPr>
        <w:t xml:space="preserve">The 32-byte seed initializes the chaotic engine (initial state Z₀ from seed bytes [0:8], map parameter from bytes [8:16]). Because the salt and user identifier enter the HMAC input, two users with identical passphrases derive mutually independent projection matrices; this key-separation property is exercised by a dedicated test (two users, same passphrase, same key version, different templates). In server-key mode the per-user key is stored (encrypted) server-side; user-secret mode stores no key material at all, which is the entire content of the “zero-knowledge” label (Section 2.7).</w:t>
      </w:r>
    </w:p>
    <w:p>
      <w:pPr>
        <w:pStyle w:val="Heading2"/>
        <w:spacing w:after="120" w:before="240"/>
      </w:pPr>
      <w:r>
        <w:rPr>
          <w:rFonts w:ascii="Times New Roman" w:cs="Times New Roman" w:eastAsia="SimSun" w:hAnsi="Times New Roman"/>
          <w:b/>
          <w:bCs/>
          <w:color w:val="263238"/>
          <w:sz w:val="24"/>
          <w:szCs w:val="24"/>
        </w:rPr>
        <w:t xml:space="preserve">4.4 Deterministic Chaotic Projection Engine</w:t>
      </w:r>
    </w:p>
    <w:p>
      <w:pPr>
        <w:spacing w:after="120" w:line="276"/>
        <w:ind w:firstLine="431"/>
        <w:jc w:val="both"/>
      </w:pPr>
      <w:r>
        <w:rPr>
          <w:rFonts w:ascii="Times New Roman" w:cs="Times New Roman" w:eastAsia="SimSun" w:hAnsi="Times New Roman"/>
          <w:sz w:val="22"/>
          <w:szCs w:val="22"/>
        </w:rPr>
        <w:t xml:space="preserve">The projection matrix R ∈ {−1,+1}^(m×768) is generated on demand by a one-dimensional logistic map z_{n+1} = r·z_n·(1 − z_n) [V15] with r ∈ [3.9, 4.0), the regime of fully developed chaos (positive Lyapunov exponent λ = ln 2). Chaotic iteration is attractive here because the matrix need never be stored — only the 32-byte seed — but it creates a determinism hazard: floating-point chaotic trajectories diverge across compilers and CPUs because of fused multiply-add contraction, register-width differences, and instruction scheduling. The engine therefore runs entirely in integer fixed-point arithmetic in C++17: states are 64-bit unsigned integers, transitions use a fixed-point scale with integer multiply–shift, the build disables FMA (-ffp-contract=off under GCC/Clang, /fp:precise under MSVC), and an 8192-entry cycle guard with a Weyl-sequence reseed prevents orbital collapse into short limit cycles. Bit-exactness across Windows MSVC and Linux GCC builds is checked by a known-answer test (KAT) run inside Docker.</w:t>
      </w:r>
    </w:p>
    <w:p>
      <w:pPr>
        <w:spacing w:after="120" w:line="276"/>
        <w:ind w:firstLine="431"/>
        <w:jc w:val="both"/>
      </w:pPr>
      <w:r>
        <w:rPr>
          <w:rFonts w:ascii="Times New Roman" w:cs="Times New Roman" w:eastAsia="SimSun" w:hAnsi="Times New Roman"/>
          <w:sz w:val="22"/>
          <w:szCs w:val="22"/>
        </w:rPr>
        <w:t xml:space="preserve">We emphasize what this does and does not establish (cf. [V16]): integer determinism makes the transform reproducible, not cryptographically pseudorandom. A logistic map is not a CSPRNG; its security role here is only to expand a seed into a projection matrix, and seed secrecy comes from scrypt/HMAC, not from chaos. Replacing the map with a counter-mode CSPRNG such as ChaCha20 is listed as future hardening (Section 10).</w:t>
      </w:r>
    </w:p>
    <w:p>
      <w:pPr>
        <w:pStyle w:val="Heading2"/>
        <w:spacing w:after="120" w:before="240"/>
      </w:pPr>
      <w:r>
        <w:rPr>
          <w:rFonts w:ascii="Times New Roman" w:cs="Times New Roman" w:eastAsia="SimSun" w:hAnsi="Times New Roman"/>
          <w:b/>
          <w:bCs/>
          <w:color w:val="263238"/>
          <w:sz w:val="24"/>
          <w:szCs w:val="24"/>
        </w:rPr>
        <w:t xml:space="preserve">4.5 Quantization, Binarization, and Matching</w:t>
      </w:r>
    </w:p>
    <w:p>
      <w:pPr>
        <w:spacing w:after="120" w:line="276"/>
        <w:ind w:firstLine="431"/>
        <w:jc w:val="both"/>
      </w:pPr>
      <w:r>
        <w:rPr>
          <w:rFonts w:ascii="Times New Roman" w:cs="Times New Roman" w:eastAsia="SimSun" w:hAnsi="Times New Roman"/>
          <w:sz w:val="22"/>
          <w:szCs w:val="22"/>
        </w:rPr>
        <w:t xml:space="preserve">Before projection, the fused vector is centered by the public mean μ fitted on the 180 training subjects (not on validation or test data) and quantized to 32-bit signed integers at a fixed scale of 2^20:</w:t>
      </w:r>
    </w:p>
    <w:p>
      <w:pPr>
        <w:tabs>
          <w:tab w:val="center" w:pos="4500"/>
          <w:tab w:val="right" w:pos="9000"/>
        </w:tabs>
        <w:spacing w:after="120" w:before="100"/>
      </w:pPr>
      <w:r>
        <w:tab/>
      </w:r>
      <m:oMath>
        <m:r>
          <m:t>x_q = round( 2²⁰ · (x − μ) ) ∈ ℤ⁷⁶⁸</m:t>
        </m:r>
      </m:oMath>
      <w:r>
        <w:rPr>
          <w:rFonts w:ascii="Times New Roman" w:cs="Times New Roman" w:eastAsia="SimSun" w:hAnsi="Times New Roman"/>
          <w:sz w:val="22"/>
          <w:szCs w:val="22"/>
        </w:rPr>
        <w:tab/>
        <w:t>(5)</w:t>
      </w:r>
    </w:p>
    <w:p>
      <w:pPr>
        <w:spacing w:after="120" w:line="276"/>
        <w:ind w:firstLine="431"/>
        <w:jc w:val="both"/>
      </w:pPr>
      <w:r>
        <w:rPr>
          <w:rFonts w:ascii="Times New Roman" w:cs="Times New Roman" w:eastAsia="SimSun" w:hAnsi="Times New Roman"/>
          <w:sz w:val="22"/>
          <w:szCs w:val="22"/>
        </w:rPr>
        <w:t xml:space="preserve">Each template bit is the sign of a fixed-point inner product accumulated in 64-bit integer registers:</w:t>
      </w:r>
    </w:p>
    <w:p>
      <w:pPr>
        <w:tabs>
          <w:tab w:val="center" w:pos="4500"/>
          <w:tab w:val="right" w:pos="9000"/>
        </w:tabs>
        <w:spacing w:after="120" w:before="100"/>
      </w:pPr>
      <w:r>
        <w:tab/>
      </w:r>
      <m:oMath>
        <m:r>
          <m:t>b_j = 1  ⇔  Σ_{i=1}^{768} R_{j,i} · x_{q,i} ≥ 0,   j = 1, …, m</m:t>
        </m:r>
      </m:oMath>
      <w:r>
        <w:rPr>
          <w:rFonts w:ascii="Times New Roman" w:cs="Times New Roman" w:eastAsia="SimSun" w:hAnsi="Times New Roman"/>
          <w:sz w:val="22"/>
          <w:szCs w:val="22"/>
        </w:rPr>
        <w:tab/>
        <w:t>(6)</w:t>
      </w:r>
    </w:p>
    <w:p>
      <w:pPr>
        <w:spacing w:after="120" w:line="276"/>
        <w:ind w:firstLine="431"/>
        <w:jc w:val="both"/>
      </w:pPr>
      <w:r>
        <w:rPr>
          <w:rFonts w:ascii="Times New Roman" w:cs="Times New Roman" w:eastAsia="SimSun" w:hAnsi="Times New Roman"/>
          <w:sz w:val="22"/>
          <w:szCs w:val="22"/>
        </w:rPr>
        <w:t xml:space="preserve">The m bits are packed into ⌈m/8⌉ bytes — exactly 64 bytes at m = 512. Matching is normalized Hamming distance, D_H(b, b′) = popcount(b ⊕ b′)/m, and verification accepts iff D_H ≤ τ. Algorithms 1 and 2 give enrollment and verification in pseudocode.</w:t>
      </w:r>
    </w:p>
    <w:p>
      <w:pPr>
        <w:spacing w:after="200" w:before="60"/>
        <w:jc w:val="center"/>
      </w:pPr>
      <w:r>
        <w:rPr>
          <w:rFonts w:ascii="Times New Roman" w:cs="Times New Roman" w:eastAsia="SimSun" w:hAnsi="Times New Roman"/>
          <w:i/>
          <w:iCs/>
          <w:color w:val="37474F"/>
          <w:sz w:val="18"/>
          <w:szCs w:val="18"/>
        </w:rPr>
        <w:t xml:space="preserve">Algorithm 1. Enrollment (user-secret mode).</w:t>
      </w:r>
    </w:p>
    <w:p>
      <w:pPr>
        <w:shd w:fill="F5F7F8" w:val="clear"/>
        <w:spacing w:after="0" w:line="240"/>
        <w:ind w:left="240"/>
      </w:pPr>
      <w:r>
        <w:rPr>
          <w:rFonts w:ascii="Consolas" w:cs="Consolas" w:eastAsia="SimSun" w:hAnsi="Consolas"/>
          <w:sz w:val="18"/>
          <w:szCs w:val="18"/>
        </w:rPr>
        <w:t xml:space="preserve">Input: 5 face crops, 5 fingerprint impressions, passphrase, user_id</w:t>
      </w:r>
    </w:p>
    <w:p>
      <w:pPr>
        <w:shd w:fill="F5F7F8" w:val="clear"/>
        <w:spacing w:after="0" w:line="240"/>
        <w:ind w:left="240"/>
      </w:pPr>
      <w:r>
        <w:rPr>
          <w:rFonts w:ascii="Consolas" w:cs="Consolas" w:eastAsia="SimSun" w:hAnsi="Consolas"/>
          <w:sz w:val="18"/>
          <w:szCs w:val="18"/>
        </w:rPr>
        <w:t xml:space="preserve">1. Extract embeddings; L2-normalize each sample.</w:t>
      </w:r>
    </w:p>
    <w:p>
      <w:pPr>
        <w:shd w:fill="F5F7F8" w:val="clear"/>
        <w:spacing w:after="0" w:line="240"/>
        <w:ind w:left="240"/>
      </w:pPr>
      <w:r>
        <w:rPr>
          <w:rFonts w:ascii="Consolas" w:cs="Consolas" w:eastAsia="SimSun" w:hAnsi="Consolas"/>
          <w:sz w:val="18"/>
          <w:szCs w:val="18"/>
        </w:rPr>
        <w:t xml:space="preserve">2. Quality gate (FR-12): prune samples whose pairwise cosine falls below</w:t>
      </w:r>
    </w:p>
    <w:p>
      <w:pPr>
        <w:shd w:fill="F5F7F8" w:val="clear"/>
        <w:spacing w:after="0" w:line="240"/>
        <w:ind w:left="240"/>
      </w:pPr>
      <w:r>
        <w:rPr>
          <w:rFonts w:ascii="Consolas" w:cs="Consolas" w:eastAsia="SimSun" w:hAnsi="Consolas"/>
          <w:sz w:val="18"/>
          <w:szCs w:val="18"/>
        </w:rPr>
        <w:t xml:space="preserve">   tau_face = 0.45 or tau_finger = 0.60; reject enrollment (HTTP 422) if</w:t>
      </w:r>
    </w:p>
    <w:p>
      <w:pPr>
        <w:shd w:fill="F5F7F8" w:val="clear"/>
        <w:spacing w:after="0" w:line="240"/>
        <w:ind w:left="240"/>
      </w:pPr>
      <w:r>
        <w:rPr>
          <w:rFonts w:ascii="Consolas" w:cs="Consolas" w:eastAsia="SimSun" w:hAnsi="Consolas"/>
          <w:sz w:val="18"/>
          <w:szCs w:val="18"/>
        </w:rPr>
        <w:t xml:space="preserve">   fewer than 3 consistent samples remain for either modality.</w:t>
      </w:r>
    </w:p>
    <w:p>
      <w:pPr>
        <w:shd w:fill="F5F7F8" w:val="clear"/>
        <w:spacing w:after="0" w:line="240"/>
        <w:ind w:left="240"/>
      </w:pPr>
      <w:r>
        <w:rPr>
          <w:rFonts w:ascii="Consolas" w:cs="Consolas" w:eastAsia="SimSun" w:hAnsi="Consolas"/>
          <w:sz w:val="18"/>
          <w:szCs w:val="18"/>
        </w:rPr>
        <w:t xml:space="preserve">3. Average surviving samples per modality; renormalize; fuse with w = 0.60.</w:t>
      </w:r>
    </w:p>
    <w:p>
      <w:pPr>
        <w:shd w:fill="F5F7F8" w:val="clear"/>
        <w:spacing w:after="0" w:line="240"/>
        <w:ind w:left="240"/>
      </w:pPr>
      <w:r>
        <w:rPr>
          <w:rFonts w:ascii="Consolas" w:cs="Consolas" w:eastAsia="SimSun" w:hAnsi="Consolas"/>
          <w:sz w:val="18"/>
          <w:szCs w:val="18"/>
        </w:rPr>
        <w:t xml:space="preserve">4. salt &lt;- random(16 B); K_stretched &lt;- scrypt(passphrase, salt).</w:t>
      </w:r>
    </w:p>
    <w:p>
      <w:pPr>
        <w:shd w:fill="F5F7F8" w:val="clear"/>
        <w:spacing w:after="0" w:line="240"/>
        <w:ind w:left="240"/>
      </w:pPr>
      <w:r>
        <w:rPr>
          <w:rFonts w:ascii="Consolas" w:cs="Consolas" w:eastAsia="SimSun" w:hAnsi="Consolas"/>
          <w:sz w:val="18"/>
          <w:szCs w:val="18"/>
        </w:rPr>
        <w:t xml:space="preserve">5. seed &lt;- HMAC-SHA256(K_master, context ‖ salt ‖ v ‖ user_id ‖ K_stretched).</w:t>
      </w:r>
    </w:p>
    <w:p>
      <w:pPr>
        <w:shd w:fill="F5F7F8" w:val="clear"/>
        <w:spacing w:after="0" w:line="240"/>
        <w:ind w:left="240"/>
      </w:pPr>
      <w:r>
        <w:rPr>
          <w:rFonts w:ascii="Consolas" w:cs="Consolas" w:eastAsia="SimSun" w:hAnsi="Consolas"/>
          <w:sz w:val="18"/>
          <w:szCs w:val="18"/>
        </w:rPr>
        <w:t xml:space="preserve">6. R &lt;- ChaosEngine(seed);  x_q &lt;- round(2^20 * (x - mu));  b &lt;- sign(R x_q).</w:t>
      </w:r>
    </w:p>
    <w:p>
      <w:pPr>
        <w:shd w:fill="F5F7F8" w:val="clear"/>
        <w:spacing w:after="0" w:line="240"/>
        <w:ind w:left="240"/>
      </w:pPr>
      <w:r>
        <w:rPr>
          <w:rFonts w:ascii="Consolas" w:cs="Consolas" w:eastAsia="SimSun" w:hAnsi="Consolas"/>
          <w:sz w:val="18"/>
          <w:szCs w:val="18"/>
        </w:rPr>
        <w:t xml:space="preserve">7. Store (user_id, v, salt, pack(b)). Delete images, crops, and embeddings.</w:t>
      </w:r>
    </w:p>
    <w:p>
      <w:pPr>
        <w:spacing w:after="200" w:before="60"/>
        <w:jc w:val="center"/>
      </w:pPr>
      <w:r>
        <w:rPr>
          <w:rFonts w:ascii="Times New Roman" w:cs="Times New Roman" w:eastAsia="SimSun" w:hAnsi="Times New Roman"/>
          <w:i/>
          <w:iCs/>
          <w:color w:val="37474F"/>
          <w:sz w:val="18"/>
          <w:szCs w:val="18"/>
        </w:rPr>
        <w:t xml:space="preserve">Algorithm 2. Verification (1:1).</w:t>
      </w:r>
    </w:p>
    <w:p>
      <w:pPr>
        <w:shd w:fill="F5F7F8" w:val="clear"/>
        <w:spacing w:after="0" w:line="240"/>
        <w:ind w:left="240"/>
      </w:pPr>
      <w:r>
        <w:rPr>
          <w:rFonts w:ascii="Consolas" w:cs="Consolas" w:eastAsia="SimSun" w:hAnsi="Consolas"/>
          <w:sz w:val="18"/>
          <w:szCs w:val="18"/>
        </w:rPr>
        <w:t xml:space="preserve">Input: 1 face crop, 1 fingerprint impression, passphrase, claimed user_id</w:t>
      </w:r>
    </w:p>
    <w:p>
      <w:pPr>
        <w:shd w:fill="F5F7F8" w:val="clear"/>
        <w:spacing w:after="0" w:line="240"/>
        <w:ind w:left="240"/>
      </w:pPr>
      <w:r>
        <w:rPr>
          <w:rFonts w:ascii="Consolas" w:cs="Consolas" w:eastAsia="SimSun" w:hAnsi="Consolas"/>
          <w:sz w:val="18"/>
          <w:szCs w:val="18"/>
        </w:rPr>
        <w:t xml:space="preserve">1. Load (v, salt, b_gal) for user_id; recompute seed as in Algorithm 1.</w:t>
      </w:r>
    </w:p>
    <w:p>
      <w:pPr>
        <w:shd w:fill="F5F7F8" w:val="clear"/>
        <w:spacing w:after="0" w:line="240"/>
        <w:ind w:left="240"/>
      </w:pPr>
      <w:r>
        <w:rPr>
          <w:rFonts w:ascii="Consolas" w:cs="Consolas" w:eastAsia="SimSun" w:hAnsi="Consolas"/>
          <w:sz w:val="18"/>
          <w:szCs w:val="18"/>
        </w:rPr>
        <w:t xml:space="preserve">2. Extract, fuse, center, quantize the probe; project to b_prb.</w:t>
      </w:r>
    </w:p>
    <w:p>
      <w:pPr>
        <w:shd w:fill="F5F7F8" w:val="clear"/>
        <w:spacing w:after="0" w:line="240"/>
        <w:ind w:left="240"/>
      </w:pPr>
      <w:r>
        <w:rPr>
          <w:rFonts w:ascii="Consolas" w:cs="Consolas" w:eastAsia="SimSun" w:hAnsi="Consolas"/>
          <w:sz w:val="18"/>
          <w:szCs w:val="18"/>
        </w:rPr>
        <w:t xml:space="preserve">3. d &lt;- popcount(b_gal XOR b_prb) / m.</w:t>
      </w:r>
    </w:p>
    <w:p>
      <w:pPr>
        <w:shd w:fill="F5F7F8" w:val="clear"/>
        <w:spacing w:after="0" w:line="240"/>
        <w:ind w:left="240"/>
      </w:pPr>
      <w:r>
        <w:rPr>
          <w:rFonts w:ascii="Consolas" w:cs="Consolas" w:eastAsia="SimSun" w:hAnsi="Consolas"/>
          <w:sz w:val="18"/>
          <w:szCs w:val="18"/>
        </w:rPr>
        <w:t xml:space="preserve">4. Return (d &lt;= tau). In production mode, return only this boolean;</w:t>
      </w:r>
    </w:p>
    <w:p>
      <w:pPr>
        <w:shd w:fill="F5F7F8" w:val="clear"/>
        <w:spacing w:after="0" w:line="240"/>
        <w:ind w:left="240"/>
      </w:pPr>
      <w:r>
        <w:rPr>
          <w:rFonts w:ascii="Consolas" w:cs="Consolas" w:eastAsia="SimSun" w:hAnsi="Consolas"/>
          <w:sz w:val="18"/>
          <w:szCs w:val="18"/>
        </w:rPr>
        <w:t xml:space="preserve">   numeric scores are suppressed unless DEV_MODE is enabled.</w:t>
      </w:r>
    </w:p>
    <w:p>
      <w:pPr>
        <w:shd w:fill="F5F7F8" w:val="clear"/>
        <w:spacing w:after="0" w:line="240"/>
        <w:ind w:left="240"/>
      </w:pPr>
      <w:r>
        <w:rPr>
          <w:rFonts w:ascii="Consolas" w:cs="Consolas" w:eastAsia="SimSun" w:hAnsi="Consolas"/>
          <w:sz w:val="18"/>
          <w:szCs w:val="18"/>
        </w:rPr>
        <w:t xml:space="preserve">5. On failure, increment the per-user and per-IP rate-limit counters and</w:t>
      </w:r>
    </w:p>
    <w:p>
      <w:pPr>
        <w:shd w:fill="F5F7F8" w:val="clear"/>
        <w:spacing w:after="0" w:line="240"/>
        <w:ind w:left="240"/>
      </w:pPr>
      <w:r>
        <w:rPr>
          <w:rFonts w:ascii="Consolas" w:cs="Consolas" w:eastAsia="SimSun" w:hAnsi="Consolas"/>
          <w:sz w:val="18"/>
          <w:szCs w:val="18"/>
        </w:rPr>
        <w:t xml:space="preserve">   apply the escalating delay; append the attempt to the audit log.</w:t>
      </w:r>
    </w:p>
    <w:p>
      <w:pPr>
        <w:pStyle w:val="Heading2"/>
        <w:spacing w:after="120" w:before="240"/>
      </w:pPr>
      <w:r>
        <w:rPr>
          <w:rFonts w:ascii="Times New Roman" w:cs="Times New Roman" w:eastAsia="SimSun" w:hAnsi="Times New Roman"/>
          <w:b/>
          <w:bCs/>
          <w:color w:val="263238"/>
          <w:sz w:val="24"/>
          <w:szCs w:val="24"/>
        </w:rPr>
        <w:t xml:space="preserve">4.6 Parameter Summary</w:t>
      </w:r>
    </w:p>
    <w:p>
      <w:pPr>
        <w:spacing w:after="200" w:before="60"/>
        <w:jc w:val="center"/>
      </w:pPr>
      <w:r>
        <w:rPr>
          <w:rFonts w:ascii="Times New Roman" w:cs="Times New Roman" w:eastAsia="SimSun" w:hAnsi="Times New Roman"/>
          <w:i/>
          <w:iCs/>
          <w:color w:val="37474F"/>
          <w:sz w:val="18"/>
          <w:szCs w:val="18"/>
        </w:rPr>
        <w:t xml:space="preserve">Table 4. Principal parameters of the evaluated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226"/>
      </w:tblGrid>
      <w:tr>
        <w:trPr>
          <w:tblHeader/>
        </w:trPr>
        <w:tc>
          <w:tcPr>
            <w:tcW w:type="dxa" w:w="3400"/>
            <w:shd w:fill="EEF3F6" w:val="clear"/>
            <w:tcMar>
              <w:top w:type="dxa" w:w="60"/>
              <w:left w:type="dxa" w:w="80"/>
              <w:bottom w:type="dxa" w:w="60"/>
              <w:right w:type="dxa" w:w="80"/>
            </w:tcMar>
          </w:tcPr>
          <w:p>
            <w:pPr>
              <w:spacing w:after="20" w:line="230"/>
            </w:pPr>
            <w:r>
              <w:rPr>
                <w:rFonts w:ascii="Times New Roman" w:cs="Times New Roman" w:eastAsia="SimSun" w:hAnsi="Times New Roman"/>
                <w:b/>
                <w:bCs/>
                <w:color w:val="263238"/>
                <w:sz w:val="17"/>
                <w:szCs w:val="17"/>
              </w:rPr>
              <w:t xml:space="preserve">Parameter</w:t>
            </w:r>
          </w:p>
        </w:tc>
        <w:tc>
          <w:tcPr>
            <w:tcW w:type="dxa" w:w="2400"/>
            <w:shd w:fill="EEF3F6" w:val="clear"/>
            <w:tcMar>
              <w:top w:type="dxa" w:w="60"/>
              <w:left w:type="dxa" w:w="80"/>
              <w:bottom w:type="dxa" w:w="60"/>
              <w:right w:type="dxa" w:w="80"/>
            </w:tcMar>
          </w:tcPr>
          <w:p>
            <w:pPr>
              <w:spacing w:after="20" w:line="230"/>
            </w:pPr>
            <w:r>
              <w:rPr>
                <w:rFonts w:ascii="Times New Roman" w:cs="Times New Roman" w:eastAsia="SimSun" w:hAnsi="Times New Roman"/>
                <w:b/>
                <w:bCs/>
                <w:color w:val="263238"/>
                <w:sz w:val="17"/>
                <w:szCs w:val="17"/>
              </w:rPr>
              <w:t xml:space="preserve">Value</w:t>
            </w:r>
          </w:p>
        </w:tc>
        <w:tc>
          <w:tcPr>
            <w:tcW w:type="dxa" w:w="3226"/>
            <w:shd w:fill="EEF3F6" w:val="clear"/>
            <w:tcMar>
              <w:top w:type="dxa" w:w="60"/>
              <w:left w:type="dxa" w:w="80"/>
              <w:bottom w:type="dxa" w:w="60"/>
              <w:right w:type="dxa" w:w="80"/>
            </w:tcMar>
          </w:tcPr>
          <w:p>
            <w:pPr>
              <w:spacing w:after="20" w:line="230"/>
            </w:pPr>
            <w:r>
              <w:rPr>
                <w:rFonts w:ascii="Times New Roman" w:cs="Times New Roman" w:eastAsia="SimSun" w:hAnsi="Times New Roman"/>
                <w:b/>
                <w:bCs/>
                <w:color w:val="263238"/>
                <w:sz w:val="17"/>
                <w:szCs w:val="17"/>
              </w:rPr>
              <w:t xml:space="preserve">Source / selection</w:t>
            </w:r>
          </w:p>
        </w:tc>
      </w:tr>
      <w:tr>
        <w:tc>
          <w:tcPr>
            <w:tcW w:type="dxa" w:w="34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Face encoder / embedding</w:t>
            </w:r>
          </w:p>
        </w:tc>
        <w:tc>
          <w:tcPr>
            <w:tcW w:type="dxa" w:w="24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InceptionResnetV1, 512-d</w:t>
            </w:r>
          </w:p>
        </w:tc>
        <w:tc>
          <w:tcPr>
            <w:tcW w:type="dxa" w:w="32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VGGFace2-pretrained [18], [V27]</w:t>
            </w:r>
          </w:p>
        </w:tc>
      </w:tr>
      <w:tr>
        <w:tc>
          <w:tcPr>
            <w:tcW w:type="dxa" w:w="34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Fingerprint encoder / embedding</w:t>
            </w:r>
          </w:p>
        </w:tc>
        <w:tc>
          <w:tcPr>
            <w:tcW w:type="dxa" w:w="24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FingerResNet18 V2, 256-d</w:t>
            </w:r>
          </w:p>
        </w:tc>
        <w:tc>
          <w:tcPr>
            <w:tcW w:type="dxa" w:w="32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Fine-tuned ResNet-18 [V24], CosFace-style loss [V29]</w:t>
            </w:r>
          </w:p>
        </w:tc>
      </w:tr>
      <w:tr>
        <w:tc>
          <w:tcPr>
            <w:tcW w:type="dxa" w:w="34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Fusion weight w</w:t>
            </w:r>
          </w:p>
        </w:tc>
        <w:tc>
          <w:tcPr>
            <w:tcW w:type="dxa" w:w="24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0.60</w:t>
            </w:r>
          </w:p>
        </w:tc>
        <w:tc>
          <w:tcPr>
            <w:tcW w:type="dxa" w:w="32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Grid search on 30 validation subjects</w:t>
            </w:r>
          </w:p>
        </w:tc>
      </w:tr>
      <w:tr>
        <w:tc>
          <w:tcPr>
            <w:tcW w:type="dxa" w:w="34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Fused dimension d</w:t>
            </w:r>
          </w:p>
        </w:tc>
        <w:tc>
          <w:tcPr>
            <w:tcW w:type="dxa" w:w="24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768</w:t>
            </w:r>
          </w:p>
        </w:tc>
        <w:tc>
          <w:tcPr>
            <w:tcW w:type="dxa" w:w="32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By construction (512 + 256)</w:t>
            </w:r>
          </w:p>
        </w:tc>
      </w:tr>
      <w:tr>
        <w:tc>
          <w:tcPr>
            <w:tcW w:type="dxa" w:w="34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Template length m</w:t>
            </w:r>
          </w:p>
        </w:tc>
        <w:tc>
          <w:tcPr>
            <w:tcW w:type="dxa" w:w="24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512 bits (64 bytes)</w:t>
            </w:r>
          </w:p>
        </w:tc>
        <w:tc>
          <w:tcPr>
            <w:tcW w:type="dxa" w:w="32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Sensitivity sweep m ∈ {64,…,1024}, Section 6.3</w:t>
            </w:r>
          </w:p>
        </w:tc>
      </w:tr>
      <w:tr>
        <w:tc>
          <w:tcPr>
            <w:tcW w:type="dxa" w:w="34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Quantization scale</w:t>
            </w:r>
          </w:p>
        </w:tc>
        <w:tc>
          <w:tcPr>
            <w:tcW w:type="dxa" w:w="24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2^20 (fixed point)</w:t>
            </w:r>
          </w:p>
        </w:tc>
        <w:tc>
          <w:tcPr>
            <w:tcW w:type="dxa" w:w="32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C++17 engine configuration</w:t>
            </w:r>
          </w:p>
        </w:tc>
      </w:tr>
      <w:tr>
        <w:tc>
          <w:tcPr>
            <w:tcW w:type="dxa" w:w="34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Chaotic map</w:t>
            </w:r>
          </w:p>
        </w:tc>
        <w:tc>
          <w:tcPr>
            <w:tcW w:type="dxa" w:w="24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Logistic, r ∈ [3.9, 4.0)</w:t>
            </w:r>
          </w:p>
        </w:tc>
        <w:tc>
          <w:tcPr>
            <w:tcW w:type="dxa" w:w="32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8192-entry cycle guard, Weyl reseed</w:t>
            </w:r>
          </w:p>
        </w:tc>
      </w:tr>
      <w:tr>
        <w:tc>
          <w:tcPr>
            <w:tcW w:type="dxa" w:w="34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scrypt parameters</w:t>
            </w:r>
          </w:p>
        </w:tc>
        <w:tc>
          <w:tcPr>
            <w:tcW w:type="dxa" w:w="24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N = 16384, r = 8, p = 1, dkLen = 32</w:t>
            </w:r>
          </w:p>
        </w:tc>
        <w:tc>
          <w:tcPr>
            <w:tcW w:type="dxa" w:w="32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Project security decision record</w:t>
            </w:r>
          </w:p>
        </w:tc>
      </w:tr>
      <w:tr>
        <w:tc>
          <w:tcPr>
            <w:tcW w:type="dxa" w:w="34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Enrollment gates</w:t>
            </w:r>
          </w:p>
        </w:tc>
        <w:tc>
          <w:tcPr>
            <w:tcW w:type="dxa" w:w="24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tau_face = 0.45, tau_finger = 0.60</w:t>
            </w:r>
          </w:p>
        </w:tc>
        <w:tc>
          <w:tcPr>
            <w:tcW w:type="dxa" w:w="32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Calibrated on validation; see D-017 note, Section 5.5</w:t>
            </w:r>
          </w:p>
        </w:tc>
      </w:tr>
      <w:tr>
        <w:tc>
          <w:tcPr>
            <w:tcW w:type="dxa" w:w="34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Operating thresholds</w:t>
            </w:r>
          </w:p>
        </w:tc>
        <w:tc>
          <w:tcPr>
            <w:tcW w:type="dxa" w:w="24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tau_EER = 0.3504, tau_0.1% = 0.3010</w:t>
            </w:r>
          </w:p>
        </w:tc>
        <w:tc>
          <w:tcPr>
            <w:tcW w:type="dxa" w:w="32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Calibrated on validation subjects</w:t>
            </w:r>
          </w:p>
        </w:tc>
      </w:tr>
    </w:tbl>
    <w:p>
      <w:pPr>
        <w:pStyle w:val="Heading1"/>
        <w:spacing w:after="160" w:before="320"/>
      </w:pPr>
      <w:r>
        <w:rPr>
          <w:rFonts w:ascii="Times New Roman" w:cs="Times New Roman" w:eastAsia="SimSun" w:hAnsi="Times New Roman"/>
          <w:b/>
          <w:bCs/>
          <w:color w:val="263238"/>
          <w:sz w:val="28"/>
          <w:szCs w:val="28"/>
        </w:rPr>
        <w:t xml:space="preserve">5. Dataset and Experimental Protocol</w:t>
      </w:r>
    </w:p>
    <w:p>
      <w:pPr>
        <w:pStyle w:val="Heading2"/>
        <w:spacing w:after="120" w:before="240"/>
      </w:pPr>
      <w:r>
        <w:rPr>
          <w:rFonts w:ascii="Times New Roman" w:cs="Times New Roman" w:eastAsia="SimSun" w:hAnsi="Times New Roman"/>
          <w:b/>
          <w:bCs/>
          <w:color w:val="263238"/>
          <w:sz w:val="24"/>
          <w:szCs w:val="24"/>
        </w:rPr>
        <w:t xml:space="preserve">5.1 Source Corpora</w:t>
      </w:r>
    </w:p>
    <w:p>
      <w:pPr>
        <w:spacing w:after="120" w:line="276"/>
        <w:ind w:firstLine="431"/>
        <w:jc w:val="both"/>
      </w:pPr>
      <w:r>
        <w:rPr>
          <w:rFonts w:ascii="Times New Roman" w:cs="Times New Roman" w:eastAsia="SimSun" w:hAnsi="Times New Roman"/>
          <w:sz w:val="22"/>
          <w:szCs w:val="22"/>
        </w:rPr>
        <w:t xml:space="preserve">Face corpus. UMDFaces [19] provides a large annotated face collection released for research use (see umdfaces.io for terms); we use the distributed 112×112 crop version, resized to 160×160 for the encoder. Fingerprint corpus. FVC2004 [20] provides four benchmark databases; we use DB1_A (optical sensor, 640×480, 500 dpi), DB2_A (optical sensor, 328×364, about 500 dpi), and DB3_A (thermal sweeping sensor, 300×480, 512 dpi), each containing 100 fingers with 8 impressions. DB4 is synthetic (SFinGe); as noted in Section 4.1, 100 DB4_A fingers were used only in training the fingerprint encoder. Sensor specifications follow the Handbook of Fingerprint Recognition [V28].</w:t>
      </w:r>
    </w:p>
    <w:p>
      <w:pPr>
        <w:pStyle w:val="Heading2"/>
        <w:spacing w:after="120" w:before="240"/>
      </w:pPr>
      <w:r>
        <w:rPr>
          <w:rFonts w:ascii="Times New Roman" w:cs="Times New Roman" w:eastAsia="SimSun" w:hAnsi="Times New Roman"/>
          <w:b/>
          <w:bCs/>
          <w:color w:val="263238"/>
          <w:sz w:val="24"/>
          <w:szCs w:val="24"/>
        </w:rPr>
        <w:t xml:space="preserve">5.2 Chimeric Subject Assembly — and Its Validity</w:t>
      </w:r>
    </w:p>
    <w:p>
      <w:pPr>
        <w:spacing w:after="120" w:line="276"/>
        <w:ind w:firstLine="431"/>
        <w:jc w:val="both"/>
      </w:pPr>
      <w:r>
        <w:rPr>
          <w:rFonts w:ascii="Times New Roman" w:cs="Times New Roman" w:eastAsia="SimSun" w:hAnsi="Times New Roman"/>
          <w:sz w:val="22"/>
          <w:szCs w:val="22"/>
        </w:rPr>
        <w:t xml:space="preserve">Because public corpora pairing face and fingerprint for the same individuals under research-permissive terms are essentially unavailable, 300 virtual (“chimeric”) subjects were assembled by pairing distinct UMDFaces identities with distinct FVC2004 fingers under a fixed pseudo-random seed; each virtual subject contributes 5 enrollment samples and 3 probe samples. Chimeric pairing assumes statistical independence between the face and fingerprint traits of a virtual person. Poh and Bengio examined this practice and concluded that conclusions drawn from chimeric users are “questionable” for a large share of multimodal experiments, because real cross-modal dependencies and score correlations are absent by construction [13]. We therefore (a) disclose chimeric assembly in the abstract and here, (b) restrict headline claims to within-chimeric-population behavior, and (c) define Experiment E1 (Appendix B): re-run the pairing and split-preserving test pairing with 10 seeds — encoders are not retrained, only which test face pairs with which test finger changes — and report mean and SD of fused EER, FNMR@0.1%, and Scenario-K EER. E1 has been specified but not yet executed; no multi-seed numbers appear in this manuscript.</w:t>
      </w:r>
    </w:p>
    <w:p>
      <w:pPr>
        <w:pStyle w:val="Heading2"/>
        <w:spacing w:after="120" w:before="240"/>
      </w:pPr>
      <w:r>
        <w:rPr>
          <w:rFonts w:ascii="Times New Roman" w:cs="Times New Roman" w:eastAsia="SimSun" w:hAnsi="Times New Roman"/>
          <w:b/>
          <w:bCs/>
          <w:color w:val="263238"/>
          <w:sz w:val="24"/>
          <w:szCs w:val="24"/>
        </w:rPr>
        <w:t xml:space="preserve">5.3 Subject-Disjoint Splits</w:t>
      </w:r>
    </w:p>
    <w:p>
      <w:pPr>
        <w:spacing w:after="120" w:line="276"/>
        <w:ind w:firstLine="431"/>
        <w:jc w:val="both"/>
      </w:pPr>
      <w:r>
        <w:rPr>
          <w:rFonts w:ascii="Times New Roman" w:cs="Times New Roman" w:eastAsia="SimSun" w:hAnsi="Times New Roman"/>
          <w:sz w:val="22"/>
          <w:szCs w:val="22"/>
        </w:rPr>
        <w:t xml:space="preserve">The 300 subjects are partitioned into disjoint splits (Figure 2): 180 training subjects (fingerprint-encoder fine-tuning, the public centering vector μ, and the attack decoders of Section 8), 30 validation subjects (fusion weight w, projection dimension m, enrollment gates, operating thresholds, and early stopping), and 120 test subjects (all reported metrics). No test subject contributes to any fitted quantity.</w:t>
      </w:r>
    </w:p>
    <w:p>
      <w:pPr>
        <w:spacing w:after="40" w:before="120"/>
        <w:jc w:val="center"/>
      </w:pPr>
      <w:r>
        <w:drawing>
          <wp:inline distT="0" distB="0" distL="0" distR="0">
            <wp:extent cx="59055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019425"/>
                    </a:xfrm>
                    <a:prstGeom prst="rect">
                      <a:avLst/>
                    </a:prstGeom>
                  </pic:spPr>
                </pic:pic>
              </a:graphicData>
            </a:graphic>
          </wp:inline>
        </w:drawing>
      </w:r>
    </w:p>
    <w:p>
      <w:pPr>
        <w:spacing w:after="200" w:before="60"/>
        <w:jc w:val="center"/>
      </w:pPr>
      <w:r>
        <w:rPr>
          <w:rFonts w:ascii="Times New Roman" w:cs="Times New Roman" w:eastAsia="SimSun" w:hAnsi="Times New Roman"/>
          <w:i/>
          <w:iCs/>
          <w:color w:val="37474F"/>
          <w:sz w:val="18"/>
          <w:szCs w:val="18"/>
        </w:rPr>
        <w:t xml:space="preserve">Figure 2. Chimeric dataset assembly and the subject-disjoint 180/30/120 split (schematic). The multi-seed pairing sensitivity experiment E1 is planned but not yet run.</w:t>
      </w:r>
    </w:p>
    <w:p>
      <w:pPr>
        <w:pStyle w:val="Heading2"/>
        <w:spacing w:after="120" w:before="240"/>
      </w:pPr>
      <w:r>
        <w:rPr>
          <w:rFonts w:ascii="Times New Roman" w:cs="Times New Roman" w:eastAsia="SimSun" w:hAnsi="Times New Roman"/>
          <w:b/>
          <w:bCs/>
          <w:color w:val="263238"/>
          <w:sz w:val="24"/>
          <w:szCs w:val="24"/>
        </w:rPr>
        <w:t xml:space="preserve">5.4 Within-Sensor Impostor Protocol (D-009)</w:t>
      </w:r>
    </w:p>
    <w:p>
      <w:pPr>
        <w:spacing w:after="120" w:line="276"/>
        <w:ind w:firstLine="431"/>
        <w:jc w:val="both"/>
      </w:pPr>
      <w:r>
        <w:rPr>
          <w:rFonts w:ascii="Times New Roman" w:cs="Times New Roman" w:eastAsia="SimSun" w:hAnsi="Times New Roman"/>
          <w:sz w:val="22"/>
          <w:szCs w:val="22"/>
        </w:rPr>
        <w:t xml:space="preserve">Cross-sensor impostor pairs (optical against thermal sweep) are artificially easy to reject because ridge scale and noise differ by construction; pooling them would flatter FMR. Protocol D-009 therefore stratifies the 120 test subjects equally across the three databases (40 per database) and forms impostor pairs only within the same database: 40 subjects × 3 probes × 39 other subjects × 3 databases = 14,040 impostor comparisons, against 120 × 3 = 360 genuine comparisons. Genuine and impostor distributions are thus measured under sensor-matched conditions.</w:t>
      </w:r>
    </w:p>
    <w:p>
      <w:pPr>
        <w:pStyle w:val="Heading2"/>
        <w:spacing w:after="120" w:before="240"/>
      </w:pPr>
      <w:r>
        <w:rPr>
          <w:rFonts w:ascii="Times New Roman" w:cs="Times New Roman" w:eastAsia="SimSun" w:hAnsi="Times New Roman"/>
          <w:b/>
          <w:bCs/>
          <w:color w:val="263238"/>
          <w:sz w:val="24"/>
          <w:szCs w:val="24"/>
        </w:rPr>
        <w:t xml:space="preserve">5.5 Leakage Controls and an Honest Threshold Disclosure</w:t>
      </w:r>
    </w:p>
    <w:p>
      <w:pPr>
        <w:spacing w:after="120" w:line="276"/>
        <w:ind w:firstLine="431"/>
        <w:jc w:val="both"/>
      </w:pPr>
      <w:r>
        <w:rPr>
          <w:rFonts w:ascii="Times New Roman" w:cs="Times New Roman" w:eastAsia="SimSun" w:hAnsi="Times New Roman"/>
          <w:sz w:val="22"/>
          <w:szCs w:val="22"/>
        </w:rPr>
        <w:t xml:space="preserve">The split discipline above is the main leakage control: μ is fitted on training subjects; w, m, gates, and thresholds on validation subjects; metrics on test subjects. One exception must be disclosed. The fingerprint enrollment-gate threshold (FR-12) was revised from 0.70 to 0.60 after a first look at test-set rejection behavior (project decision D-017). Consequently, the reported 0.00% test-set enrollment rejection is an observed outcome under a threshold that had seen test behavior, not a clean held-out estimate; we report it as such and flag a re-calibration on validation-only data as required follow-up.</w:t>
      </w:r>
    </w:p>
    <w:p>
      <w:pPr>
        <w:pStyle w:val="Heading2"/>
        <w:spacing w:after="120" w:before="240"/>
      </w:pPr>
      <w:r>
        <w:rPr>
          <w:rFonts w:ascii="Times New Roman" w:cs="Times New Roman" w:eastAsia="SimSun" w:hAnsi="Times New Roman"/>
          <w:b/>
          <w:bCs/>
          <w:color w:val="263238"/>
          <w:sz w:val="24"/>
          <w:szCs w:val="24"/>
        </w:rPr>
        <w:t xml:space="preserve">5.6 Scenarios K and U</w:t>
      </w:r>
    </w:p>
    <w:p>
      <w:pPr>
        <w:spacing w:after="120" w:line="276"/>
        <w:ind w:firstLine="431"/>
        <w:jc w:val="both"/>
      </w:pPr>
      <w:r>
        <w:rPr>
          <w:rFonts w:ascii="Times New Roman" w:cs="Times New Roman" w:eastAsia="SimSun" w:hAnsi="Times New Roman"/>
          <w:sz w:val="22"/>
          <w:szCs w:val="22"/>
        </w:rPr>
        <w:t xml:space="preserve">Following the BioHashing critique tradition [6]–[8], two scenarios separate biometric utility from key entropy. In Scenario K (same key), probe and gallery templates share the transformation key; this measures the recognition utility of genuine users after the transform. In Scenario U (different keys), probes are projected under a mismatched key; this measures key separation — genuine probes should sit at D_H ≈ 0.5, indistinguishable from impostors. Scenario U is a sanity check on the key-dependence of the transform, not evidence of cryptographic strength.</w:t>
      </w:r>
    </w:p>
    <w:p>
      <w:pPr>
        <w:pStyle w:val="Heading2"/>
        <w:spacing w:after="120" w:before="240"/>
      </w:pPr>
      <w:r>
        <w:rPr>
          <w:rFonts w:ascii="Times New Roman" w:cs="Times New Roman" w:eastAsia="SimSun" w:hAnsi="Times New Roman"/>
          <w:b/>
          <w:bCs/>
          <w:color w:val="263238"/>
          <w:sz w:val="24"/>
          <w:szCs w:val="24"/>
        </w:rPr>
        <w:t xml:space="preserve">5.7 Statistical Testing</w:t>
      </w:r>
    </w:p>
    <w:p>
      <w:pPr>
        <w:spacing w:after="120" w:line="276"/>
        <w:ind w:firstLine="431"/>
        <w:jc w:val="both"/>
      </w:pPr>
      <w:r>
        <w:rPr>
          <w:rFonts w:ascii="Times New Roman" w:cs="Times New Roman" w:eastAsia="SimSun" w:hAnsi="Times New Roman"/>
          <w:sz w:val="22"/>
          <w:szCs w:val="22"/>
        </w:rPr>
        <w:t xml:space="preserve">System comparisons use 1,000 paired bootstrap resamples over the 120 test subjects: each resample draws 120 subjects with replacement, recomputes both systems’ metrics on the same resample, and records the paired difference; two-sided 95% percentile intervals are reported. We do not report p-values in this manuscript. A confidence interval that includes zero means no statistically detectable difference at this sample size — not proven equivalence; with 120 test subjects, EER differences up to about 0.7 percentage points remain compatible with the data (Section 6.3).</w:t>
      </w:r>
    </w:p>
    <w:p>
      <w:pPr>
        <w:pStyle w:val="Heading2"/>
        <w:spacing w:after="120" w:before="240"/>
      </w:pPr>
      <w:r>
        <w:rPr>
          <w:rFonts w:ascii="Times New Roman" w:cs="Times New Roman" w:eastAsia="SimSun" w:hAnsi="Times New Roman"/>
          <w:b/>
          <w:bCs/>
          <w:color w:val="263238"/>
          <w:sz w:val="24"/>
          <w:szCs w:val="24"/>
        </w:rPr>
        <w:t xml:space="preserve">5.8 Reproducibility Inputs</w:t>
      </w:r>
    </w:p>
    <w:p>
      <w:pPr>
        <w:spacing w:after="120" w:line="276"/>
        <w:ind w:firstLine="431"/>
        <w:jc w:val="both"/>
      </w:pPr>
      <w:r>
        <w:rPr>
          <w:rFonts w:ascii="Times New Roman" w:cs="Times New Roman" w:eastAsia="SimSun" w:hAnsi="Times New Roman"/>
          <w:sz w:val="22"/>
          <w:szCs w:val="22"/>
        </w:rPr>
        <w:t xml:space="preserve">The project documents a master reproduction script (scripts/reproduce_all.py) that regenerates all experiment JSON artifacts from cached embeddings (documented runtime about 1,007 s), SHA-256 checksums of 47 result artifacts in results/MANIFEST.md, a 58-test pytest suite, and a Linux KAT verifying bit-identical templates against Windows MSVC outputs. This manuscript’s numbers are transcribed from the project’s reported results; the artifact-level consistency audit (Experiment E2, Appendix B) that would reconcile every number against its JSON source is planned and listed in Appendix C as an author action. We did not independently re-execute the pipeline.</w:t>
      </w:r>
    </w:p>
    <w:p>
      <w:pPr>
        <w:pStyle w:val="Heading1"/>
        <w:spacing w:after="160" w:before="320"/>
      </w:pPr>
      <w:r>
        <w:rPr>
          <w:rFonts w:ascii="Times New Roman" w:cs="Times New Roman" w:eastAsia="SimSun" w:hAnsi="Times New Roman"/>
          <w:b/>
          <w:bCs/>
          <w:color w:val="263238"/>
          <w:sz w:val="28"/>
          <w:szCs w:val="28"/>
        </w:rPr>
        <w:t xml:space="preserve">6. Results I: Recognition Performance</w:t>
      </w:r>
    </w:p>
    <w:p>
      <w:pPr>
        <w:spacing w:after="120" w:line="276"/>
        <w:ind w:firstLine="431"/>
        <w:jc w:val="both"/>
      </w:pPr>
      <w:r>
        <w:rPr>
          <w:rFonts w:ascii="Times New Roman" w:cs="Times New Roman" w:eastAsia="SimSun" w:hAnsi="Times New Roman"/>
          <w:sz w:val="22"/>
          <w:szCs w:val="22"/>
        </w:rPr>
        <w:t xml:space="preserve">All numbers in Sections 6–8 are reported results from the project’s evaluation artifacts, transcribed without independent re-execution (Section 12). Bootstrap intervals are over test subjects as described in Section 5.7.</w:t>
      </w:r>
    </w:p>
    <w:p>
      <w:pPr>
        <w:pStyle w:val="Heading2"/>
        <w:spacing w:after="120" w:before="240"/>
      </w:pPr>
      <w:r>
        <w:rPr>
          <w:rFonts w:ascii="Times New Roman" w:cs="Times New Roman" w:eastAsia="SimSun" w:hAnsi="Times New Roman"/>
          <w:b/>
          <w:bCs/>
          <w:color w:val="263238"/>
          <w:sz w:val="24"/>
          <w:szCs w:val="24"/>
        </w:rPr>
        <w:t xml:space="preserve">6.1 Unprotected Baselines</w:t>
      </w:r>
    </w:p>
    <w:p>
      <w:pPr>
        <w:spacing w:after="200" w:before="60"/>
        <w:jc w:val="center"/>
      </w:pPr>
      <w:r>
        <w:rPr>
          <w:rFonts w:ascii="Times New Roman" w:cs="Times New Roman" w:eastAsia="SimSun" w:hAnsi="Times New Roman"/>
          <w:i/>
          <w:iCs/>
          <w:color w:val="37474F"/>
          <w:sz w:val="18"/>
          <w:szCs w:val="18"/>
        </w:rPr>
        <w:t xml:space="preserve">Table 5. Unprotected unimodal baselines (120 test subjects, Protocol D-009; reported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2050"/>
        <w:gridCol w:w="1250"/>
        <w:gridCol w:w="1550"/>
        <w:gridCol w:w="1213"/>
        <w:gridCol w:w="1213"/>
      </w:tblGrid>
      <w:tr>
        <w:trPr>
          <w:tblHeader/>
        </w:trPr>
        <w:tc>
          <w:tcPr>
            <w:tcW w:type="dxa" w:w="1750"/>
            <w:shd w:fill="EEF3F6" w:val="clear"/>
            <w:tcMar>
              <w:top w:type="dxa" w:w="60"/>
              <w:left w:type="dxa" w:w="80"/>
              <w:bottom w:type="dxa" w:w="60"/>
              <w:right w:type="dxa" w:w="80"/>
            </w:tcMar>
          </w:tcPr>
          <w:p>
            <w:pPr>
              <w:spacing w:after="20" w:line="230"/>
            </w:pPr>
            <w:r>
              <w:rPr>
                <w:rFonts w:ascii="Times New Roman" w:cs="Times New Roman" w:eastAsia="SimSun" w:hAnsi="Times New Roman"/>
                <w:b/>
                <w:bCs/>
                <w:color w:val="263238"/>
                <w:sz w:val="17"/>
                <w:szCs w:val="17"/>
              </w:rPr>
              <w:t xml:space="preserve">System</w:t>
            </w:r>
          </w:p>
        </w:tc>
        <w:tc>
          <w:tcPr>
            <w:tcW w:type="dxa" w:w="2050"/>
            <w:shd w:fill="EEF3F6" w:val="clear"/>
            <w:tcMar>
              <w:top w:type="dxa" w:w="60"/>
              <w:left w:type="dxa" w:w="80"/>
              <w:bottom w:type="dxa" w:w="60"/>
              <w:right w:type="dxa" w:w="80"/>
            </w:tcMar>
          </w:tcPr>
          <w:p>
            <w:pPr>
              <w:spacing w:after="20" w:line="230"/>
            </w:pPr>
            <w:r>
              <w:rPr>
                <w:rFonts w:ascii="Times New Roman" w:cs="Times New Roman" w:eastAsia="SimSun" w:hAnsi="Times New Roman"/>
                <w:b/>
                <w:bCs/>
                <w:color w:val="263238"/>
                <w:sz w:val="17"/>
                <w:szCs w:val="17"/>
              </w:rPr>
              <w:t xml:space="preserve">Extractor</w:t>
            </w:r>
          </w:p>
        </w:tc>
        <w:tc>
          <w:tcPr>
            <w:tcW w:type="dxa" w:w="1250"/>
            <w:shd w:fill="EEF3F6" w:val="clear"/>
            <w:tcMar>
              <w:top w:type="dxa" w:w="60"/>
              <w:left w:type="dxa" w:w="80"/>
              <w:bottom w:type="dxa" w:w="60"/>
              <w:right w:type="dxa" w:w="80"/>
            </w:tcMar>
          </w:tcPr>
          <w:p>
            <w:pPr>
              <w:spacing w:after="20" w:line="230"/>
            </w:pPr>
            <w:r>
              <w:rPr>
                <w:rFonts w:ascii="Times New Roman" w:cs="Times New Roman" w:eastAsia="SimSun" w:hAnsi="Times New Roman"/>
                <w:b/>
                <w:bCs/>
                <w:color w:val="263238"/>
                <w:sz w:val="17"/>
                <w:szCs w:val="17"/>
              </w:rPr>
              <w:t xml:space="preserve">EER (%)</w:t>
            </w:r>
          </w:p>
        </w:tc>
        <w:tc>
          <w:tcPr>
            <w:tcW w:type="dxa" w:w="1550"/>
            <w:shd w:fill="EEF3F6" w:val="clear"/>
            <w:tcMar>
              <w:top w:type="dxa" w:w="60"/>
              <w:left w:type="dxa" w:w="80"/>
              <w:bottom w:type="dxa" w:w="60"/>
              <w:right w:type="dxa" w:w="80"/>
            </w:tcMar>
          </w:tcPr>
          <w:p>
            <w:pPr>
              <w:spacing w:after="20" w:line="230"/>
            </w:pPr>
            <w:r>
              <w:rPr>
                <w:rFonts w:ascii="Times New Roman" w:cs="Times New Roman" w:eastAsia="SimSun" w:hAnsi="Times New Roman"/>
                <w:b/>
                <w:bCs/>
                <w:color w:val="263238"/>
                <w:sz w:val="17"/>
                <w:szCs w:val="17"/>
              </w:rPr>
              <w:t xml:space="preserve">95% CI (%)</w:t>
            </w:r>
          </w:p>
        </w:tc>
        <w:tc>
          <w:tcPr>
            <w:tcW w:type="dxa" w:w="1213"/>
            <w:shd w:fill="EEF3F6" w:val="clear"/>
            <w:tcMar>
              <w:top w:type="dxa" w:w="60"/>
              <w:left w:type="dxa" w:w="80"/>
              <w:bottom w:type="dxa" w:w="60"/>
              <w:right w:type="dxa" w:w="80"/>
            </w:tcMar>
          </w:tcPr>
          <w:p>
            <w:pPr>
              <w:spacing w:after="20" w:line="230"/>
            </w:pPr>
            <w:r>
              <w:rPr>
                <w:rFonts w:ascii="Times New Roman" w:cs="Times New Roman" w:eastAsia="SimSun" w:hAnsi="Times New Roman"/>
                <w:b/>
                <w:bCs/>
                <w:color w:val="263238"/>
                <w:sz w:val="17"/>
                <w:szCs w:val="17"/>
              </w:rPr>
              <w:t xml:space="preserve">FNMR@0.1% (%)</w:t>
            </w:r>
          </w:p>
        </w:tc>
        <w:tc>
          <w:tcPr>
            <w:tcW w:type="dxa" w:w="1213"/>
            <w:shd w:fill="EEF3F6" w:val="clear"/>
            <w:tcMar>
              <w:top w:type="dxa" w:w="60"/>
              <w:left w:type="dxa" w:w="80"/>
              <w:bottom w:type="dxa" w:w="60"/>
              <w:right w:type="dxa" w:w="80"/>
            </w:tcMar>
          </w:tcPr>
          <w:p>
            <w:pPr>
              <w:spacing w:after="20" w:line="230"/>
            </w:pPr>
            <w:r>
              <w:rPr>
                <w:rFonts w:ascii="Times New Roman" w:cs="Times New Roman" w:eastAsia="SimSun" w:hAnsi="Times New Roman"/>
                <w:b/>
                <w:bCs/>
                <w:color w:val="263238"/>
                <w:sz w:val="17"/>
                <w:szCs w:val="17"/>
              </w:rPr>
              <w:t xml:space="preserve">Rank-1 (%) (gallery 40)</w:t>
            </w:r>
          </w:p>
        </w:tc>
      </w:tr>
      <w:tr>
        <w:tc>
          <w:tcPr>
            <w:tcW w:type="dxa" w:w="17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S1: Face only</w:t>
            </w:r>
          </w:p>
        </w:tc>
        <w:tc>
          <w:tcPr>
            <w:tcW w:type="dxa" w:w="20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InceptionResnetV1 (512-d)</w:t>
            </w:r>
          </w:p>
        </w:tc>
        <w:tc>
          <w:tcPr>
            <w:tcW w:type="dxa" w:w="12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2.00</w:t>
            </w:r>
          </w:p>
        </w:tc>
        <w:tc>
          <w:tcPr>
            <w:tcW w:type="dxa" w:w="15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[1.11, 3.60]</w:t>
            </w:r>
          </w:p>
        </w:tc>
        <w:tc>
          <w:tcPr>
            <w:tcW w:type="dxa" w:w="1213"/>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9.44</w:t>
            </w:r>
          </w:p>
        </w:tc>
        <w:tc>
          <w:tcPr>
            <w:tcW w:type="dxa" w:w="1213"/>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97.22</w:t>
            </w:r>
          </w:p>
        </w:tc>
      </w:tr>
      <w:tr>
        <w:tc>
          <w:tcPr>
            <w:tcW w:type="dxa" w:w="17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S2a: Fingerprint (Gabor)</w:t>
            </w:r>
          </w:p>
        </w:tc>
        <w:tc>
          <w:tcPr>
            <w:tcW w:type="dxa" w:w="20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Gabor filterbank (256-d)</w:t>
            </w:r>
          </w:p>
        </w:tc>
        <w:tc>
          <w:tcPr>
            <w:tcW w:type="dxa" w:w="12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41.10</w:t>
            </w:r>
          </w:p>
        </w:tc>
        <w:tc>
          <w:tcPr>
            <w:tcW w:type="dxa" w:w="15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[38.89, 43.11]</w:t>
            </w:r>
          </w:p>
        </w:tc>
        <w:tc>
          <w:tcPr>
            <w:tcW w:type="dxa" w:w="1213"/>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91.67</w:t>
            </w:r>
          </w:p>
        </w:tc>
        <w:tc>
          <w:tcPr>
            <w:tcW w:type="dxa" w:w="1213"/>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26.67</w:t>
            </w:r>
          </w:p>
        </w:tc>
      </w:tr>
      <w:tr>
        <w:tc>
          <w:tcPr>
            <w:tcW w:type="dxa" w:w="17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S2: Fingerprint</w:t>
            </w:r>
          </w:p>
        </w:tc>
        <w:tc>
          <w:tcPr>
            <w:tcW w:type="dxa" w:w="20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FingerResNet18 V2 (256-d)</w:t>
            </w:r>
          </w:p>
        </w:tc>
        <w:tc>
          <w:tcPr>
            <w:tcW w:type="dxa" w:w="12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5.81</w:t>
            </w:r>
          </w:p>
        </w:tc>
        <w:tc>
          <w:tcPr>
            <w:tcW w:type="dxa" w:w="15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[4.72, 7.15]</w:t>
            </w:r>
          </w:p>
        </w:tc>
        <w:tc>
          <w:tcPr>
            <w:tcW w:type="dxa" w:w="1213"/>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68.06</w:t>
            </w:r>
          </w:p>
        </w:tc>
        <w:tc>
          <w:tcPr>
            <w:tcW w:type="dxa" w:w="1213"/>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78.89</w:t>
            </w:r>
          </w:p>
        </w:tc>
      </w:tr>
    </w:tbl>
    <w:p>
      <w:pPr>
        <w:spacing w:after="120" w:line="276"/>
        <w:ind w:firstLine="431"/>
        <w:jc w:val="both"/>
      </w:pPr>
      <w:r>
        <w:rPr>
          <w:rFonts w:ascii="Times New Roman" w:cs="Times New Roman" w:eastAsia="SimSun" w:hAnsi="Times New Roman"/>
          <w:sz w:val="22"/>
          <w:szCs w:val="22"/>
        </w:rPr>
        <w:t xml:space="preserve">The classical Gabor pipeline fails on unconstrained FVC2004 impressions (reported EER 41.10%), which is why the learned fingerprint encoder was developed; FingerResNet18 V2 reaches a reported 5.81% EER. Face recognition alone reports 2.00% EER. Per-database fingerprint results (Figure 6) show the thermal-sweep DB3_A partition (3.35% EER) outperforming the two optical partitions (5.06% and 8.50%), plausibly because ridge contrast is more uniform in sweeping acquisition; this is an interpretation, not a tested hypothesis.</w:t>
      </w:r>
    </w:p>
    <w:p>
      <w:pPr>
        <w:pStyle w:val="Heading2"/>
        <w:spacing w:after="120" w:before="240"/>
      </w:pPr>
      <w:r>
        <w:rPr>
          <w:rFonts w:ascii="Times New Roman" w:cs="Times New Roman" w:eastAsia="SimSun" w:hAnsi="Times New Roman"/>
          <w:b/>
          <w:bCs/>
          <w:color w:val="263238"/>
          <w:sz w:val="24"/>
          <w:szCs w:val="24"/>
        </w:rPr>
        <w:t xml:space="preserve">6.2 Feature-Level versus Score-Level Fusion</w:t>
      </w:r>
    </w:p>
    <w:p>
      <w:pPr>
        <w:spacing w:after="200" w:before="60"/>
        <w:jc w:val="center"/>
      </w:pPr>
      <w:r>
        <w:rPr>
          <w:rFonts w:ascii="Times New Roman" w:cs="Times New Roman" w:eastAsia="SimSun" w:hAnsi="Times New Roman"/>
          <w:i/>
          <w:iCs/>
          <w:color w:val="37474F"/>
          <w:sz w:val="18"/>
          <w:szCs w:val="18"/>
        </w:rPr>
        <w:t xml:space="preserve">Table 6. Multimodal fusion results (120 test subjects, 14,040 impostor comparisons; reported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2050"/>
        <w:gridCol w:w="1250"/>
        <w:gridCol w:w="1550"/>
        <w:gridCol w:w="1213"/>
        <w:gridCol w:w="1213"/>
      </w:tblGrid>
      <w:tr>
        <w:trPr>
          <w:tblHeader/>
        </w:trPr>
        <w:tc>
          <w:tcPr>
            <w:tcW w:type="dxa" w:w="1750"/>
            <w:shd w:fill="EEF3F6" w:val="clear"/>
            <w:tcMar>
              <w:top w:type="dxa" w:w="60"/>
              <w:left w:type="dxa" w:w="80"/>
              <w:bottom w:type="dxa" w:w="60"/>
              <w:right w:type="dxa" w:w="80"/>
            </w:tcMar>
          </w:tcPr>
          <w:p>
            <w:pPr>
              <w:spacing w:after="20" w:line="230"/>
            </w:pPr>
            <w:r>
              <w:rPr>
                <w:rFonts w:ascii="Times New Roman" w:cs="Times New Roman" w:eastAsia="SimSun" w:hAnsi="Times New Roman"/>
                <w:b/>
                <w:bCs/>
                <w:color w:val="263238"/>
                <w:sz w:val="17"/>
                <w:szCs w:val="17"/>
              </w:rPr>
              <w:t xml:space="preserve">System</w:t>
            </w:r>
          </w:p>
        </w:tc>
        <w:tc>
          <w:tcPr>
            <w:tcW w:type="dxa" w:w="2050"/>
            <w:shd w:fill="EEF3F6" w:val="clear"/>
            <w:tcMar>
              <w:top w:type="dxa" w:w="60"/>
              <w:left w:type="dxa" w:w="80"/>
              <w:bottom w:type="dxa" w:w="60"/>
              <w:right w:type="dxa" w:w="80"/>
            </w:tcMar>
          </w:tcPr>
          <w:p>
            <w:pPr>
              <w:spacing w:after="20" w:line="230"/>
            </w:pPr>
            <w:r>
              <w:rPr>
                <w:rFonts w:ascii="Times New Roman" w:cs="Times New Roman" w:eastAsia="SimSun" w:hAnsi="Times New Roman"/>
                <w:b/>
                <w:bCs/>
                <w:color w:val="263238"/>
                <w:sz w:val="17"/>
                <w:szCs w:val="17"/>
              </w:rPr>
              <w:t xml:space="preserve">Strategy</w:t>
            </w:r>
          </w:p>
        </w:tc>
        <w:tc>
          <w:tcPr>
            <w:tcW w:type="dxa" w:w="1250"/>
            <w:shd w:fill="EEF3F6" w:val="clear"/>
            <w:tcMar>
              <w:top w:type="dxa" w:w="60"/>
              <w:left w:type="dxa" w:w="80"/>
              <w:bottom w:type="dxa" w:w="60"/>
              <w:right w:type="dxa" w:w="80"/>
            </w:tcMar>
          </w:tcPr>
          <w:p>
            <w:pPr>
              <w:spacing w:after="20" w:line="230"/>
            </w:pPr>
            <w:r>
              <w:rPr>
                <w:rFonts w:ascii="Times New Roman" w:cs="Times New Roman" w:eastAsia="SimSun" w:hAnsi="Times New Roman"/>
                <w:b/>
                <w:bCs/>
                <w:color w:val="263238"/>
                <w:sz w:val="17"/>
                <w:szCs w:val="17"/>
              </w:rPr>
              <w:t xml:space="preserve">EER (%)</w:t>
            </w:r>
          </w:p>
        </w:tc>
        <w:tc>
          <w:tcPr>
            <w:tcW w:type="dxa" w:w="1550"/>
            <w:shd w:fill="EEF3F6" w:val="clear"/>
            <w:tcMar>
              <w:top w:type="dxa" w:w="60"/>
              <w:left w:type="dxa" w:w="80"/>
              <w:bottom w:type="dxa" w:w="60"/>
              <w:right w:type="dxa" w:w="80"/>
            </w:tcMar>
          </w:tcPr>
          <w:p>
            <w:pPr>
              <w:spacing w:after="20" w:line="230"/>
            </w:pPr>
            <w:r>
              <w:rPr>
                <w:rFonts w:ascii="Times New Roman" w:cs="Times New Roman" w:eastAsia="SimSun" w:hAnsi="Times New Roman"/>
                <w:b/>
                <w:bCs/>
                <w:color w:val="263238"/>
                <w:sz w:val="17"/>
                <w:szCs w:val="17"/>
              </w:rPr>
              <w:t xml:space="preserve">95% CI (%)</w:t>
            </w:r>
          </w:p>
        </w:tc>
        <w:tc>
          <w:tcPr>
            <w:tcW w:type="dxa" w:w="1213"/>
            <w:shd w:fill="EEF3F6" w:val="clear"/>
            <w:tcMar>
              <w:top w:type="dxa" w:w="60"/>
              <w:left w:type="dxa" w:w="80"/>
              <w:bottom w:type="dxa" w:w="60"/>
              <w:right w:type="dxa" w:w="80"/>
            </w:tcMar>
          </w:tcPr>
          <w:p>
            <w:pPr>
              <w:spacing w:after="20" w:line="230"/>
            </w:pPr>
            <w:r>
              <w:rPr>
                <w:rFonts w:ascii="Times New Roman" w:cs="Times New Roman" w:eastAsia="SimSun" w:hAnsi="Times New Roman"/>
                <w:b/>
                <w:bCs/>
                <w:color w:val="263238"/>
                <w:sz w:val="17"/>
                <w:szCs w:val="17"/>
              </w:rPr>
              <w:t xml:space="preserve">FNMR@0.1% (%)</w:t>
            </w:r>
          </w:p>
        </w:tc>
        <w:tc>
          <w:tcPr>
            <w:tcW w:type="dxa" w:w="1213"/>
            <w:shd w:fill="EEF3F6" w:val="clear"/>
            <w:tcMar>
              <w:top w:type="dxa" w:w="60"/>
              <w:left w:type="dxa" w:w="80"/>
              <w:bottom w:type="dxa" w:w="60"/>
              <w:right w:type="dxa" w:w="80"/>
            </w:tcMar>
          </w:tcPr>
          <w:p>
            <w:pPr>
              <w:spacing w:after="20" w:line="230"/>
            </w:pPr>
            <w:r>
              <w:rPr>
                <w:rFonts w:ascii="Times New Roman" w:cs="Times New Roman" w:eastAsia="SimSun" w:hAnsi="Times New Roman"/>
                <w:b/>
                <w:bCs/>
                <w:color w:val="263238"/>
                <w:sz w:val="17"/>
                <w:szCs w:val="17"/>
              </w:rPr>
              <w:t xml:space="preserve">Rank-1 (%)</w:t>
            </w:r>
          </w:p>
        </w:tc>
      </w:tr>
      <w:tr>
        <w:tc>
          <w:tcPr>
            <w:tcW w:type="dxa" w:w="17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S3: feature fusion</w:t>
            </w:r>
          </w:p>
        </w:tc>
        <w:tc>
          <w:tcPr>
            <w:tcW w:type="dxa" w:w="20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Weighted concatenation, w = 0.60 (768-d)</w:t>
            </w:r>
          </w:p>
        </w:tc>
        <w:tc>
          <w:tcPr>
            <w:tcW w:type="dxa" w:w="12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1.11</w:t>
            </w:r>
          </w:p>
        </w:tc>
        <w:tc>
          <w:tcPr>
            <w:tcW w:type="dxa" w:w="15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[0.29, 1.66]</w:t>
            </w:r>
          </w:p>
        </w:tc>
        <w:tc>
          <w:tcPr>
            <w:tcW w:type="dxa" w:w="1213"/>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1.94</w:t>
            </w:r>
          </w:p>
        </w:tc>
        <w:tc>
          <w:tcPr>
            <w:tcW w:type="dxa" w:w="1213"/>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99.44</w:t>
            </w:r>
          </w:p>
        </w:tc>
      </w:tr>
      <w:tr>
        <w:tc>
          <w:tcPr>
            <w:tcW w:type="dxa" w:w="17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S3b: score fusion</w:t>
            </w:r>
          </w:p>
        </w:tc>
        <w:tc>
          <w:tcPr>
            <w:tcW w:type="dxa" w:w="20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Z-score sum, w = 0.60</w:t>
            </w:r>
          </w:p>
        </w:tc>
        <w:tc>
          <w:tcPr>
            <w:tcW w:type="dxa" w:w="12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1.10</w:t>
            </w:r>
          </w:p>
        </w:tc>
        <w:tc>
          <w:tcPr>
            <w:tcW w:type="dxa" w:w="15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[0.28, 1.67]</w:t>
            </w:r>
          </w:p>
        </w:tc>
        <w:tc>
          <w:tcPr>
            <w:tcW w:type="dxa" w:w="1213"/>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1.94</w:t>
            </w:r>
          </w:p>
        </w:tc>
        <w:tc>
          <w:tcPr>
            <w:tcW w:type="dxa" w:w="1213"/>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99.17</w:t>
            </w:r>
          </w:p>
        </w:tc>
      </w:tr>
    </w:tbl>
    <w:p>
      <w:pPr>
        <w:spacing w:after="120" w:line="276"/>
        <w:ind w:firstLine="431"/>
        <w:jc w:val="both"/>
      </w:pPr>
      <w:r>
        <w:rPr>
          <w:rFonts w:ascii="Times New Roman" w:cs="Times New Roman" w:eastAsia="SimSun" w:hAnsi="Times New Roman"/>
          <w:sz w:val="22"/>
          <w:szCs w:val="22"/>
        </w:rPr>
        <w:t xml:space="preserve">Feature-level fusion cuts the reported EER from 2.00% (face) and 5.81% (fingerprint) to 1.11% and raises Rank-1 identification to 99.44%. The score-level variant S3b performs within noise of S3 (1.10%); we retain feature-level fusion because it feeds a single 768-d vector to the cancelable transform. The baselines are deterministic (no keys), so we report bootstrap confidence intervals over subjects rather than standard deviations over keys; Figure 3 summarizes the baseline-to-cancelable comparison.</w:t>
      </w:r>
    </w:p>
    <w:p>
      <w:pPr>
        <w:spacing w:after="40" w:before="120"/>
        <w:jc w:val="center"/>
      </w:pPr>
      <w:r>
        <w:drawing>
          <wp:inline distT="0" distB="0" distL="0" distR="0">
            <wp:extent cx="571500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095625"/>
                    </a:xfrm>
                    <a:prstGeom prst="rect">
                      <a:avLst/>
                    </a:prstGeom>
                  </pic:spPr>
                </pic:pic>
              </a:graphicData>
            </a:graphic>
          </wp:inline>
        </w:drawing>
      </w:r>
    </w:p>
    <w:p>
      <w:pPr>
        <w:spacing w:after="200" w:before="60"/>
        <w:jc w:val="center"/>
      </w:pPr>
      <w:r>
        <w:rPr>
          <w:rFonts w:ascii="Times New Roman" w:cs="Times New Roman" w:eastAsia="SimSun" w:hAnsi="Times New Roman"/>
          <w:i/>
          <w:iCs/>
          <w:color w:val="37474F"/>
          <w:sz w:val="18"/>
          <w:szCs w:val="18"/>
        </w:rPr>
        <w:t xml:space="preserve">Figure 3. Reported pooled EER for unimodal, fused, and cancelable systems on the 120 test subjects. Plotted from reported aggregate values; error bars omitted where the underlying per-key or per-subject distributions were not available to this manuscript.</w:t>
      </w:r>
    </w:p>
    <w:p>
      <w:pPr>
        <w:spacing w:after="120" w:line="276"/>
        <w:ind w:firstLine="431"/>
        <w:jc w:val="both"/>
      </w:pPr>
      <w:r>
        <w:rPr>
          <w:rFonts w:ascii="Times New Roman" w:cs="Times New Roman" w:eastAsia="SimSun" w:hAnsi="Times New Roman"/>
          <w:sz w:val="22"/>
          <w:szCs w:val="22"/>
        </w:rPr>
        <w:t xml:space="preserve">Per-database S3 results (Figure 6) are 1.61% (DB1_A), 0.94% (DB2_A), and 0.96% (DB3_A) reported EER, with Rank-1 between 98.33% and 100%. ROC and DET curves require the raw score files; Figure 4 is a placeholder pending those artifacts.</w:t>
      </w:r>
    </w:p>
    <w:p>
      <w:pPr>
        <w:spacing w:after="200" w:before="120"/>
        <w:jc w:val="center"/>
      </w:pPr>
      <w:r>
        <w:rPr>
          <w:rFonts w:ascii="Times New Roman" w:cs="Times New Roman" w:eastAsia="SimSun" w:hAnsi="Times New Roman"/>
          <w:i/>
          <w:iCs/>
          <w:color w:val="8C4A32"/>
          <w:sz w:val="22"/>
          <w:szCs w:val="22"/>
        </w:rPr>
        <w:t xml:space="preserve">[Figure 4 — placeholder: ROC/DET curves for S1, S2, S3, and Scenario K at m = 512. Requires the raw genuine/impostor score files from results/. Do not publish without replacing this placeholder with curves generated from raw scores.]</w:t>
      </w:r>
    </w:p>
    <w:p>
      <w:pPr>
        <w:pStyle w:val="Heading2"/>
        <w:spacing w:after="120" w:before="240"/>
      </w:pPr>
      <w:r>
        <w:rPr>
          <w:rFonts w:ascii="Times New Roman" w:cs="Times New Roman" w:eastAsia="SimSun" w:hAnsi="Times New Roman"/>
          <w:b/>
          <w:bCs/>
          <w:color w:val="263238"/>
          <w:sz w:val="24"/>
          <w:szCs w:val="24"/>
        </w:rPr>
        <w:t xml:space="preserve">6.3 Cancelable Templates across Projection Dimension m (Scenario K)</w:t>
      </w:r>
    </w:p>
    <w:p>
      <w:pPr>
        <w:spacing w:after="200" w:before="60"/>
        <w:jc w:val="center"/>
      </w:pPr>
      <w:r>
        <w:rPr>
          <w:rFonts w:ascii="Times New Roman" w:cs="Times New Roman" w:eastAsia="SimSun" w:hAnsi="Times New Roman"/>
          <w:i/>
          <w:iCs/>
          <w:color w:val="37474F"/>
          <w:sz w:val="18"/>
          <w:szCs w:val="18"/>
        </w:rPr>
        <w:t xml:space="preserve">Table 7. Scenario-K recognition performance across m (mean ± SD over 10 reported keys; reported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50"/>
        <w:gridCol w:w="1750"/>
        <w:gridCol w:w="1750"/>
        <w:gridCol w:w="1750"/>
        <w:gridCol w:w="1300"/>
        <w:gridCol w:w="1426"/>
      </w:tblGrid>
      <w:tr>
        <w:trPr>
          <w:tblHeader/>
        </w:trPr>
        <w:tc>
          <w:tcPr>
            <w:tcW w:type="dxa" w:w="1050"/>
            <w:shd w:fill="EEF3F6" w:val="clear"/>
            <w:tcMar>
              <w:top w:type="dxa" w:w="60"/>
              <w:left w:type="dxa" w:w="80"/>
              <w:bottom w:type="dxa" w:w="60"/>
              <w:right w:type="dxa" w:w="80"/>
            </w:tcMar>
          </w:tcPr>
          <w:p>
            <w:pPr>
              <w:spacing w:after="20" w:line="230"/>
            </w:pPr>
            <w:r>
              <w:rPr>
                <w:rFonts w:ascii="Times New Roman" w:cs="Times New Roman" w:eastAsia="SimSun" w:hAnsi="Times New Roman"/>
                <w:b/>
                <w:bCs/>
                <w:color w:val="263238"/>
                <w:sz w:val="17"/>
                <w:szCs w:val="17"/>
              </w:rPr>
              <w:t xml:space="preserve">m (bits)</w:t>
            </w:r>
          </w:p>
        </w:tc>
        <w:tc>
          <w:tcPr>
            <w:tcW w:type="dxa" w:w="1750"/>
            <w:shd w:fill="EEF3F6" w:val="clear"/>
            <w:tcMar>
              <w:top w:type="dxa" w:w="60"/>
              <w:left w:type="dxa" w:w="80"/>
              <w:bottom w:type="dxa" w:w="60"/>
              <w:right w:type="dxa" w:w="80"/>
            </w:tcMar>
          </w:tcPr>
          <w:p>
            <w:pPr>
              <w:spacing w:after="20" w:line="230"/>
            </w:pPr>
            <w:r>
              <w:rPr>
                <w:rFonts w:ascii="Times New Roman" w:cs="Times New Roman" w:eastAsia="SimSun" w:hAnsi="Times New Roman"/>
                <w:b/>
                <w:bCs/>
                <w:color w:val="263238"/>
                <w:sz w:val="17"/>
                <w:szCs w:val="17"/>
              </w:rPr>
              <w:t xml:space="preserve">EER (%)</w:t>
            </w:r>
          </w:p>
        </w:tc>
        <w:tc>
          <w:tcPr>
            <w:tcW w:type="dxa" w:w="1750"/>
            <w:shd w:fill="EEF3F6" w:val="clear"/>
            <w:tcMar>
              <w:top w:type="dxa" w:w="60"/>
              <w:left w:type="dxa" w:w="80"/>
              <w:bottom w:type="dxa" w:w="60"/>
              <w:right w:type="dxa" w:w="80"/>
            </w:tcMar>
          </w:tcPr>
          <w:p>
            <w:pPr>
              <w:spacing w:after="20" w:line="230"/>
            </w:pPr>
            <w:r>
              <w:rPr>
                <w:rFonts w:ascii="Times New Roman" w:cs="Times New Roman" w:eastAsia="SimSun" w:hAnsi="Times New Roman"/>
                <w:b/>
                <w:bCs/>
                <w:color w:val="263238"/>
                <w:sz w:val="17"/>
                <w:szCs w:val="17"/>
              </w:rPr>
              <w:t xml:space="preserve">FNMR@1% (%)</w:t>
            </w:r>
          </w:p>
        </w:tc>
        <w:tc>
          <w:tcPr>
            <w:tcW w:type="dxa" w:w="1750"/>
            <w:shd w:fill="EEF3F6" w:val="clear"/>
            <w:tcMar>
              <w:top w:type="dxa" w:w="60"/>
              <w:left w:type="dxa" w:w="80"/>
              <w:bottom w:type="dxa" w:w="60"/>
              <w:right w:type="dxa" w:w="80"/>
            </w:tcMar>
          </w:tcPr>
          <w:p>
            <w:pPr>
              <w:spacing w:after="20" w:line="230"/>
            </w:pPr>
            <w:r>
              <w:rPr>
                <w:rFonts w:ascii="Times New Roman" w:cs="Times New Roman" w:eastAsia="SimSun" w:hAnsi="Times New Roman"/>
                <w:b/>
                <w:bCs/>
                <w:color w:val="263238"/>
                <w:sz w:val="17"/>
                <w:szCs w:val="17"/>
              </w:rPr>
              <w:t xml:space="preserve">FNMR@0.1% (%)</w:t>
            </w:r>
          </w:p>
        </w:tc>
        <w:tc>
          <w:tcPr>
            <w:tcW w:type="dxa" w:w="1300"/>
            <w:shd w:fill="EEF3F6" w:val="clear"/>
            <w:tcMar>
              <w:top w:type="dxa" w:w="60"/>
              <w:left w:type="dxa" w:w="80"/>
              <w:bottom w:type="dxa" w:w="60"/>
              <w:right w:type="dxa" w:w="80"/>
            </w:tcMar>
          </w:tcPr>
          <w:p>
            <w:pPr>
              <w:spacing w:after="20" w:line="230"/>
            </w:pPr>
            <w:r>
              <w:rPr>
                <w:rFonts w:ascii="Times New Roman" w:cs="Times New Roman" w:eastAsia="SimSun" w:hAnsi="Times New Roman"/>
                <w:b/>
                <w:bCs/>
                <w:color w:val="263238"/>
                <w:sz w:val="17"/>
                <w:szCs w:val="17"/>
              </w:rPr>
              <w:t xml:space="preserve">d′</w:t>
            </w:r>
          </w:p>
        </w:tc>
        <w:tc>
          <w:tcPr>
            <w:tcW w:type="dxa" w:w="1426"/>
            <w:shd w:fill="EEF3F6" w:val="clear"/>
            <w:tcMar>
              <w:top w:type="dxa" w:w="60"/>
              <w:left w:type="dxa" w:w="80"/>
              <w:bottom w:type="dxa" w:w="60"/>
              <w:right w:type="dxa" w:w="80"/>
            </w:tcMar>
          </w:tcPr>
          <w:p>
            <w:pPr>
              <w:spacing w:after="20" w:line="230"/>
            </w:pPr>
            <w:r>
              <w:rPr>
                <w:rFonts w:ascii="Times New Roman" w:cs="Times New Roman" w:eastAsia="SimSun" w:hAnsi="Times New Roman"/>
                <w:b/>
                <w:bCs/>
                <w:color w:val="263238"/>
                <w:sz w:val="17"/>
                <w:szCs w:val="17"/>
              </w:rPr>
              <w:t xml:space="preserve">Rank-1 (%)</w:t>
            </w:r>
          </w:p>
        </w:tc>
      </w:tr>
      <w:tr>
        <w:tc>
          <w:tcPr>
            <w:tcW w:type="dxa" w:w="10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64</w:t>
            </w:r>
          </w:p>
        </w:tc>
        <w:tc>
          <w:tcPr>
            <w:tcW w:type="dxa" w:w="17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4.02 ± 0.40</w:t>
            </w:r>
          </w:p>
        </w:tc>
        <w:tc>
          <w:tcPr>
            <w:tcW w:type="dxa" w:w="17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5.83 ± 0.62</w:t>
            </w:r>
          </w:p>
        </w:tc>
        <w:tc>
          <w:tcPr>
            <w:tcW w:type="dxa" w:w="17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12.22 ± 1.15</w:t>
            </w:r>
          </w:p>
        </w:tc>
        <w:tc>
          <w:tcPr>
            <w:tcW w:type="dxa" w:w="13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3.88 ± 0.12</w:t>
            </w:r>
          </w:p>
        </w:tc>
        <w:tc>
          <w:tcPr>
            <w:tcW w:type="dxa" w:w="14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93.89 ± 0.45</w:t>
            </w:r>
          </w:p>
        </w:tc>
      </w:tr>
      <w:tr>
        <w:tc>
          <w:tcPr>
            <w:tcW w:type="dxa" w:w="10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128</w:t>
            </w:r>
          </w:p>
        </w:tc>
        <w:tc>
          <w:tcPr>
            <w:tcW w:type="dxa" w:w="17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2.07 ± 0.36</w:t>
            </w:r>
          </w:p>
        </w:tc>
        <w:tc>
          <w:tcPr>
            <w:tcW w:type="dxa" w:w="17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2.78 ± 0.41</w:t>
            </w:r>
          </w:p>
        </w:tc>
        <w:tc>
          <w:tcPr>
            <w:tcW w:type="dxa" w:w="17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6.11 ± 0.82</w:t>
            </w:r>
          </w:p>
        </w:tc>
        <w:tc>
          <w:tcPr>
            <w:tcW w:type="dxa" w:w="13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4.45 ± 0.14</w:t>
            </w:r>
          </w:p>
        </w:tc>
        <w:tc>
          <w:tcPr>
            <w:tcW w:type="dxa" w:w="14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96.94 ± 0.38</w:t>
            </w:r>
          </w:p>
        </w:tc>
      </w:tr>
      <w:tr>
        <w:tc>
          <w:tcPr>
            <w:tcW w:type="dxa" w:w="10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256</w:t>
            </w:r>
          </w:p>
        </w:tc>
        <w:tc>
          <w:tcPr>
            <w:tcW w:type="dxa" w:w="17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1.30 ± 0.25</w:t>
            </w:r>
          </w:p>
        </w:tc>
        <w:tc>
          <w:tcPr>
            <w:tcW w:type="dxa" w:w="17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1.67 ± 0.33</w:t>
            </w:r>
          </w:p>
        </w:tc>
        <w:tc>
          <w:tcPr>
            <w:tcW w:type="dxa" w:w="17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3.89 ± 0.75</w:t>
            </w:r>
          </w:p>
        </w:tc>
        <w:tc>
          <w:tcPr>
            <w:tcW w:type="dxa" w:w="13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4.98 ± 0.11</w:t>
            </w:r>
          </w:p>
        </w:tc>
        <w:tc>
          <w:tcPr>
            <w:tcW w:type="dxa" w:w="14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98.33 ± 0.35</w:t>
            </w:r>
          </w:p>
        </w:tc>
      </w:tr>
      <w:tr>
        <w:tc>
          <w:tcPr>
            <w:tcW w:type="dxa" w:w="10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512 (chosen)</w:t>
            </w:r>
          </w:p>
        </w:tc>
        <w:tc>
          <w:tcPr>
            <w:tcW w:type="dxa" w:w="17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1.29 ± 0.23</w:t>
            </w:r>
          </w:p>
        </w:tc>
        <w:tc>
          <w:tcPr>
            <w:tcW w:type="dxa" w:w="17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1.47 ± 0.31</w:t>
            </w:r>
          </w:p>
        </w:tc>
        <w:tc>
          <w:tcPr>
            <w:tcW w:type="dxa" w:w="17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3.19 ± 0.79</w:t>
            </w:r>
          </w:p>
        </w:tc>
        <w:tc>
          <w:tcPr>
            <w:tcW w:type="dxa" w:w="13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5.29 ± 0.09</w:t>
            </w:r>
          </w:p>
        </w:tc>
        <w:tc>
          <w:tcPr>
            <w:tcW w:type="dxa" w:w="14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98.81 ± 0.31</w:t>
            </w:r>
          </w:p>
        </w:tc>
      </w:tr>
      <w:tr>
        <w:tc>
          <w:tcPr>
            <w:tcW w:type="dxa" w:w="10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768</w:t>
            </w:r>
          </w:p>
        </w:tc>
        <w:tc>
          <w:tcPr>
            <w:tcW w:type="dxa" w:w="17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0.98 ± 0.22</w:t>
            </w:r>
          </w:p>
        </w:tc>
        <w:tc>
          <w:tcPr>
            <w:tcW w:type="dxa" w:w="17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1.11 ± 0.28</w:t>
            </w:r>
          </w:p>
        </w:tc>
        <w:tc>
          <w:tcPr>
            <w:tcW w:type="dxa" w:w="17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2.50 ± 0.65</w:t>
            </w:r>
          </w:p>
        </w:tc>
        <w:tc>
          <w:tcPr>
            <w:tcW w:type="dxa" w:w="13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5.52 ± 0.08</w:t>
            </w:r>
          </w:p>
        </w:tc>
        <w:tc>
          <w:tcPr>
            <w:tcW w:type="dxa" w:w="14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99.17 ± 0.25</w:t>
            </w:r>
          </w:p>
        </w:tc>
      </w:tr>
      <w:tr>
        <w:tc>
          <w:tcPr>
            <w:tcW w:type="dxa" w:w="10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1024</w:t>
            </w:r>
          </w:p>
        </w:tc>
        <w:tc>
          <w:tcPr>
            <w:tcW w:type="dxa" w:w="17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1.09 ± 0.18</w:t>
            </w:r>
          </w:p>
        </w:tc>
        <w:tc>
          <w:tcPr>
            <w:tcW w:type="dxa" w:w="17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1.11 ± 0.25</w:t>
            </w:r>
          </w:p>
        </w:tc>
        <w:tc>
          <w:tcPr>
            <w:tcW w:type="dxa" w:w="17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2.22 ± 0.58</w:t>
            </w:r>
          </w:p>
        </w:tc>
        <w:tc>
          <w:tcPr>
            <w:tcW w:type="dxa" w:w="13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5.61 ± 0.07</w:t>
            </w:r>
          </w:p>
        </w:tc>
        <w:tc>
          <w:tcPr>
            <w:tcW w:type="dxa" w:w="14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99.17 ± 0.22</w:t>
            </w:r>
          </w:p>
        </w:tc>
      </w:tr>
    </w:tbl>
    <w:p>
      <w:pPr>
        <w:spacing w:after="120" w:line="276"/>
        <w:ind w:firstLine="431"/>
        <w:jc w:val="both"/>
      </w:pPr>
      <w:r>
        <w:rPr>
          <w:rFonts w:ascii="Times New Roman" w:cs="Times New Roman" w:eastAsia="SimSun" w:hAnsi="Times New Roman"/>
          <w:sz w:val="22"/>
          <w:szCs w:val="22"/>
        </w:rPr>
        <w:t xml:space="preserve">Recognition improves monotonically from m = 64 to a plateau near m = 512–768 (Figure 5). Against the unprotected S3 baseline, the paired differences at m = 512 are: ΔEER = +0.213% (95% CI [−0.135, +0.688]%), ΔFNMR@1% = +0.276% (95% CI [−0.333, +1.167]%), and ΔFNMR@0.1% = +1.311% (95% CI [+0.333, +2.722]%). Interpretation, stated precisely: at the EER and FNMR@1% operating points the intervals include zero, so no degradation is statistically detectable at this sample size — this is not a proof of equivalence, and differences up to roughly 0.7 (EER) or 1.2 (FNMR@1%) points cannot be excluded. At the strict FNMR@0.1% point the interval excludes zero: the transform imposes a modest but detectable cost under high-security thresholds. m = 512 is chosen as the smallest dimension on the accuracy plateau, keeping templates at 64 bytes.</w:t>
      </w:r>
    </w:p>
    <w:p>
      <w:pPr>
        <w:spacing w:after="40" w:before="120"/>
        <w:jc w:val="center"/>
      </w:pPr>
      <w:r>
        <w:drawing>
          <wp:inline distT="0" distB="0" distL="0" distR="0">
            <wp:extent cx="5715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019425"/>
                    </a:xfrm>
                    <a:prstGeom prst="rect">
                      <a:avLst/>
                    </a:prstGeom>
                  </pic:spPr>
                </pic:pic>
              </a:graphicData>
            </a:graphic>
          </wp:inline>
        </w:drawing>
      </w:r>
    </w:p>
    <w:p>
      <w:pPr>
        <w:spacing w:after="200" w:before="60"/>
        <w:jc w:val="center"/>
      </w:pPr>
      <w:r>
        <w:rPr>
          <w:rFonts w:ascii="Times New Roman" w:cs="Times New Roman" w:eastAsia="SimSun" w:hAnsi="Times New Roman"/>
          <w:i/>
          <w:iCs/>
          <w:color w:val="37474F"/>
          <w:sz w:val="18"/>
          <w:szCs w:val="18"/>
        </w:rPr>
        <w:t xml:space="preserve">Figure 5. Reported Scenario-K EER and FNMR@0.1% versus projection dimension m (mean ± SD over 10 keys). The dashed line is the deterministic unprotected S3 baseline EER (1.11%). Plotted from reported aggregate values.</w:t>
      </w:r>
    </w:p>
    <w:p>
      <w:pPr>
        <w:pStyle w:val="Heading2"/>
        <w:spacing w:after="120" w:before="240"/>
      </w:pPr>
      <w:r>
        <w:rPr>
          <w:rFonts w:ascii="Times New Roman" w:cs="Times New Roman" w:eastAsia="SimSun" w:hAnsi="Times New Roman"/>
          <w:b/>
          <w:bCs/>
          <w:color w:val="263238"/>
          <w:sz w:val="24"/>
          <w:szCs w:val="24"/>
        </w:rPr>
        <w:t xml:space="preserve">6.4 Per-Database Breakdown</w:t>
      </w:r>
    </w:p>
    <w:p>
      <w:pPr>
        <w:spacing w:after="40" w:before="120"/>
        <w:jc w:val="center"/>
      </w:pPr>
      <w:r>
        <w:drawing>
          <wp:inline distT="0" distB="0" distL="0" distR="0">
            <wp:extent cx="5715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695575"/>
                    </a:xfrm>
                    <a:prstGeom prst="rect">
                      <a:avLst/>
                    </a:prstGeom>
                  </pic:spPr>
                </pic:pic>
              </a:graphicData>
            </a:graphic>
          </wp:inline>
        </w:drawing>
      </w:r>
    </w:p>
    <w:p>
      <w:pPr>
        <w:spacing w:after="200" w:before="60"/>
        <w:jc w:val="center"/>
      </w:pPr>
      <w:r>
        <w:rPr>
          <w:rFonts w:ascii="Times New Roman" w:cs="Times New Roman" w:eastAsia="SimSun" w:hAnsi="Times New Roman"/>
          <w:i/>
          <w:iCs/>
          <w:color w:val="37474F"/>
          <w:sz w:val="18"/>
          <w:szCs w:val="18"/>
        </w:rPr>
        <w:t xml:space="preserve">Figure 6. Reported per-database EER for the fingerprint-only system (S2) and feature-level fusion (S3) under within-sensor Protocol D-009. Plotted from reported aggregate values.</w:t>
      </w:r>
    </w:p>
    <w:p>
      <w:pPr>
        <w:spacing w:after="120" w:line="276"/>
        <w:ind w:firstLine="431"/>
        <w:jc w:val="both"/>
      </w:pPr>
      <w:r>
        <w:rPr>
          <w:rFonts w:ascii="Times New Roman" w:cs="Times New Roman" w:eastAsia="SimSun" w:hAnsi="Times New Roman"/>
          <w:sz w:val="22"/>
          <w:szCs w:val="22"/>
        </w:rPr>
        <w:t xml:space="preserve">Fusion helps most where the fingerprint branch is weakest (DB2_A: 8.50% → 0.94% reported EER), consistent with complementary information across modalities, and the ordering of database difficulty is preserved before and after fusion.</w:t>
      </w:r>
    </w:p>
    <w:p>
      <w:pPr>
        <w:pStyle w:val="Heading2"/>
        <w:spacing w:after="120" w:before="240"/>
      </w:pPr>
      <w:r>
        <w:rPr>
          <w:rFonts w:ascii="Times New Roman" w:cs="Times New Roman" w:eastAsia="SimSun" w:hAnsi="Times New Roman"/>
          <w:b/>
          <w:bCs/>
          <w:color w:val="263238"/>
          <w:sz w:val="24"/>
          <w:szCs w:val="24"/>
        </w:rPr>
        <w:t xml:space="preserve">6.5 Fusion-Weight Selection</w:t>
      </w:r>
    </w:p>
    <w:p>
      <w:pPr>
        <w:spacing w:after="120" w:line="276"/>
        <w:ind w:firstLine="431"/>
        <w:jc w:val="both"/>
      </w:pPr>
      <w:r>
        <w:rPr>
          <w:rFonts w:ascii="Times New Roman" w:cs="Times New Roman" w:eastAsia="SimSun" w:hAnsi="Times New Roman"/>
          <w:sz w:val="22"/>
          <w:szCs w:val="22"/>
        </w:rPr>
        <w:t xml:space="preserve">The weight w = 0.60 was selected by grid search on the 30 validation subjects. The full per-value ablation table (validation EER against w) lives in the project artifacts but was not available to this manuscript; publishing the sweep alongside the test results is listed as a required addition in Appendix C. No test-subject data influenced the choice of w.</w:t>
      </w:r>
    </w:p>
    <w:p>
      <w:pPr>
        <w:pStyle w:val="Heading1"/>
        <w:spacing w:after="160" w:before="320"/>
      </w:pPr>
      <w:r>
        <w:rPr>
          <w:rFonts w:ascii="Times New Roman" w:cs="Times New Roman" w:eastAsia="SimSun" w:hAnsi="Times New Roman"/>
          <w:b/>
          <w:bCs/>
          <w:color w:val="263238"/>
          <w:sz w:val="28"/>
          <w:szCs w:val="28"/>
        </w:rPr>
        <w:t xml:space="preserve">7. Results II: Revocability and Unlinkability</w:t>
      </w:r>
    </w:p>
    <w:p>
      <w:pPr>
        <w:pStyle w:val="Heading2"/>
        <w:spacing w:after="120" w:before="240"/>
      </w:pPr>
      <w:r>
        <w:rPr>
          <w:rFonts w:ascii="Times New Roman" w:cs="Times New Roman" w:eastAsia="SimSun" w:hAnsi="Times New Roman"/>
          <w:b/>
          <w:bCs/>
          <w:color w:val="263238"/>
          <w:sz w:val="24"/>
          <w:szCs w:val="24"/>
        </w:rPr>
        <w:t xml:space="preserve">7.1 Revocation and Genuine Restoration</w:t>
      </w:r>
    </w:p>
    <w:p>
      <w:pPr>
        <w:spacing w:after="200" w:before="60"/>
        <w:jc w:val="center"/>
      </w:pPr>
      <w:r>
        <w:rPr>
          <w:rFonts w:ascii="Times New Roman" w:cs="Times New Roman" w:eastAsia="SimSun" w:hAnsi="Times New Roman"/>
          <w:i/>
          <w:iCs/>
          <w:color w:val="37474F"/>
          <w:sz w:val="18"/>
          <w:szCs w:val="18"/>
        </w:rPr>
        <w:t xml:space="preserve">Table 8. Revocability and unlinkability results, evaluated following ISO/IEC 30136 guidance [3] and the framework of [14] (reported values).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50"/>
        <w:gridCol w:w="2450"/>
        <w:gridCol w:w="2000"/>
        <w:gridCol w:w="2126"/>
      </w:tblGrid>
      <w:tr>
        <w:trPr>
          <w:tblHeader/>
        </w:trPr>
        <w:tc>
          <w:tcPr>
            <w:tcW w:type="dxa" w:w="2450"/>
            <w:shd w:fill="EEF3F6" w:val="clear"/>
            <w:tcMar>
              <w:top w:type="dxa" w:w="60"/>
              <w:left w:type="dxa" w:w="80"/>
              <w:bottom w:type="dxa" w:w="60"/>
              <w:right w:type="dxa" w:w="80"/>
            </w:tcMar>
          </w:tcPr>
          <w:p>
            <w:pPr>
              <w:spacing w:after="20" w:line="230"/>
            </w:pPr>
            <w:r>
              <w:rPr>
                <w:rFonts w:ascii="Times New Roman" w:cs="Times New Roman" w:eastAsia="SimSun" w:hAnsi="Times New Roman"/>
                <w:b/>
                <w:bCs/>
                <w:color w:val="263238"/>
                <w:sz w:val="17"/>
                <w:szCs w:val="17"/>
              </w:rPr>
              <w:t xml:space="preserve">Evaluation dimension</w:t>
            </w:r>
          </w:p>
        </w:tc>
        <w:tc>
          <w:tcPr>
            <w:tcW w:type="dxa" w:w="2450"/>
            <w:shd w:fill="EEF3F6" w:val="clear"/>
            <w:tcMar>
              <w:top w:type="dxa" w:w="60"/>
              <w:left w:type="dxa" w:w="80"/>
              <w:bottom w:type="dxa" w:w="60"/>
              <w:right w:type="dxa" w:w="80"/>
            </w:tcMar>
          </w:tcPr>
          <w:p>
            <w:pPr>
              <w:spacing w:after="20" w:line="230"/>
            </w:pPr>
            <w:r>
              <w:rPr>
                <w:rFonts w:ascii="Times New Roman" w:cs="Times New Roman" w:eastAsia="SimSun" w:hAnsi="Times New Roman"/>
                <w:b/>
                <w:bCs/>
                <w:color w:val="263238"/>
                <w:sz w:val="17"/>
                <w:szCs w:val="17"/>
              </w:rPr>
              <w:t xml:space="preserve">Condition</w:t>
            </w:r>
          </w:p>
        </w:tc>
        <w:tc>
          <w:tcPr>
            <w:tcW w:type="dxa" w:w="2000"/>
            <w:shd w:fill="EEF3F6" w:val="clear"/>
            <w:tcMar>
              <w:top w:type="dxa" w:w="60"/>
              <w:left w:type="dxa" w:w="80"/>
              <w:bottom w:type="dxa" w:w="60"/>
              <w:right w:type="dxa" w:w="80"/>
            </w:tcMar>
          </w:tcPr>
          <w:p>
            <w:pPr>
              <w:spacing w:after="20" w:line="230"/>
            </w:pPr>
            <w:r>
              <w:rPr>
                <w:rFonts w:ascii="Times New Roman" w:cs="Times New Roman" w:eastAsia="SimSun" w:hAnsi="Times New Roman"/>
                <w:b/>
                <w:bCs/>
                <w:color w:val="263238"/>
                <w:sz w:val="17"/>
                <w:szCs w:val="17"/>
              </w:rPr>
              <w:t xml:space="preserve">Reported value</w:t>
            </w:r>
          </w:p>
        </w:tc>
        <w:tc>
          <w:tcPr>
            <w:tcW w:type="dxa" w:w="2126"/>
            <w:shd w:fill="EEF3F6" w:val="clear"/>
            <w:tcMar>
              <w:top w:type="dxa" w:w="60"/>
              <w:left w:type="dxa" w:w="80"/>
              <w:bottom w:type="dxa" w:w="60"/>
              <w:right w:type="dxa" w:w="80"/>
            </w:tcMar>
          </w:tcPr>
          <w:p>
            <w:pPr>
              <w:spacing w:after="20" w:line="230"/>
            </w:pPr>
            <w:r>
              <w:rPr>
                <w:rFonts w:ascii="Times New Roman" w:cs="Times New Roman" w:eastAsia="SimSun" w:hAnsi="Times New Roman"/>
                <w:b/>
                <w:bCs/>
                <w:color w:val="263238"/>
                <w:sz w:val="17"/>
                <w:szCs w:val="17"/>
              </w:rPr>
              <w:t xml:space="preserve">Reading</w:t>
            </w:r>
          </w:p>
        </w:tc>
      </w:tr>
      <w:tr>
        <w:tc>
          <w:tcPr>
            <w:tcW w:type="dxa" w:w="24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Revocation rejection (FNMR vs retired template)</w:t>
            </w:r>
          </w:p>
        </w:tc>
        <w:tc>
          <w:tcPr>
            <w:tcW w:type="dxa" w:w="24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Old key probes, tau_EER = 0.3504</w:t>
            </w:r>
          </w:p>
        </w:tc>
        <w:tc>
          <w:tcPr>
            <w:tcW w:type="dxa" w:w="20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100.00%</w:t>
            </w:r>
          </w:p>
        </w:tc>
        <w:tc>
          <w:tcPr>
            <w:tcW w:type="dxa" w:w="21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Largely by construction: a new key decorrelates templates (Section 7.1)</w:t>
            </w:r>
          </w:p>
        </w:tc>
      </w:tr>
      <w:tr>
        <w:tc>
          <w:tcPr>
            <w:tcW w:type="dxa" w:w="24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Revocation rejection (FNMR vs retired template)</w:t>
            </w:r>
          </w:p>
        </w:tc>
        <w:tc>
          <w:tcPr>
            <w:tcW w:type="dxa" w:w="24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Old key probes, tau_0.1% = 0.3010</w:t>
            </w:r>
          </w:p>
        </w:tc>
        <w:tc>
          <w:tcPr>
            <w:tcW w:type="dxa" w:w="20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100.00%</w:t>
            </w:r>
          </w:p>
        </w:tc>
        <w:tc>
          <w:tcPr>
            <w:tcW w:type="dxa" w:w="21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As above; a sanity check, not a deep result</w:t>
            </w:r>
          </w:p>
        </w:tc>
      </w:tr>
      <w:tr>
        <w:tc>
          <w:tcPr>
            <w:tcW w:type="dxa" w:w="24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Genuine restoration after re-keying</w:t>
            </w:r>
          </w:p>
        </w:tc>
        <w:tc>
          <w:tcPr>
            <w:tcW w:type="dxa" w:w="24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New key, tau_EER = 0.3504</w:t>
            </w:r>
          </w:p>
        </w:tc>
        <w:tc>
          <w:tcPr>
            <w:tcW w:type="dxa" w:w="20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FNMR 1.67%</w:t>
            </w:r>
          </w:p>
        </w:tc>
        <w:tc>
          <w:tcPr>
            <w:tcW w:type="dxa" w:w="21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Measured on test subjects</w:t>
            </w:r>
          </w:p>
        </w:tc>
      </w:tr>
      <w:tr>
        <w:tc>
          <w:tcPr>
            <w:tcW w:type="dxa" w:w="24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Genuine restoration after re-keying</w:t>
            </w:r>
          </w:p>
        </w:tc>
        <w:tc>
          <w:tcPr>
            <w:tcW w:type="dxa" w:w="24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New key, tau_0.1% = 0.3010</w:t>
            </w:r>
          </w:p>
        </w:tc>
        <w:tc>
          <w:tcPr>
            <w:tcW w:type="dxa" w:w="20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FNMR 6.94%</w:t>
            </w:r>
          </w:p>
        </w:tc>
        <w:tc>
          <w:tcPr>
            <w:tcW w:type="dxa" w:w="21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Measured; stricter threshold costs genuine accepts</w:t>
            </w:r>
          </w:p>
        </w:tc>
      </w:tr>
      <w:tr>
        <w:tc>
          <w:tcPr>
            <w:tcW w:type="dxa" w:w="24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Pseudo-identity distance (same subject, different keys)</w:t>
            </w:r>
          </w:p>
        </w:tc>
        <w:tc>
          <w:tcPr>
            <w:tcW w:type="dxa" w:w="24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Scenario U mixing</w:t>
            </w:r>
          </w:p>
        </w:tc>
        <w:tc>
          <w:tcPr>
            <w:tcW w:type="dxa" w:w="20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D_H 0.5006 ± 0.0219</w:t>
            </w:r>
          </w:p>
        </w:tc>
        <w:tc>
          <w:tcPr>
            <w:tcW w:type="dxa" w:w="21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Indistinguishable from impostor mixing</w:t>
            </w:r>
          </w:p>
        </w:tc>
      </w:tr>
      <w:tr>
        <w:tc>
          <w:tcPr>
            <w:tcW w:type="dxa" w:w="24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Cross-subject distance (different subjects, different keys)</w:t>
            </w:r>
          </w:p>
        </w:tc>
        <w:tc>
          <w:tcPr>
            <w:tcW w:type="dxa" w:w="24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Scenario U mixing</w:t>
            </w:r>
          </w:p>
        </w:tc>
        <w:tc>
          <w:tcPr>
            <w:tcW w:type="dxa" w:w="20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D_H 0.4999 ± 0.0218</w:t>
            </w:r>
          </w:p>
        </w:tc>
        <w:tc>
          <w:tcPr>
            <w:tcW w:type="dxa" w:w="21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Reference impostor distribution</w:t>
            </w:r>
          </w:p>
        </w:tc>
      </w:tr>
    </w:tbl>
    <w:p>
      <w:pPr>
        <w:spacing w:after="120" w:line="276"/>
        <w:ind w:firstLine="431"/>
        <w:jc w:val="both"/>
      </w:pPr>
      <w:r>
        <w:rPr>
          <w:rFonts w:ascii="Times New Roman" w:cs="Times New Roman" w:eastAsia="SimSun" w:hAnsi="Times New Roman"/>
          <w:sz w:val="22"/>
          <w:szCs w:val="22"/>
        </w:rPr>
        <w:t xml:space="preserve">When a key is revoked and the user re-enrolls under a fresh key version, probes generated under the compromised key are rejected at 100.00% at both operating points. We deliberately understate this result: because a different key produces an effectively independent projection matrix, same-biometric templates under mismatched keys land at D_H ≈ 0.5 — far above any calibrated threshold — so complete rejection of the old key is expected by construction and serves as a sanity check that key separation works as intended (Scenario U reported mean D_H = 0.5001 ± 0.0222 for genuine-mismatched pairs, EER 0.0000%). The substantive measurement is the restoration column: genuine users regain access after re-keying at FNMR 1.67% (tau_EER) and 6.94% (tau_0.1%).</w:t>
      </w:r>
    </w:p>
    <w:p>
      <w:pPr>
        <w:pStyle w:val="Heading2"/>
        <w:spacing w:after="120" w:before="240"/>
      </w:pPr>
      <w:r>
        <w:rPr>
          <w:rFonts w:ascii="Times New Roman" w:cs="Times New Roman" w:eastAsia="SimSun" w:hAnsi="Times New Roman"/>
          <w:b/>
          <w:bCs/>
          <w:color w:val="263238"/>
          <w:sz w:val="24"/>
          <w:szCs w:val="24"/>
        </w:rPr>
        <w:t xml:space="preserve">7.2 Cross-Service Unlinkability</w:t>
      </w:r>
    </w:p>
    <w:p>
      <w:pPr>
        <w:spacing w:after="120" w:line="276"/>
        <w:ind w:firstLine="431"/>
        <w:jc w:val="both"/>
      </w:pPr>
      <w:r>
        <w:rPr>
          <w:rFonts w:ascii="Times New Roman" w:cs="Times New Roman" w:eastAsia="SimSun" w:hAnsi="Times New Roman"/>
          <w:sz w:val="22"/>
          <w:szCs w:val="22"/>
        </w:rPr>
        <w:t xml:space="preserve">With keys secret, the mated distribution (same subject, different services) and the non-mated distribution (different subjects, different services) nearly coincide — reported means 0.5006 and 0.4999 — and the global metric is D_sys = 0.0245, i.e., close to the fully-unlinkable endpoint 0 of the [14] scale against a score-only adversary. Two counterexamples delimit the claim. First, key reuse across services destroys unlinkability almost completely: reusing one key in two domains yields a reported D_sys = 0.9827, essentially fully linkable, so per-service keys are mandatory, not optional. Second, when keys are known to the adversary (Case A3), unlinkability collapses through reconstruction: D_sys rises to 0.9649, with a reported linkage ROC AUC of 0.9980 and linkage EER of 1.63% (Section 8.2). Unlinkability in this architecture is therefore a property that holds exactly as long as keys remain secret.</w:t>
      </w:r>
    </w:p>
    <w:p>
      <w:pPr>
        <w:pStyle w:val="Heading2"/>
        <w:spacing w:after="120" w:before="240"/>
      </w:pPr>
      <w:r>
        <w:rPr>
          <w:rFonts w:ascii="Times New Roman" w:cs="Times New Roman" w:eastAsia="SimSun" w:hAnsi="Times New Roman"/>
          <w:b/>
          <w:bCs/>
          <w:color w:val="263238"/>
          <w:sz w:val="24"/>
          <w:szCs w:val="24"/>
        </w:rPr>
        <w:t xml:space="preserve">7.3 Template-Only Distinguisher and Key-Space Accounting (A1)</w:t>
      </w:r>
    </w:p>
    <w:p>
      <w:pPr>
        <w:spacing w:after="120" w:line="276"/>
        <w:ind w:firstLine="431"/>
        <w:jc w:val="both"/>
      </w:pPr>
      <w:r>
        <w:rPr>
          <w:rFonts w:ascii="Times New Roman" w:cs="Times New Roman" w:eastAsia="SimSun" w:hAnsi="Times New Roman"/>
          <w:sz w:val="22"/>
          <w:szCs w:val="22"/>
        </w:rPr>
        <w:t xml:space="preserve">For Case A1 (templates and public salts only), two reported results bound what an adversary can extract. A logistic-regression distinguisher trained to separate two subjects’ templates under unknown keys reports AUC 0.4767 — at or below random chance (0.5) — consistent with no exploitable identity signal in templates alone under this test. For brute force, the derived chaotic state contributes at most 64 bits (Z₀) and the map parameter 62 bits, an effective key space of at most 2^126; at the reported 3.95 ms per transform, exhaustive search exceeds 10^22 GPU-years. We present 2^126 strictly as an upper bound: the map’s dynamics may reduce the effective space, and no reduction analysis is claimed. These results concern key-secrecy conditions only; Section 8 covers what happens when that condition fails.</w:t>
      </w:r>
    </w:p>
    <w:p>
      <w:pPr>
        <w:pStyle w:val="Heading1"/>
        <w:spacing w:after="160" w:before="320"/>
      </w:pPr>
      <w:r>
        <w:rPr>
          <w:rFonts w:ascii="Times New Roman" w:cs="Times New Roman" w:eastAsia="SimSun" w:hAnsi="Times New Roman"/>
          <w:b/>
          <w:bCs/>
          <w:color w:val="263238"/>
          <w:sz w:val="28"/>
          <w:szCs w:val="28"/>
        </w:rPr>
        <w:t xml:space="preserve">8. Security and Adversarial Analysis</w:t>
      </w:r>
    </w:p>
    <w:p>
      <w:pPr>
        <w:pStyle w:val="Heading2"/>
        <w:spacing w:after="120" w:before="240"/>
      </w:pPr>
      <w:r>
        <w:rPr>
          <w:rFonts w:ascii="Times New Roman" w:cs="Times New Roman" w:eastAsia="SimSun" w:hAnsi="Times New Roman"/>
          <w:b/>
          <w:bCs/>
          <w:color w:val="263238"/>
          <w:sz w:val="24"/>
          <w:szCs w:val="24"/>
        </w:rPr>
        <w:t xml:space="preserve">8.1 Case A2: Reconstruction under Key Compromise</w:t>
      </w:r>
    </w:p>
    <w:p>
      <w:pPr>
        <w:spacing w:after="120" w:line="276"/>
        <w:ind w:firstLine="431"/>
        <w:jc w:val="both"/>
      </w:pPr>
      <w:r>
        <w:rPr>
          <w:rFonts w:ascii="Times New Roman" w:cs="Times New Roman" w:eastAsia="SimSun" w:hAnsi="Times New Roman"/>
          <w:sz w:val="22"/>
          <w:szCs w:val="22"/>
        </w:rPr>
        <w:t xml:space="preserve">Four decoders of increasing capacity were trained on the 180 training subjects to invert templates when the key is known: (i) Atk-1, analytical back-projection x̂ = R^T(2b − 1) (the transpose operator — a minimum-effort back-projection, not a Moore–Penrose pseudo-inverse); (ii) Atk-2, a learned linear Ridge decoder minimizing ‖X_train − B_train W‖_F² + λ‖W‖_F² with λ = 1.0; (iii) Atk-3, sign-consistent optimization with a Gaussian population prior; and (iv) Atk-4, a two-layer MLP (m → 1024 → 768, batch normalization, ReLU, cosine loss). Reconstructions are scored by centered cosine similarity to the true fused vector and by replay success: whether x̂ authenticates against the victim’s unprotected S3, S1, or S2 account at the 1% FMR operating point.</w:t>
      </w:r>
    </w:p>
    <w:p>
      <w:pPr>
        <w:spacing w:after="200" w:before="60"/>
        <w:jc w:val="center"/>
      </w:pPr>
      <w:r>
        <w:rPr>
          <w:rFonts w:ascii="Times New Roman" w:cs="Times New Roman" w:eastAsia="SimSun" w:hAnsi="Times New Roman"/>
          <w:i/>
          <w:iCs/>
          <w:color w:val="37474F"/>
          <w:sz w:val="18"/>
          <w:szCs w:val="18"/>
        </w:rPr>
        <w:t xml:space="preserve">Table 9. Reported reconstruction and replay results under key compromise (Case A2).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50"/>
        <w:gridCol w:w="1500"/>
        <w:gridCol w:w="1750"/>
        <w:gridCol w:w="1750"/>
        <w:gridCol w:w="1350"/>
        <w:gridCol w:w="1726"/>
      </w:tblGrid>
      <w:tr>
        <w:trPr>
          <w:tblHeader/>
        </w:trPr>
        <w:tc>
          <w:tcPr>
            <w:tcW w:type="dxa" w:w="950"/>
            <w:shd w:fill="EEF3F6" w:val="clear"/>
            <w:tcMar>
              <w:top w:type="dxa" w:w="60"/>
              <w:left w:type="dxa" w:w="80"/>
              <w:bottom w:type="dxa" w:w="60"/>
              <w:right w:type="dxa" w:w="80"/>
            </w:tcMar>
          </w:tcPr>
          <w:p>
            <w:pPr>
              <w:spacing w:after="20" w:line="230"/>
            </w:pPr>
            <w:r>
              <w:rPr>
                <w:rFonts w:ascii="Times New Roman" w:cs="Times New Roman" w:eastAsia="SimSun" w:hAnsi="Times New Roman"/>
                <w:b/>
                <w:bCs/>
                <w:color w:val="263238"/>
                <w:sz w:val="17"/>
                <w:szCs w:val="17"/>
              </w:rPr>
              <w:t xml:space="preserve">m</w:t>
            </w:r>
          </w:p>
        </w:tc>
        <w:tc>
          <w:tcPr>
            <w:tcW w:type="dxa" w:w="1500"/>
            <w:shd w:fill="EEF3F6" w:val="clear"/>
            <w:tcMar>
              <w:top w:type="dxa" w:w="60"/>
              <w:left w:type="dxa" w:w="80"/>
              <w:bottom w:type="dxa" w:w="60"/>
              <w:right w:type="dxa" w:w="80"/>
            </w:tcMar>
          </w:tcPr>
          <w:p>
            <w:pPr>
              <w:spacing w:after="20" w:line="230"/>
            </w:pPr>
            <w:r>
              <w:rPr>
                <w:rFonts w:ascii="Times New Roman" w:cs="Times New Roman" w:eastAsia="SimSun" w:hAnsi="Times New Roman"/>
                <w:b/>
                <w:bCs/>
                <w:color w:val="263238"/>
                <w:sz w:val="17"/>
                <w:szCs w:val="17"/>
              </w:rPr>
              <w:t xml:space="preserve">Best decoder</w:t>
            </w:r>
          </w:p>
        </w:tc>
        <w:tc>
          <w:tcPr>
            <w:tcW w:type="dxa" w:w="1750"/>
            <w:shd w:fill="EEF3F6" w:val="clear"/>
            <w:tcMar>
              <w:top w:type="dxa" w:w="60"/>
              <w:left w:type="dxa" w:w="80"/>
              <w:bottom w:type="dxa" w:w="60"/>
              <w:right w:type="dxa" w:w="80"/>
            </w:tcMar>
          </w:tcPr>
          <w:p>
            <w:pPr>
              <w:spacing w:after="20" w:line="230"/>
            </w:pPr>
            <w:r>
              <w:rPr>
                <w:rFonts w:ascii="Times New Roman" w:cs="Times New Roman" w:eastAsia="SimSun" w:hAnsi="Times New Roman"/>
                <w:b/>
                <w:bCs/>
                <w:color w:val="263238"/>
                <w:sz w:val="17"/>
                <w:szCs w:val="17"/>
              </w:rPr>
              <w:t xml:space="preserve">Centered cosine</w:t>
            </w:r>
          </w:p>
        </w:tc>
        <w:tc>
          <w:tcPr>
            <w:tcW w:type="dxa" w:w="1750"/>
            <w:shd w:fill="EEF3F6" w:val="clear"/>
            <w:tcMar>
              <w:top w:type="dxa" w:w="60"/>
              <w:left w:type="dxa" w:w="80"/>
              <w:bottom w:type="dxa" w:w="60"/>
              <w:right w:type="dxa" w:w="80"/>
            </w:tcMar>
          </w:tcPr>
          <w:p>
            <w:pPr>
              <w:spacing w:after="20" w:line="230"/>
            </w:pPr>
            <w:r>
              <w:rPr>
                <w:rFonts w:ascii="Times New Roman" w:cs="Times New Roman" w:eastAsia="SimSun" w:hAnsi="Times New Roman"/>
                <w:b/>
                <w:bCs/>
                <w:color w:val="263238"/>
                <w:sz w:val="17"/>
                <w:szCs w:val="17"/>
              </w:rPr>
              <w:t xml:space="preserve">Uncentered cosine</w:t>
            </w:r>
          </w:p>
        </w:tc>
        <w:tc>
          <w:tcPr>
            <w:tcW w:type="dxa" w:w="1350"/>
            <w:shd w:fill="EEF3F6" w:val="clear"/>
            <w:tcMar>
              <w:top w:type="dxa" w:w="60"/>
              <w:left w:type="dxa" w:w="80"/>
              <w:bottom w:type="dxa" w:w="60"/>
              <w:right w:type="dxa" w:w="80"/>
            </w:tcMar>
          </w:tcPr>
          <w:p>
            <w:pPr>
              <w:spacing w:after="20" w:line="230"/>
            </w:pPr>
            <w:r>
              <w:rPr>
                <w:rFonts w:ascii="Times New Roman" w:cs="Times New Roman" w:eastAsia="SimSun" w:hAnsi="Times New Roman"/>
                <w:b/>
                <w:bCs/>
                <w:color w:val="263238"/>
                <w:sz w:val="17"/>
                <w:szCs w:val="17"/>
              </w:rPr>
              <w:t xml:space="preserve">S3 replay @1% FMR</w:t>
            </w:r>
          </w:p>
        </w:tc>
        <w:tc>
          <w:tcPr>
            <w:tcW w:type="dxa" w:w="1726"/>
            <w:shd w:fill="EEF3F6" w:val="clear"/>
            <w:tcMar>
              <w:top w:type="dxa" w:w="60"/>
              <w:left w:type="dxa" w:w="80"/>
              <w:bottom w:type="dxa" w:w="60"/>
              <w:right w:type="dxa" w:w="80"/>
            </w:tcMar>
          </w:tcPr>
          <w:p>
            <w:pPr>
              <w:spacing w:after="20" w:line="230"/>
            </w:pPr>
            <w:r>
              <w:rPr>
                <w:rFonts w:ascii="Times New Roman" w:cs="Times New Roman" w:eastAsia="SimSun" w:hAnsi="Times New Roman"/>
                <w:b/>
                <w:bCs/>
                <w:color w:val="263238"/>
                <w:sz w:val="17"/>
                <w:szCs w:val="17"/>
              </w:rPr>
              <w:t xml:space="preserve">Face / finger replay @1% FMR</w:t>
            </w:r>
          </w:p>
        </w:tc>
      </w:tr>
      <w:tr>
        <w:tc>
          <w:tcPr>
            <w:tcW w:type="dxa" w:w="9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64</w:t>
            </w:r>
          </w:p>
        </w:tc>
        <w:tc>
          <w:tcPr>
            <w:tcW w:type="dxa" w:w="15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Atk-4 (MLP)</w:t>
            </w:r>
          </w:p>
        </w:tc>
        <w:tc>
          <w:tcPr>
            <w:tcW w:type="dxa" w:w="17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0.6301 ± 0.0750</w:t>
            </w:r>
          </w:p>
        </w:tc>
        <w:tc>
          <w:tcPr>
            <w:tcW w:type="dxa" w:w="17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0.6369 ± 0.0632</w:t>
            </w:r>
          </w:p>
        </w:tc>
        <w:tc>
          <w:tcPr>
            <w:tcW w:type="dxa" w:w="13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99.2%</w:t>
            </w:r>
          </w:p>
        </w:tc>
        <w:tc>
          <w:tcPr>
            <w:tcW w:type="dxa" w:w="17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94.2% / 54.2%</w:t>
            </w:r>
          </w:p>
        </w:tc>
      </w:tr>
      <w:tr>
        <w:tc>
          <w:tcPr>
            <w:tcW w:type="dxa" w:w="9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128</w:t>
            </w:r>
          </w:p>
        </w:tc>
        <w:tc>
          <w:tcPr>
            <w:tcW w:type="dxa" w:w="15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Atk-4 (MLP)</w:t>
            </w:r>
          </w:p>
        </w:tc>
        <w:tc>
          <w:tcPr>
            <w:tcW w:type="dxa" w:w="17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0.7780 ± 0.0500</w:t>
            </w:r>
          </w:p>
        </w:tc>
        <w:tc>
          <w:tcPr>
            <w:tcW w:type="dxa" w:w="17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0.7833 ± 0.0409</w:t>
            </w:r>
          </w:p>
        </w:tc>
        <w:tc>
          <w:tcPr>
            <w:tcW w:type="dxa" w:w="13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100.0%</w:t>
            </w:r>
          </w:p>
        </w:tc>
        <w:tc>
          <w:tcPr>
            <w:tcW w:type="dxa" w:w="17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100.0% / 90.8%</w:t>
            </w:r>
          </w:p>
        </w:tc>
      </w:tr>
      <w:tr>
        <w:tc>
          <w:tcPr>
            <w:tcW w:type="dxa" w:w="9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256</w:t>
            </w:r>
          </w:p>
        </w:tc>
        <w:tc>
          <w:tcPr>
            <w:tcW w:type="dxa" w:w="15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Atk-2 (Ridge)</w:t>
            </w:r>
          </w:p>
        </w:tc>
        <w:tc>
          <w:tcPr>
            <w:tcW w:type="dxa" w:w="17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0.8745 ± 0.0216</w:t>
            </w:r>
          </w:p>
        </w:tc>
        <w:tc>
          <w:tcPr>
            <w:tcW w:type="dxa" w:w="17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0.8782 ± 0.0228</w:t>
            </w:r>
          </w:p>
        </w:tc>
        <w:tc>
          <w:tcPr>
            <w:tcW w:type="dxa" w:w="13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100.0%</w:t>
            </w:r>
          </w:p>
        </w:tc>
        <w:tc>
          <w:tcPr>
            <w:tcW w:type="dxa" w:w="17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100.0% / 100.0%</w:t>
            </w:r>
          </w:p>
        </w:tc>
      </w:tr>
      <w:tr>
        <w:tc>
          <w:tcPr>
            <w:tcW w:type="dxa" w:w="9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512</w:t>
            </w:r>
          </w:p>
        </w:tc>
        <w:tc>
          <w:tcPr>
            <w:tcW w:type="dxa" w:w="15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Atk-2 (Ridge)</w:t>
            </w:r>
          </w:p>
        </w:tc>
        <w:tc>
          <w:tcPr>
            <w:tcW w:type="dxa" w:w="17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0.9335 ± 0.0115</w:t>
            </w:r>
          </w:p>
        </w:tc>
        <w:tc>
          <w:tcPr>
            <w:tcW w:type="dxa" w:w="17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0.9354 ± 0.0120</w:t>
            </w:r>
          </w:p>
        </w:tc>
        <w:tc>
          <w:tcPr>
            <w:tcW w:type="dxa" w:w="13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100.0%</w:t>
            </w:r>
          </w:p>
        </w:tc>
        <w:tc>
          <w:tcPr>
            <w:tcW w:type="dxa" w:w="17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100.0% / 100.0%</w:t>
            </w:r>
          </w:p>
        </w:tc>
      </w:tr>
      <w:tr>
        <w:tc>
          <w:tcPr>
            <w:tcW w:type="dxa" w:w="9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768</w:t>
            </w:r>
          </w:p>
        </w:tc>
        <w:tc>
          <w:tcPr>
            <w:tcW w:type="dxa" w:w="15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Atk-2 (Ridge)</w:t>
            </w:r>
          </w:p>
        </w:tc>
        <w:tc>
          <w:tcPr>
            <w:tcW w:type="dxa" w:w="17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0.9522 ± 0.0078</w:t>
            </w:r>
          </w:p>
        </w:tc>
        <w:tc>
          <w:tcPr>
            <w:tcW w:type="dxa" w:w="17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0.9536 ± 0.0083</w:t>
            </w:r>
          </w:p>
        </w:tc>
        <w:tc>
          <w:tcPr>
            <w:tcW w:type="dxa" w:w="13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100.0%</w:t>
            </w:r>
          </w:p>
        </w:tc>
        <w:tc>
          <w:tcPr>
            <w:tcW w:type="dxa" w:w="17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100.0% / 100.0%</w:t>
            </w:r>
          </w:p>
        </w:tc>
      </w:tr>
      <w:tr>
        <w:tc>
          <w:tcPr>
            <w:tcW w:type="dxa" w:w="9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1024</w:t>
            </w:r>
          </w:p>
        </w:tc>
        <w:tc>
          <w:tcPr>
            <w:tcW w:type="dxa" w:w="15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Atk-2 (Ridge)</w:t>
            </w:r>
          </w:p>
        </w:tc>
        <w:tc>
          <w:tcPr>
            <w:tcW w:type="dxa" w:w="17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0.9614 ± 0.0063</w:t>
            </w:r>
          </w:p>
        </w:tc>
        <w:tc>
          <w:tcPr>
            <w:tcW w:type="dxa" w:w="17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0.9624 ± 0.0068</w:t>
            </w:r>
          </w:p>
        </w:tc>
        <w:tc>
          <w:tcPr>
            <w:tcW w:type="dxa" w:w="13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100.0%</w:t>
            </w:r>
          </w:p>
        </w:tc>
        <w:tc>
          <w:tcPr>
            <w:tcW w:type="dxa" w:w="17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100.0% / 100.0%</w:t>
            </w:r>
          </w:p>
        </w:tc>
      </w:tr>
      <w:tr>
        <w:tc>
          <w:tcPr>
            <w:tcW w:type="dxa" w:w="9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Random</w:t>
            </w:r>
          </w:p>
        </w:tc>
        <w:tc>
          <w:tcPr>
            <w:tcW w:type="dxa" w:w="15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w:t>
            </w:r>
          </w:p>
        </w:tc>
        <w:tc>
          <w:tcPr>
            <w:tcW w:type="dxa" w:w="17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0.0000 ± 0.0360</w:t>
            </w:r>
          </w:p>
        </w:tc>
        <w:tc>
          <w:tcPr>
            <w:tcW w:type="dxa" w:w="17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0.0000 ± 0.0360</w:t>
            </w:r>
          </w:p>
        </w:tc>
        <w:tc>
          <w:tcPr>
            <w:tcW w:type="dxa" w:w="13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0.0%</w:t>
            </w:r>
          </w:p>
        </w:tc>
        <w:tc>
          <w:tcPr>
            <w:tcW w:type="dxa" w:w="17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7"/>
                <w:szCs w:val="17"/>
              </w:rPr>
              <w:t xml:space="preserve">0.0% / 0.0%</w:t>
            </w:r>
          </w:p>
        </w:tc>
      </w:tr>
    </w:tbl>
    <w:p>
      <w:pPr>
        <w:spacing w:after="120" w:line="276"/>
        <w:ind w:firstLine="431"/>
        <w:jc w:val="both"/>
      </w:pPr>
      <w:r>
        <w:rPr>
          <w:rFonts w:ascii="Times New Roman" w:cs="Times New Roman" w:eastAsia="SimSun" w:hAnsi="Times New Roman"/>
          <w:sz w:val="22"/>
          <w:szCs w:val="22"/>
        </w:rPr>
        <w:t xml:space="preserve">The results refute non-invertibility for the tested configuration under key disclosure: at m = 512 a linear decoder recovers the fused embedding at a reported 0.9335 centered cosine and impersonates the victim against the unprotected system with 100.0% success. Two robustness checks temper — but do not rescue — the picture. Retraining the Ridge decoder only on the 30 validation subjects (never seen during encoder training) still yields 0.8937 ± 0.0235 centered cosine and 100.0% replay at m = 512, so the attack does not rely on overfitting to encoder-training identities. And replay against a template stored with the same key succeeds trivially by construction (identical inputs give identical bits); the meaningful replay measurement is against unprotected matchers, which is what Table 9 reports. Experiment E4 (Appendix B) extends this with synthetic-covariance training priors; it has not yet been run.</w:t>
      </w:r>
    </w:p>
    <w:p>
      <w:pPr>
        <w:pStyle w:val="Heading2"/>
        <w:spacing w:after="120" w:before="240"/>
      </w:pPr>
      <w:r>
        <w:rPr>
          <w:rFonts w:ascii="Times New Roman" w:cs="Times New Roman" w:eastAsia="SimSun" w:hAnsi="Times New Roman"/>
          <w:b/>
          <w:bCs/>
          <w:color w:val="263238"/>
          <w:sz w:val="24"/>
          <w:szCs w:val="24"/>
        </w:rPr>
        <w:t xml:space="preserve">8.2 Case A3: Linkage via Reconstruction</w:t>
      </w:r>
    </w:p>
    <w:p>
      <w:pPr>
        <w:spacing w:after="120" w:line="276"/>
        <w:ind w:firstLine="431"/>
        <w:jc w:val="both"/>
      </w:pPr>
      <w:r>
        <w:rPr>
          <w:rFonts w:ascii="Times New Roman" w:cs="Times New Roman" w:eastAsia="SimSun" w:hAnsi="Times New Roman"/>
          <w:sz w:val="22"/>
          <w:szCs w:val="22"/>
        </w:rPr>
        <w:t xml:space="preserve">With both services’ templates and keys, the adversary inverts each template (Ridge) and compares reconstructions by cosine similarity. The reported linkage metrics — AUC 0.9980, EER 1.63%, D_sys 0.9649 — show near-perfect cross-service linkage, collapsing the D_sys = 0.0245 measured when keys are secret. Combined with the key-reuse counterexample (D_sys = 0.9827, Section 7.2), the privacy guarantee of the architecture is exactly the confidentiality and per-service separation of keys.</w:t>
      </w:r>
    </w:p>
    <w:p>
      <w:pPr>
        <w:pStyle w:val="Heading2"/>
        <w:spacing w:after="120" w:before="240"/>
      </w:pPr>
      <w:r>
        <w:rPr>
          <w:rFonts w:ascii="Times New Roman" w:cs="Times New Roman" w:eastAsia="SimSun" w:hAnsi="Times New Roman"/>
          <w:b/>
          <w:bCs/>
          <w:color w:val="263238"/>
          <w:sz w:val="24"/>
          <w:szCs w:val="24"/>
        </w:rPr>
        <w:t xml:space="preserve">8.3 Why the Leakage Grows with m</w:t>
      </w:r>
    </w:p>
    <w:p>
      <w:pPr>
        <w:spacing w:after="120" w:line="276"/>
        <w:ind w:firstLine="431"/>
        <w:jc w:val="both"/>
      </w:pPr>
      <w:r>
        <w:rPr>
          <w:rFonts w:ascii="Times New Roman" w:cs="Times New Roman" w:eastAsia="SimSun" w:hAnsi="Times New Roman"/>
          <w:sz w:val="22"/>
          <w:szCs w:val="22"/>
        </w:rPr>
        <w:t xml:space="preserve">Table 9 and Figure 7 show reconstruction fidelity rising with m (0.6301 at m = 64 to 0.9614 at m = 1024) while recognition error falls. This is the θ/π mechanism of Section 3.3 operating in reverse: each template bit is one linear sign constraint on x, so m bits define an intersection of m half-spaces whose typical distance to x shrinks as m grows. Prior reports on BioHash-style codes observe the same direction of trade-off — longer codes, better accuracy, weaker inversion resistance [V17], [V18] — and our measurements are consistent with them. There is no evidence in this study of an m that simultaneously preserves baseline accuracy and prevents reconstruction under key compromise.</w:t>
      </w:r>
    </w:p>
    <w:p>
      <w:pPr>
        <w:pStyle w:val="Heading2"/>
        <w:spacing w:after="120" w:before="240"/>
      </w:pPr>
      <w:r>
        <w:rPr>
          <w:rFonts w:ascii="Times New Roman" w:cs="Times New Roman" w:eastAsia="SimSun" w:hAnsi="Times New Roman"/>
          <w:b/>
          <w:bCs/>
          <w:color w:val="263238"/>
          <w:sz w:val="24"/>
          <w:szCs w:val="24"/>
        </w:rPr>
        <w:t xml:space="preserve">8.4 Cases A4 and A6: Oracle, Replay, and Brute Force</w:t>
      </w:r>
    </w:p>
    <w:p>
      <w:pPr>
        <w:spacing w:after="120" w:line="276"/>
        <w:ind w:firstLine="431"/>
        <w:jc w:val="both"/>
      </w:pPr>
      <w:r>
        <w:rPr>
          <w:rFonts w:ascii="Times New Roman" w:cs="Times New Roman" w:eastAsia="SimSun" w:hAnsi="Times New Roman"/>
          <w:sz w:val="22"/>
          <w:szCs w:val="22"/>
        </w:rPr>
        <w:t xml:space="preserve">Against the service as deployed, three controls matter. Score suppression: production endpoints return only the match boolean, removing the numeric gradient that hill-climbing attacks exploit [16], [17]; a boolean oracle remains, so Experiment E5 (Appendix B) will measure query complexity of hill-climbing against match/no-match responses — not yet run. Escalating lockout: failures accrue per-username and per-IP delays (2^(fail−3) seconds) recorded in PostgreSQL, throttling online guessing without permanently locking out victims. Replay: the API accepts packed templates, and an intercepted 64-byte template can currently be replayed verbatim — no challenge–response freshness exists. We state this plainly as an open vulnerability (Table 10), and Section 10 lists nonce-based freshness as required future work. Offline, scrypt stretching (N = 16384, r = 8, p = 1) raises the cost of passphrase guessing; Experiment E6 (Appendix B) will measure per-guess cost for 6-digit PINs versus 8-character passphrases under the pinned parameters.</w:t>
      </w:r>
    </w:p>
    <w:p>
      <w:pPr>
        <w:pStyle w:val="Heading2"/>
        <w:spacing w:after="120" w:before="240"/>
      </w:pPr>
      <w:r>
        <w:rPr>
          <w:rFonts w:ascii="Times New Roman" w:cs="Times New Roman" w:eastAsia="SimSun" w:hAnsi="Times New Roman"/>
          <w:b/>
          <w:bCs/>
          <w:color w:val="263238"/>
          <w:sz w:val="24"/>
          <w:szCs w:val="24"/>
        </w:rPr>
        <w:t xml:space="preserve">8.5 Claims Matrix</w:t>
      </w:r>
    </w:p>
    <w:p>
      <w:pPr>
        <w:spacing w:after="200" w:before="60"/>
        <w:jc w:val="center"/>
      </w:pPr>
      <w:r>
        <w:rPr>
          <w:rFonts w:ascii="Times New Roman" w:cs="Times New Roman" w:eastAsia="SimSun" w:hAnsi="Times New Roman"/>
          <w:i/>
          <w:iCs/>
          <w:color w:val="37474F"/>
          <w:sz w:val="18"/>
          <w:szCs w:val="18"/>
        </w:rPr>
        <w:t xml:space="preserve">Table 10. Security claims: what holds by construction, what was measured, and what is not guaranteed.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50"/>
        <w:gridCol w:w="2350"/>
        <w:gridCol w:w="2026"/>
      </w:tblGrid>
      <w:tr>
        <w:trPr>
          <w:tblHeader/>
        </w:trPr>
        <w:tc>
          <w:tcPr>
            <w:tcW w:type="dxa" w:w="2300"/>
            <w:shd w:fill="EEF3F6" w:val="clear"/>
            <w:tcMar>
              <w:top w:type="dxa" w:w="60"/>
              <w:left w:type="dxa" w:w="80"/>
              <w:bottom w:type="dxa" w:w="60"/>
              <w:right w:type="dxa" w:w="80"/>
            </w:tcMar>
          </w:tcPr>
          <w:p>
            <w:pPr>
              <w:spacing w:after="20" w:line="230"/>
            </w:pPr>
            <w:r>
              <w:rPr>
                <w:rFonts w:ascii="Times New Roman" w:cs="Times New Roman" w:eastAsia="SimSun" w:hAnsi="Times New Roman"/>
                <w:b/>
                <w:bCs/>
                <w:color w:val="263238"/>
                <w:sz w:val="16"/>
                <w:szCs w:val="16"/>
              </w:rPr>
              <w:t xml:space="preserve">Property</w:t>
            </w:r>
          </w:p>
        </w:tc>
        <w:tc>
          <w:tcPr>
            <w:tcW w:type="dxa" w:w="2350"/>
            <w:shd w:fill="EEF3F6" w:val="clear"/>
            <w:tcMar>
              <w:top w:type="dxa" w:w="60"/>
              <w:left w:type="dxa" w:w="80"/>
              <w:bottom w:type="dxa" w:w="60"/>
              <w:right w:type="dxa" w:w="80"/>
            </w:tcMar>
          </w:tcPr>
          <w:p>
            <w:pPr>
              <w:spacing w:after="20" w:line="230"/>
            </w:pPr>
            <w:r>
              <w:rPr>
                <w:rFonts w:ascii="Times New Roman" w:cs="Times New Roman" w:eastAsia="SimSun" w:hAnsi="Times New Roman"/>
                <w:b/>
                <w:bCs/>
                <w:color w:val="263238"/>
                <w:sz w:val="16"/>
                <w:szCs w:val="16"/>
              </w:rPr>
              <w:t xml:space="preserve">Status</w:t>
            </w:r>
          </w:p>
        </w:tc>
        <w:tc>
          <w:tcPr>
            <w:tcW w:type="dxa" w:w="2350"/>
            <w:shd w:fill="EEF3F6" w:val="clear"/>
            <w:tcMar>
              <w:top w:type="dxa" w:w="60"/>
              <w:left w:type="dxa" w:w="80"/>
              <w:bottom w:type="dxa" w:w="60"/>
              <w:right w:type="dxa" w:w="80"/>
            </w:tcMar>
          </w:tcPr>
          <w:p>
            <w:pPr>
              <w:spacing w:after="20" w:line="230"/>
            </w:pPr>
            <w:r>
              <w:rPr>
                <w:rFonts w:ascii="Times New Roman" w:cs="Times New Roman" w:eastAsia="SimSun" w:hAnsi="Times New Roman"/>
                <w:b/>
                <w:bCs/>
                <w:color w:val="263238"/>
                <w:sz w:val="16"/>
                <w:szCs w:val="16"/>
              </w:rPr>
              <w:t xml:space="preserve">Evidence type</w:t>
            </w:r>
          </w:p>
        </w:tc>
        <w:tc>
          <w:tcPr>
            <w:tcW w:type="dxa" w:w="2026"/>
            <w:shd w:fill="EEF3F6" w:val="clear"/>
            <w:tcMar>
              <w:top w:type="dxa" w:w="60"/>
              <w:left w:type="dxa" w:w="80"/>
              <w:bottom w:type="dxa" w:w="60"/>
              <w:right w:type="dxa" w:w="80"/>
            </w:tcMar>
          </w:tcPr>
          <w:p>
            <w:pPr>
              <w:spacing w:after="20" w:line="230"/>
            </w:pPr>
            <w:r>
              <w:rPr>
                <w:rFonts w:ascii="Times New Roman" w:cs="Times New Roman" w:eastAsia="SimSun" w:hAnsi="Times New Roman"/>
                <w:b/>
                <w:bCs/>
                <w:color w:val="263238"/>
                <w:sz w:val="16"/>
                <w:szCs w:val="16"/>
              </w:rPr>
              <w:t xml:space="preserve">Boundary</w:t>
            </w:r>
          </w:p>
        </w:tc>
      </w:tr>
      <w:tr>
        <w:tc>
          <w:tcPr>
            <w:tcW w:type="dxa" w:w="23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No raw biometrics / embeddings at rest</w:t>
            </w:r>
          </w:p>
        </w:tc>
        <w:tc>
          <w:tcPr>
            <w:tcW w:type="dxa" w:w="23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Supported</w:t>
            </w:r>
          </w:p>
        </w:tc>
        <w:tc>
          <w:tcPr>
            <w:tcW w:type="dxa" w:w="23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Schema whitelist test (design + test evidence)</w:t>
            </w:r>
          </w:p>
        </w:tc>
        <w:tc>
          <w:tcPr>
            <w:tcW w:type="dxa" w:w="20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Server-side storage only; client-side capture out of scope</w:t>
            </w:r>
          </w:p>
        </w:tc>
      </w:tr>
      <w:tr>
        <w:tc>
          <w:tcPr>
            <w:tcW w:type="dxa" w:w="23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Revocation rejects old-key probes</w:t>
            </w:r>
          </w:p>
        </w:tc>
        <w:tc>
          <w:tcPr>
            <w:tcW w:type="dxa" w:w="23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Supported</w:t>
            </w:r>
          </w:p>
        </w:tc>
        <w:tc>
          <w:tcPr>
            <w:tcW w:type="dxa" w:w="23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By construction + measured (100.00%)</w:t>
            </w:r>
          </w:p>
        </w:tc>
        <w:tc>
          <w:tcPr>
            <w:tcW w:type="dxa" w:w="20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Assumes fresh independent key at re-enrollment</w:t>
            </w:r>
          </w:p>
        </w:tc>
      </w:tr>
      <w:tr>
        <w:tc>
          <w:tcPr>
            <w:tcW w:type="dxa" w:w="23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Genuine restoration after re-key</w:t>
            </w:r>
          </w:p>
        </w:tc>
        <w:tc>
          <w:tcPr>
            <w:tcW w:type="dxa" w:w="23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Supported</w:t>
            </w:r>
          </w:p>
        </w:tc>
        <w:tc>
          <w:tcPr>
            <w:tcW w:type="dxa" w:w="23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Measured (FNMR 1.67% / 6.94%)</w:t>
            </w:r>
          </w:p>
        </w:tc>
        <w:tc>
          <w:tcPr>
            <w:tcW w:type="dxa" w:w="20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120 chimeric test subjects</w:t>
            </w:r>
          </w:p>
        </w:tc>
      </w:tr>
      <w:tr>
        <w:tc>
          <w:tcPr>
            <w:tcW w:type="dxa" w:w="23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Unlinkability, keys secret</w:t>
            </w:r>
          </w:p>
        </w:tc>
        <w:tc>
          <w:tcPr>
            <w:tcW w:type="dxa" w:w="23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Supported (score-only adversary)</w:t>
            </w:r>
          </w:p>
        </w:tc>
        <w:tc>
          <w:tcPr>
            <w:tcW w:type="dxa" w:w="23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Measured (D_sys = 0.0245 [14])</w:t>
            </w:r>
          </w:p>
        </w:tc>
        <w:tc>
          <w:tcPr>
            <w:tcW w:type="dxa" w:w="20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Collapses under key reuse or key disclosure</w:t>
            </w:r>
          </w:p>
        </w:tc>
      </w:tr>
      <w:tr>
        <w:tc>
          <w:tcPr>
            <w:tcW w:type="dxa" w:w="23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Non-invertibility without key</w:t>
            </w:r>
          </w:p>
        </w:tc>
        <w:tc>
          <w:tcPr>
            <w:tcW w:type="dxa" w:w="23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Supported within tested attacks</w:t>
            </w:r>
          </w:p>
        </w:tc>
        <w:tc>
          <w:tcPr>
            <w:tcW w:type="dxa" w:w="23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Measured (distinguisher AUC 0.4767; key-space bound)</w:t>
            </w:r>
          </w:p>
        </w:tc>
        <w:tc>
          <w:tcPr>
            <w:tcW w:type="dxa" w:w="20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Not a proof; adaptive attacks untested</w:t>
            </w:r>
          </w:p>
        </w:tc>
      </w:tr>
      <w:tr>
        <w:tc>
          <w:tcPr>
            <w:tcW w:type="dxa" w:w="23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Non-invertibility with key</w:t>
            </w:r>
          </w:p>
        </w:tc>
        <w:tc>
          <w:tcPr>
            <w:tcW w:type="dxa" w:w="23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REFUTED</w:t>
            </w:r>
          </w:p>
        </w:tc>
        <w:tc>
          <w:tcPr>
            <w:tcW w:type="dxa" w:w="23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Measured (cos 0.9335, 100% replay)</w:t>
            </w:r>
          </w:p>
        </w:tc>
        <w:tc>
          <w:tcPr>
            <w:tcW w:type="dxa" w:w="20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Linear decoder suffices at m = 512</w:t>
            </w:r>
          </w:p>
        </w:tc>
      </w:tr>
      <w:tr>
        <w:tc>
          <w:tcPr>
            <w:tcW w:type="dxa" w:w="23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Replay resistance (network)</w:t>
            </w:r>
          </w:p>
        </w:tc>
        <w:tc>
          <w:tcPr>
            <w:tcW w:type="dxa" w:w="23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NOT guaranteed</w:t>
            </w:r>
          </w:p>
        </w:tc>
        <w:tc>
          <w:tcPr>
            <w:tcW w:type="dxa" w:w="23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Design gap acknowledged</w:t>
            </w:r>
          </w:p>
        </w:tc>
        <w:tc>
          <w:tcPr>
            <w:tcW w:type="dxa" w:w="20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Needs challenge–response freshness</w:t>
            </w:r>
          </w:p>
        </w:tc>
      </w:tr>
      <w:tr>
        <w:tc>
          <w:tcPr>
            <w:tcW w:type="dxa" w:w="23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Memory hygiene (RAM zeroization)</w:t>
            </w:r>
          </w:p>
        </w:tc>
        <w:tc>
          <w:tcPr>
            <w:tcW w:type="dxa" w:w="23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NOT guaranteed</w:t>
            </w:r>
          </w:p>
        </w:tc>
        <w:tc>
          <w:tcPr>
            <w:tcW w:type="dxa" w:w="23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No test; CPython does not zeroize freed heap</w:t>
            </w:r>
          </w:p>
        </w:tc>
        <w:tc>
          <w:tcPr>
            <w:tcW w:type="dxa" w:w="20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Core-dump / forensic exposure remains</w:t>
            </w:r>
          </w:p>
        </w:tc>
      </w:tr>
      <w:tr>
        <w:tc>
          <w:tcPr>
            <w:tcW w:type="dxa" w:w="23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Cross-platform bit determinism</w:t>
            </w:r>
          </w:p>
        </w:tc>
        <w:tc>
          <w:tcPr>
            <w:tcW w:type="dxa" w:w="23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Supported</w:t>
            </w:r>
          </w:p>
        </w:tc>
        <w:tc>
          <w:tcPr>
            <w:tcW w:type="dxa" w:w="23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KAT in Docker vs MSVC outputs</w:t>
            </w:r>
          </w:p>
        </w:tc>
        <w:tc>
          <w:tcPr>
            <w:tcW w:type="dxa" w:w="20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Determinism ≠ pseudorandomness [V16]</w:t>
            </w:r>
          </w:p>
        </w:tc>
      </w:tr>
      <w:tr>
        <w:tc>
          <w:tcPr>
            <w:tcW w:type="dxa" w:w="23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Timing-safe token comparison</w:t>
            </w:r>
          </w:p>
        </w:tc>
        <w:tc>
          <w:tcPr>
            <w:tcW w:type="dxa" w:w="23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Supported (scoped)</w:t>
            </w:r>
          </w:p>
        </w:tc>
        <w:tc>
          <w:tcPr>
            <w:tcW w:type="dxa" w:w="23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hmac.compare_digest + mocked timing test</w:t>
            </w:r>
          </w:p>
        </w:tc>
        <w:tc>
          <w:tcPr>
            <w:tcW w:type="dxa" w:w="20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Covers bearer-token check only</w:t>
            </w:r>
          </w:p>
        </w:tc>
      </w:tr>
    </w:tbl>
    <w:p>
      <w:pPr>
        <w:pStyle w:val="Heading1"/>
        <w:spacing w:after="160" w:before="320"/>
      </w:pPr>
      <w:r>
        <w:rPr>
          <w:rFonts w:ascii="Times New Roman" w:cs="Times New Roman" w:eastAsia="SimSun" w:hAnsi="Times New Roman"/>
          <w:b/>
          <w:bCs/>
          <w:color w:val="263238"/>
          <w:sz w:val="28"/>
          <w:szCs w:val="28"/>
        </w:rPr>
        <w:t xml:space="preserve">9. Discussion</w:t>
      </w:r>
    </w:p>
    <w:p>
      <w:pPr>
        <w:pStyle w:val="Heading2"/>
        <w:spacing w:after="120" w:before="240"/>
      </w:pPr>
      <w:r>
        <w:rPr>
          <w:rFonts w:ascii="Times New Roman" w:cs="Times New Roman" w:eastAsia="SimSun" w:hAnsi="Times New Roman"/>
          <w:b/>
          <w:bCs/>
          <w:color w:val="263238"/>
          <w:sz w:val="24"/>
          <w:szCs w:val="24"/>
        </w:rPr>
        <w:t xml:space="preserve">9.1 Answers to the Research Questions</w:t>
      </w:r>
    </w:p>
    <w:p>
      <w:pPr>
        <w:pStyle w:val="ListParagraph"/>
        <w:numPr>
          <w:ilvl w:val="0"/>
          <w:numId w:val="2"/>
        </w:numPr>
        <w:spacing w:after="60" w:line="276"/>
      </w:pPr>
      <w:r>
        <w:rPr>
          <w:rFonts w:ascii="Times New Roman" w:cs="Times New Roman" w:eastAsia="SimSun" w:hAnsi="Times New Roman"/>
          <w:sz w:val="22"/>
          <w:szCs w:val="22"/>
        </w:rPr>
        <w:t xml:space="preserve">RQ1 (Utility). At m = 512 the cancelable system reports EER 1.29% ± 0.23% against the 1.11% unprotected fusion baseline; the paired ΔEER interval [−0.135, +0.688]% includes zero, so no EER degradation is detectable at 120 subjects, while a small, detectable cost appears at FNMR@0.1% (+1.311%, CI [+0.333, +2.722]%).</w:t>
      </w:r>
    </w:p>
    <w:p>
      <w:pPr>
        <w:pStyle w:val="ListParagraph"/>
        <w:numPr>
          <w:ilvl w:val="0"/>
          <w:numId w:val="2"/>
        </w:numPr>
        <w:spacing w:after="60" w:line="276"/>
      </w:pPr>
      <w:r>
        <w:rPr>
          <w:rFonts w:ascii="Times New Roman" w:cs="Times New Roman" w:eastAsia="SimSun" w:hAnsi="Times New Roman"/>
          <w:sz w:val="22"/>
          <w:szCs w:val="22"/>
        </w:rPr>
        <w:t xml:space="preserve">RQ2 (Revocability). Old-key probes are rejected completely (largely by construction), and genuine matching is restored after re-keying at FNMR 1.67% (tau_EER) / 6.94% (tau_0.1%).</w:t>
      </w:r>
    </w:p>
    <w:p>
      <w:pPr>
        <w:pStyle w:val="ListParagraph"/>
        <w:numPr>
          <w:ilvl w:val="0"/>
          <w:numId w:val="2"/>
        </w:numPr>
        <w:spacing w:after="60" w:line="276"/>
      </w:pPr>
      <w:r>
        <w:rPr>
          <w:rFonts w:ascii="Times New Roman" w:cs="Times New Roman" w:eastAsia="SimSun" w:hAnsi="Times New Roman"/>
          <w:sz w:val="22"/>
          <w:szCs w:val="22"/>
        </w:rPr>
        <w:t xml:space="preserve">RQ3 (Unlinkability). Score-based unlinkability is close to ideal when keys are secret (D_sys = 0.0245) and collapses under key reuse (0.9827) or key compromise (0.9649).</w:t>
      </w:r>
    </w:p>
    <w:p>
      <w:pPr>
        <w:pStyle w:val="ListParagraph"/>
        <w:numPr>
          <w:ilvl w:val="0"/>
          <w:numId w:val="2"/>
        </w:numPr>
        <w:spacing w:after="60" w:line="276"/>
      </w:pPr>
      <w:r>
        <w:rPr>
          <w:rFonts w:ascii="Times New Roman" w:cs="Times New Roman" w:eastAsia="SimSun" w:hAnsi="Times New Roman"/>
          <w:sz w:val="22"/>
          <w:szCs w:val="22"/>
        </w:rPr>
        <w:t xml:space="preserve">RQ4 (Inversion). Under key compromise, linear decoding recovers fused embeddings at 0.9335 centered cosine (m = 512) with 100% replay success; random-projection binarization is not a one-way function.</w:t>
      </w:r>
    </w:p>
    <w:p>
      <w:pPr>
        <w:pStyle w:val="ListParagraph"/>
        <w:numPr>
          <w:ilvl w:val="0"/>
          <w:numId w:val="2"/>
        </w:numPr>
        <w:spacing w:after="60" w:line="276"/>
      </w:pPr>
      <w:r>
        <w:rPr>
          <w:rFonts w:ascii="Times New Roman" w:cs="Times New Roman" w:eastAsia="SimSun" w:hAnsi="Times New Roman"/>
          <w:sz w:val="22"/>
          <w:szCs w:val="22"/>
        </w:rPr>
        <w:t xml:space="preserve">RQ5 (Engineering). Schema minimization, key separation, scrypt stretching, timing-safe comparison, score suppression, escalating lockout, UI isolation, and KAT determinism are implemented and, where possible, test-evidenced; replay freshness and memory zeroization remain open.</w:t>
      </w:r>
    </w:p>
    <w:p>
      <w:pPr>
        <w:pStyle w:val="Heading2"/>
        <w:spacing w:after="120" w:before="240"/>
      </w:pPr>
      <w:r>
        <w:rPr>
          <w:rFonts w:ascii="Times New Roman" w:cs="Times New Roman" w:eastAsia="SimSun" w:hAnsi="Times New Roman"/>
          <w:b/>
          <w:bCs/>
          <w:color w:val="263238"/>
          <w:sz w:val="24"/>
          <w:szCs w:val="24"/>
        </w:rPr>
        <w:t xml:space="preserve">9.2 The Central Finding: Accuracy and Leakage Are the Same Property</w:t>
      </w:r>
    </w:p>
    <w:p>
      <w:pPr>
        <w:spacing w:after="120" w:line="276"/>
        <w:ind w:firstLine="431"/>
        <w:jc w:val="both"/>
      </w:pPr>
      <w:r>
        <w:rPr>
          <w:rFonts w:ascii="Times New Roman" w:cs="Times New Roman" w:eastAsia="SimSun" w:hAnsi="Times New Roman"/>
          <w:sz w:val="22"/>
          <w:szCs w:val="22"/>
        </w:rPr>
        <w:t xml:space="preserve">The transform is designed to preserve angular similarity (D_H ≈ θ/π), and that is exactly why it works and exactly why it leaks. Preservation of local geometry keeps genuine pairs close after binarization (Section 6), and the same bit-level linear constraints let a key-holding adversary triangulate the embedding (Section 8). Figure 7 shows the two curves moving together across m. The practical consequence is that the security of this class of cancelable schemes cannot rest on the transform; it rests on key management — per-user, per-service keys, memory-hard derivation, separation of the key store from the template store, and ideally a second factor. In deployment terms we recommend user-secret (two-factor) mode as the default: an adversary holding the database and the server master key but not the user secret should fail reconstruction (Experiment E6 will quantify this, including offline-guessing cost for 6-digit PINs versus 8-character passphrases).</w:t>
      </w:r>
    </w:p>
    <w:p>
      <w:pPr>
        <w:spacing w:after="40" w:before="120"/>
        <w:jc w:val="center"/>
      </w:pPr>
      <w:r>
        <w:drawing>
          <wp:inline distT="0" distB="0" distL="0" distR="0">
            <wp:extent cx="5715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019425"/>
                    </a:xfrm>
                    <a:prstGeom prst="rect">
                      <a:avLst/>
                    </a:prstGeom>
                  </pic:spPr>
                </pic:pic>
              </a:graphicData>
            </a:graphic>
          </wp:inline>
        </w:drawing>
      </w:r>
    </w:p>
    <w:p>
      <w:pPr>
        <w:spacing w:after="200" w:before="60"/>
        <w:jc w:val="center"/>
      </w:pPr>
      <w:r>
        <w:rPr>
          <w:rFonts w:ascii="Times New Roman" w:cs="Times New Roman" w:eastAsia="SimSun" w:hAnsi="Times New Roman"/>
          <w:i/>
          <w:iCs/>
          <w:color w:val="37474F"/>
          <w:sz w:val="18"/>
          <w:szCs w:val="18"/>
        </w:rPr>
        <w:t xml:space="preserve">Figure 7. Reported recognition EER (left axis) and reconstruction cosine under key compromise (right axis) versus m. Both improve together — the utility–leakage coupling. Plotted from reported aggregate values.</w:t>
      </w:r>
    </w:p>
    <w:p>
      <w:pPr>
        <w:pStyle w:val="Heading2"/>
        <w:spacing w:after="120" w:before="240"/>
      </w:pPr>
      <w:r>
        <w:rPr>
          <w:rFonts w:ascii="Times New Roman" w:cs="Times New Roman" w:eastAsia="SimSun" w:hAnsi="Times New Roman"/>
          <w:b/>
          <w:bCs/>
          <w:color w:val="263238"/>
          <w:sz w:val="24"/>
          <w:szCs w:val="24"/>
        </w:rPr>
        <w:t xml:space="preserve">9.3 Comparison with the Literature</w:t>
      </w:r>
    </w:p>
    <w:p>
      <w:pPr>
        <w:spacing w:after="120" w:line="276"/>
        <w:ind w:firstLine="431"/>
        <w:jc w:val="both"/>
      </w:pPr>
      <w:r>
        <w:rPr>
          <w:rFonts w:ascii="Times New Roman" w:cs="Times New Roman" w:eastAsia="SimSun" w:hAnsi="Times New Roman"/>
          <w:sz w:val="22"/>
          <w:szCs w:val="22"/>
        </w:rPr>
        <w:t xml:space="preserve">Placed against Table 1, ZK-CaMBio’s profile is consistent with the cancelable literature rather than an exception to it: accuracy near the unprotected baseline [2], [5], complete old-key rejection by re-keying [1], [4], strong score-only unlinkability [14], and failure under key compromise, echoing the stolen-token analyses of BioHashing [6]–[8] and inversion results for protected templates [10]–[12], [V17], [V18]. Where this study adds evidence is in joining four things in one system: a multimodal feature-level pipeline, a fully deterministic integer projection engine with cross-platform KAT verification, a paired-bootstrap statistical protocol that distinguishes “no detectable difference” from “equivalence,” and an explicit measurement program that reports the system’s failure mode (key-compromise reconstruction) alongside its successes. We make no superiority claim over any prior method: datasets, sensors, and protocols differ, and our evaluation is chimeric.</w:t>
      </w:r>
    </w:p>
    <w:p>
      <w:pPr>
        <w:pStyle w:val="Heading2"/>
        <w:spacing w:after="120" w:before="240"/>
      </w:pPr>
      <w:r>
        <w:rPr>
          <w:rFonts w:ascii="Times New Roman" w:cs="Times New Roman" w:eastAsia="SimSun" w:hAnsi="Times New Roman"/>
          <w:b/>
          <w:bCs/>
          <w:color w:val="263238"/>
          <w:sz w:val="24"/>
          <w:szCs w:val="24"/>
        </w:rPr>
        <w:t xml:space="preserve">9.4 Deployment Implications</w:t>
      </w:r>
    </w:p>
    <w:p>
      <w:pPr>
        <w:spacing w:after="120" w:line="276"/>
        <w:ind w:firstLine="431"/>
        <w:jc w:val="both"/>
      </w:pPr>
      <w:r>
        <w:rPr>
          <w:rFonts w:ascii="Times New Roman" w:cs="Times New Roman" w:eastAsia="SimSun" w:hAnsi="Times New Roman"/>
          <w:sz w:val="22"/>
          <w:szCs w:val="22"/>
        </w:rPr>
        <w:t xml:space="preserve">For practitioners, the study supports three recommendations. First, treat the transformation key as the crown jewel: per-user and per-service keys, memory-hard derivation, hardware-backed storage where possible, and no key reuse across domains (D_sys 0.9827 shows why). Second, ship the software controls with the algorithm: score suppression, escalating lockout, timing-safe comparison, and storage minimization are what stand between the A4/A6 adversaries and the decision oracle. Third, do not advertise non-invertibility: with the key, the template is effectively the embedding. Systems that need reconstruction resistance under key compromise must move to constructions with cryptographic guarantees — fuzzy extractors with analyzed security [V12] or genuine zero-knowledge proof systems [V21]–[V23] — accepting their accuracy and complexity costs.</w:t>
      </w:r>
    </w:p>
    <w:p>
      <w:pPr>
        <w:pStyle w:val="Heading1"/>
        <w:spacing w:after="160" w:before="320"/>
      </w:pPr>
      <w:r>
        <w:rPr>
          <w:rFonts w:ascii="Times New Roman" w:cs="Times New Roman" w:eastAsia="SimSun" w:hAnsi="Times New Roman"/>
          <w:b/>
          <w:bCs/>
          <w:color w:val="263238"/>
          <w:sz w:val="28"/>
          <w:szCs w:val="28"/>
        </w:rPr>
        <w:t xml:space="preserve">10. Limitations</w:t>
      </w:r>
    </w:p>
    <w:p>
      <w:pPr>
        <w:pStyle w:val="ListParagraph"/>
        <w:numPr>
          <w:ilvl w:val="0"/>
          <w:numId w:val="2"/>
        </w:numPr>
        <w:spacing w:after="60" w:line="276"/>
      </w:pPr>
      <w:r>
        <w:rPr>
          <w:rFonts w:ascii="Times New Roman" w:cs="Times New Roman" w:eastAsia="SimSun" w:hAnsi="Times New Roman"/>
          <w:sz w:val="22"/>
          <w:szCs w:val="22"/>
        </w:rPr>
        <w:t xml:space="preserve">Chimeric pairing. Face–finger independence is assumed, not verified; Poh and Bengio’s critique [13] applies, and the multi-seed sensitivity experiment E1 remains to be run. All headline numbers describe within-chimeric-population behavior.</w:t>
      </w:r>
    </w:p>
    <w:p>
      <w:pPr>
        <w:pStyle w:val="ListParagraph"/>
        <w:numPr>
          <w:ilvl w:val="0"/>
          <w:numId w:val="2"/>
        </w:numPr>
        <w:spacing w:after="60" w:line="276"/>
      </w:pPr>
      <w:r>
        <w:rPr>
          <w:rFonts w:ascii="Times New Roman" w:cs="Times New Roman" w:eastAsia="SimSun" w:hAnsi="Times New Roman"/>
          <w:sz w:val="22"/>
          <w:szCs w:val="22"/>
        </w:rPr>
        <w:t xml:space="preserve">Scale. 120 test subjects, 360 genuine and 14,040 impostor comparisons; national-scale behavior (≥ 10⁶ identities) is unknown, and CI width (≈ 0.7 EER points) reflects the sample size.</w:t>
      </w:r>
    </w:p>
    <w:p>
      <w:pPr>
        <w:pStyle w:val="ListParagraph"/>
        <w:numPr>
          <w:ilvl w:val="0"/>
          <w:numId w:val="2"/>
        </w:numPr>
        <w:spacing w:after="60" w:line="276"/>
      </w:pPr>
      <w:r>
        <w:rPr>
          <w:rFonts w:ascii="Times New Roman" w:cs="Times New Roman" w:eastAsia="SimSun" w:hAnsi="Times New Roman"/>
          <w:sz w:val="22"/>
          <w:szCs w:val="22"/>
        </w:rPr>
        <w:t xml:space="preserve">Training data mixture. The fingerprint encoder was fine-tuned partly on synthetic SFinGe fingers (DB4_A) and B-set fingers; domain transfer to unseen live scanners is untested.</w:t>
      </w:r>
    </w:p>
    <w:p>
      <w:pPr>
        <w:pStyle w:val="ListParagraph"/>
        <w:numPr>
          <w:ilvl w:val="0"/>
          <w:numId w:val="2"/>
        </w:numPr>
        <w:spacing w:after="60" w:line="276"/>
      </w:pPr>
      <w:r>
        <w:rPr>
          <w:rFonts w:ascii="Times New Roman" w:cs="Times New Roman" w:eastAsia="SimSun" w:hAnsi="Times New Roman"/>
          <w:sz w:val="22"/>
          <w:szCs w:val="22"/>
        </w:rPr>
        <w:t xml:space="preserve">Pretrained-encoder overlap. InceptionResnetV1 was pretrained on VGGFace2 [18]; identity overlap between public training corpora and UMDFaces cannot be ruled out and could inflate face-branch results.</w:t>
      </w:r>
    </w:p>
    <w:p>
      <w:pPr>
        <w:pStyle w:val="ListParagraph"/>
        <w:numPr>
          <w:ilvl w:val="0"/>
          <w:numId w:val="2"/>
        </w:numPr>
        <w:spacing w:after="60" w:line="276"/>
      </w:pPr>
      <w:r>
        <w:rPr>
          <w:rFonts w:ascii="Times New Roman" w:cs="Times New Roman" w:eastAsia="SimSun" w:hAnsi="Times New Roman"/>
          <w:sz w:val="22"/>
          <w:szCs w:val="22"/>
        </w:rPr>
        <w:t xml:space="preserve">Enrollment-gate calibration. The fingerprint gate threshold was revised after a look at test-set rejections (D-017), so the 0.00% test rejection rate is an observed outcome, not a held-out estimate.</w:t>
      </w:r>
    </w:p>
    <w:p>
      <w:pPr>
        <w:pStyle w:val="ListParagraph"/>
        <w:numPr>
          <w:ilvl w:val="0"/>
          <w:numId w:val="2"/>
        </w:numPr>
        <w:spacing w:after="60" w:line="276"/>
      </w:pPr>
      <w:r>
        <w:rPr>
          <w:rFonts w:ascii="Times New Roman" w:cs="Times New Roman" w:eastAsia="SimSun" w:hAnsi="Times New Roman"/>
          <w:sz w:val="22"/>
          <w:szCs w:val="22"/>
        </w:rPr>
        <w:t xml:space="preserve">Chaotic generator. The logistic map provides deterministic expansion, not cryptographic pseudorandomness [V16]; state-recovery attacks on unperturbed chaotic orbits are not evaluated.</w:t>
      </w:r>
    </w:p>
    <w:p>
      <w:pPr>
        <w:pStyle w:val="ListParagraph"/>
        <w:numPr>
          <w:ilvl w:val="0"/>
          <w:numId w:val="2"/>
        </w:numPr>
        <w:spacing w:after="60" w:line="276"/>
      </w:pPr>
      <w:r>
        <w:rPr>
          <w:rFonts w:ascii="Times New Roman" w:cs="Times New Roman" w:eastAsia="SimSun" w:hAnsi="Times New Roman"/>
          <w:sz w:val="22"/>
          <w:szCs w:val="22"/>
        </w:rPr>
        <w:t xml:space="preserve">Key compromise is catastrophic by design. All privacy properties collapse when keys leak (Sections 7.2, 8.1, 8.2); the architecture has no algorithmic defense in that regime.</w:t>
      </w:r>
    </w:p>
    <w:p>
      <w:pPr>
        <w:pStyle w:val="ListParagraph"/>
        <w:numPr>
          <w:ilvl w:val="0"/>
          <w:numId w:val="2"/>
        </w:numPr>
        <w:spacing w:after="60" w:line="276"/>
      </w:pPr>
      <w:r>
        <w:rPr>
          <w:rFonts w:ascii="Times New Roman" w:cs="Times New Roman" w:eastAsia="SimSun" w:hAnsi="Times New Roman"/>
          <w:sz w:val="22"/>
          <w:szCs w:val="22"/>
        </w:rPr>
        <w:t xml:space="preserve">Replay and freshness. Intercepted packed templates can be replayed verbatim; no challenge–response or timestamp freshness is implemented.</w:t>
      </w:r>
    </w:p>
    <w:p>
      <w:pPr>
        <w:pStyle w:val="ListParagraph"/>
        <w:numPr>
          <w:ilvl w:val="0"/>
          <w:numId w:val="2"/>
        </w:numPr>
        <w:spacing w:after="60" w:line="276"/>
      </w:pPr>
      <w:r>
        <w:rPr>
          <w:rFonts w:ascii="Times New Roman" w:cs="Times New Roman" w:eastAsia="SimSun" w:hAnsi="Times New Roman"/>
          <w:sz w:val="22"/>
          <w:szCs w:val="22"/>
        </w:rPr>
        <w:t xml:space="preserve">Presentation attacks. No liveness or presentation-attack detection is integrated.</w:t>
      </w:r>
    </w:p>
    <w:p>
      <w:pPr>
        <w:pStyle w:val="ListParagraph"/>
        <w:numPr>
          <w:ilvl w:val="0"/>
          <w:numId w:val="2"/>
        </w:numPr>
        <w:spacing w:after="60" w:line="276"/>
      </w:pPr>
      <w:r>
        <w:rPr>
          <w:rFonts w:ascii="Times New Roman" w:cs="Times New Roman" w:eastAsia="SimSun" w:hAnsi="Times New Roman"/>
          <w:sz w:val="22"/>
          <w:szCs w:val="22"/>
        </w:rPr>
        <w:t xml:space="preserve">Memory hygiene. CPython does not zeroize freed heap; intermediate embeddings may persist in memory and core dumps.</w:t>
      </w:r>
    </w:p>
    <w:p>
      <w:pPr>
        <w:pStyle w:val="ListParagraph"/>
        <w:numPr>
          <w:ilvl w:val="0"/>
          <w:numId w:val="2"/>
        </w:numPr>
        <w:spacing w:after="60" w:line="276"/>
      </w:pPr>
      <w:r>
        <w:rPr>
          <w:rFonts w:ascii="Times New Roman" w:cs="Times New Roman" w:eastAsia="SimSun" w:hAnsi="Times New Roman"/>
          <w:sz w:val="22"/>
          <w:szCs w:val="22"/>
        </w:rPr>
        <w:t xml:space="preserve">Reported results. All numbers are transcribed from project artifacts; independent re-execution (E2 consistency audit) is pending.</w:t>
      </w:r>
    </w:p>
    <w:p>
      <w:pPr>
        <w:pStyle w:val="Heading1"/>
        <w:spacing w:after="160" w:before="320"/>
      </w:pPr>
      <w:r>
        <w:rPr>
          <w:rFonts w:ascii="Times New Roman" w:cs="Times New Roman" w:eastAsia="SimSun" w:hAnsi="Times New Roman"/>
          <w:b/>
          <w:bCs/>
          <w:color w:val="263238"/>
          <w:sz w:val="28"/>
          <w:szCs w:val="28"/>
        </w:rPr>
        <w:t xml:space="preserve">11. Conclusion and Future Work</w:t>
      </w:r>
    </w:p>
    <w:p>
      <w:pPr>
        <w:spacing w:after="120" w:line="276"/>
        <w:ind w:firstLine="431"/>
        <w:jc w:val="both"/>
      </w:pPr>
      <w:r>
        <w:rPr>
          <w:rFonts w:ascii="Times New Roman" w:cs="Times New Roman" w:eastAsia="SimSun" w:hAnsi="Times New Roman"/>
          <w:sz w:val="22"/>
          <w:szCs w:val="22"/>
        </w:rPr>
        <w:t xml:space="preserve">We presented ZK-CaMBio, a research prototype for cancelable multimodal biometric authentication that fuses InceptionResnetV1 face embeddings with FingerResNet18 V2 fingerprint embeddings (w = 0.60, 768-d) and projects them into 512-bit templates through a deterministic, integer-quantized, key-dependent chaotic engine. On 120 chimeric test subjects under within-sensor Protocol D-009, the reported EER of 1.29% ± 0.23% statistically matches the unprotected baseline at the EER operating point; revocation, key separation, and score-only unlinkability behave as the design intends. The adversarial program delivers the paper’s central, deliberately unflattering finding: under key compromise a linear Ridge decoder reconstructs fused embeddings at 0.9335 cosine fidelity with 100% replay success, and cross-service unlinkability collapses (D_sys 0.0245 → 0.9649). Cancelable random-projection biometrics are key-dependent template protection, not one-way hashing; their security is exactly the security of their keys. Future work: challenge–response freshness for replay resistance, replacing the logistic map with a CSPRNG (e.g., ChaCha20), hardware-backed key storage, presentation-attack detection, the planned experiments E1–E6 (Appendix B), and — for genuine zero-knowledge operation — compiling threshold-Hamming matching into a zk-SNARK circuit in the spirit of [V21]–[V23].</w:t>
      </w:r>
    </w:p>
    <w:p>
      <w:pPr>
        <w:pStyle w:val="Heading1"/>
        <w:spacing w:after="160" w:before="320"/>
      </w:pPr>
      <w:r>
        <w:rPr>
          <w:rFonts w:ascii="Times New Roman" w:cs="Times New Roman" w:eastAsia="SimSun" w:hAnsi="Times New Roman"/>
          <w:b/>
          <w:bCs/>
          <w:color w:val="263238"/>
          <w:sz w:val="28"/>
          <w:szCs w:val="28"/>
        </w:rPr>
        <w:t xml:space="preserve">12. Reproducibility, Data Availability, and Ethics</w:t>
      </w:r>
    </w:p>
    <w:p>
      <w:pPr>
        <w:pStyle w:val="Heading2"/>
        <w:spacing w:after="120" w:before="240"/>
      </w:pPr>
      <w:r>
        <w:rPr>
          <w:rFonts w:ascii="Times New Roman" w:cs="Times New Roman" w:eastAsia="SimSun" w:hAnsi="Times New Roman"/>
          <w:b/>
          <w:bCs/>
          <w:color w:val="263238"/>
          <w:sz w:val="24"/>
          <w:szCs w:val="24"/>
        </w:rPr>
        <w:t xml:space="preserve">12.1 Code, Results, and Pipeline</w:t>
      </w:r>
    </w:p>
    <w:p>
      <w:pPr>
        <w:spacing w:after="120" w:line="276"/>
        <w:ind w:firstLine="431"/>
        <w:jc w:val="both"/>
      </w:pPr>
      <w:r>
        <w:rPr>
          <w:rFonts w:ascii="Times New Roman" w:cs="Times New Roman" w:eastAsia="SimSun" w:hAnsi="Times New Roman"/>
          <w:sz w:val="22"/>
          <w:szCs w:val="22"/>
        </w:rPr>
        <w:t xml:space="preserve">The reference implementation (FastAPI backend, PostgreSQL 16 schema with Alembic migrations, C++17 projection engine, Streamlit dashboard, Docker Compose deployment, 58-test suite, master reproduction script, and results manifest with SHA-256 checksums for 47 artifacts) is maintained at github.com/RudranshD24/ZK-CaMBio-Project. Documented regeneration of all experiment JSONs from cached embeddings takes about 1,007 s. This manuscript’s numbers are reported results transcribed from those artifacts; the author-verification checklist in Appendix C lists what must be re-executed or reconciled before submission.</w:t>
      </w:r>
    </w:p>
    <w:p>
      <w:pPr>
        <w:pStyle w:val="Heading2"/>
        <w:spacing w:after="120" w:before="240"/>
      </w:pPr>
      <w:r>
        <w:rPr>
          <w:rFonts w:ascii="Times New Roman" w:cs="Times New Roman" w:eastAsia="SimSun" w:hAnsi="Times New Roman"/>
          <w:b/>
          <w:bCs/>
          <w:color w:val="263238"/>
          <w:sz w:val="24"/>
          <w:szCs w:val="24"/>
        </w:rPr>
        <w:t xml:space="preserve">12.2 Data Availability and Licensing</w:t>
      </w:r>
    </w:p>
    <w:p>
      <w:pPr>
        <w:spacing w:after="120" w:line="276"/>
        <w:ind w:firstLine="431"/>
        <w:jc w:val="both"/>
      </w:pPr>
      <w:r>
        <w:rPr>
          <w:rFonts w:ascii="Times New Roman" w:cs="Times New Roman" w:eastAsia="SimSun" w:hAnsi="Times New Roman"/>
          <w:sz w:val="22"/>
          <w:szCs w:val="22"/>
        </w:rPr>
        <w:t xml:space="preserve">UMDFaces [19] and FVC2004 [20] are third-party research datasets and are not redistributed; split manifests and preprocessing scripts are intended to reconstruct the 300 virtual subjects. UMDFaces is released for research use (see umdfaces.io for terms); FVC2004 is a standard research benchmark. Face data derive from public web imagery collected by the dataset creators; no new human-subject data were collected for this study.</w:t>
      </w:r>
    </w:p>
    <w:p>
      <w:pPr>
        <w:pStyle w:val="Heading2"/>
        <w:spacing w:after="120" w:before="240"/>
      </w:pPr>
      <w:r>
        <w:rPr>
          <w:rFonts w:ascii="Times New Roman" w:cs="Times New Roman" w:eastAsia="SimSun" w:hAnsi="Times New Roman"/>
          <w:b/>
          <w:bCs/>
          <w:color w:val="263238"/>
          <w:sz w:val="24"/>
          <w:szCs w:val="24"/>
        </w:rPr>
        <w:t xml:space="preserve">12.3 Ethics and Societal Impact</w:t>
      </w:r>
    </w:p>
    <w:p>
      <w:pPr>
        <w:spacing w:after="120" w:line="276"/>
        <w:ind w:firstLine="431"/>
        <w:jc w:val="both"/>
      </w:pPr>
      <w:r>
        <w:rPr>
          <w:rFonts w:ascii="Times New Roman" w:cs="Times New Roman" w:eastAsia="SimSun" w:hAnsi="Times New Roman"/>
          <w:sz w:val="22"/>
          <w:szCs w:val="22"/>
        </w:rPr>
        <w:t xml:space="preserve">Biometric template protection exists because biometric breaches are irreversible harms. At the same time, publishing reconstruction attacks carries dual-use risk; we include them because they document a failure mode practitioners must understand, following the norms of the inverse-biometrics literature [10], [11]. Deployment of any biometric system requires consent, proportionality, and compliance with applicable data-protection law; this prototype is not presented as production-ready.</w:t>
      </w:r>
    </w:p>
    <w:p>
      <w:pPr>
        <w:pStyle w:val="Heading2"/>
        <w:spacing w:after="120" w:before="240"/>
      </w:pPr>
      <w:r>
        <w:rPr>
          <w:rFonts w:ascii="Times New Roman" w:cs="Times New Roman" w:eastAsia="SimSun" w:hAnsi="Times New Roman"/>
          <w:b/>
          <w:bCs/>
          <w:color w:val="263238"/>
          <w:sz w:val="24"/>
          <w:szCs w:val="24"/>
        </w:rPr>
        <w:t xml:space="preserve">12.4 AI-Assistance Disclosure</w:t>
      </w:r>
    </w:p>
    <w:p>
      <w:pPr>
        <w:spacing w:after="120" w:line="276"/>
        <w:ind w:firstLine="431"/>
        <w:jc w:val="both"/>
      </w:pPr>
      <w:r>
        <w:rPr>
          <w:rFonts w:ascii="Times New Roman" w:cs="Times New Roman" w:eastAsia="SimSun" w:hAnsi="Times New Roman"/>
          <w:sz w:val="22"/>
          <w:szCs w:val="22"/>
        </w:rPr>
        <w:t xml:space="preserve">Portions of the implementation tooling, documentation, and manuscript preparation used AI-assisted tools. The author is responsible for all content, verified or corrected every reported claim, and will adapt this statement to the institution’s disclosure policy before submission. [Author to edit to match institutional policy.]</w:t>
      </w:r>
    </w:p>
    <w:p>
      <w:pPr>
        <w:pStyle w:val="Heading1"/>
        <w:spacing w:after="160" w:before="320"/>
      </w:pPr>
      <w:r>
        <w:rPr>
          <w:rFonts w:ascii="Times New Roman" w:cs="Times New Roman" w:eastAsia="SimSun" w:hAnsi="Times New Roman"/>
          <w:b/>
          <w:bCs/>
          <w:color w:val="263238"/>
          <w:sz w:val="28"/>
          <w:szCs w:val="28"/>
        </w:rPr>
        <w:t xml:space="preserve">References</w:t>
      </w:r>
    </w:p>
    <w:p>
      <w:pPr>
        <w:spacing w:after="120" w:line="276"/>
        <w:jc w:val="both"/>
      </w:pPr>
      <w:r>
        <w:rPr>
          <w:rFonts w:ascii="Times New Roman" w:cs="Times New Roman" w:eastAsia="SimSun" w:hAnsi="Times New Roman"/>
          <w:sz w:val="22"/>
          <w:szCs w:val="22"/>
        </w:rPr>
        <w:t xml:space="preserve">Entries [1]–[20] were checked against publisher, arXiv, or standards listings during preparation. Bracketed notes indicate fields that remain to be completed before submission (see VERIFY_LIST.md).</w:t>
      </w:r>
    </w:p>
    <w:p>
      <w:pPr>
        <w:spacing w:after="80"/>
        <w:ind w:left="420" w:hanging="420"/>
      </w:pPr>
      <w:r>
        <w:rPr>
          <w:rFonts w:ascii="Times New Roman" w:cs="Times New Roman" w:eastAsia="SimSun" w:hAnsi="Times New Roman"/>
          <w:b/>
          <w:bCs/>
          <w:sz w:val="22"/>
          <w:szCs w:val="22"/>
        </w:rPr>
        <w:t xml:space="preserve">[1]</w:t>
      </w:r>
      <w:r>
        <w:rPr>
          <w:rFonts w:ascii="Times New Roman" w:cs="Times New Roman" w:eastAsia="SimSun" w:hAnsi="Times New Roman"/>
          <w:sz w:val="22"/>
          <w:szCs w:val="22"/>
        </w:rPr>
        <w:t xml:space="preserve">N. K. Ratha, J. H. Connell, and R. M. Bolle, “Enhancing security and privacy in biometrics-based authentication systems,” IBM Systems Journal, vol. 40, no. 3, pp. 614–634, 2001.</w:t>
      </w:r>
    </w:p>
    <w:p>
      <w:pPr>
        <w:spacing w:after="80"/>
        <w:ind w:left="420" w:hanging="420"/>
      </w:pPr>
      <w:r>
        <w:rPr>
          <w:rFonts w:ascii="Times New Roman" w:cs="Times New Roman" w:eastAsia="SimSun" w:hAnsi="Times New Roman"/>
          <w:b/>
          <w:bCs/>
          <w:sz w:val="22"/>
          <w:szCs w:val="22"/>
        </w:rPr>
        <w:t xml:space="preserve">[2]</w:t>
      </w:r>
      <w:r>
        <w:rPr>
          <w:rFonts w:ascii="Times New Roman" w:cs="Times New Roman" w:eastAsia="SimSun" w:hAnsi="Times New Roman"/>
          <w:sz w:val="22"/>
          <w:szCs w:val="22"/>
        </w:rPr>
        <w:t xml:space="preserve">K. Nandakumar and A. K. Jain, “Biometric template protection: Bridging the performance gap between theory and practice,” IEEE Signal Processing Magazine, 2015, doi: 10.1109/MSP.2015.2427849. [Volume, number, and pages to be completed.]</w:t>
      </w:r>
    </w:p>
    <w:p>
      <w:pPr>
        <w:spacing w:after="80"/>
        <w:ind w:left="420" w:hanging="420"/>
      </w:pPr>
      <w:r>
        <w:rPr>
          <w:rFonts w:ascii="Times New Roman" w:cs="Times New Roman" w:eastAsia="SimSun" w:hAnsi="Times New Roman"/>
          <w:b/>
          <w:bCs/>
          <w:sz w:val="22"/>
          <w:szCs w:val="22"/>
        </w:rPr>
        <w:t xml:space="preserve">[3]</w:t>
      </w:r>
      <w:r>
        <w:rPr>
          <w:rFonts w:ascii="Times New Roman" w:cs="Times New Roman" w:eastAsia="SimSun" w:hAnsi="Times New Roman"/>
          <w:sz w:val="22"/>
          <w:szCs w:val="22"/>
        </w:rPr>
        <w:t xml:space="preserve">ISO/IEC 30136:2018, Information technology — Performance testing of biometric template protection schemes, International Organization for Standardization / International Electrotechnical Commission, 2018.</w:t>
      </w:r>
    </w:p>
    <w:p>
      <w:pPr>
        <w:spacing w:after="80"/>
        <w:ind w:left="420" w:hanging="420"/>
      </w:pPr>
      <w:r>
        <w:rPr>
          <w:rFonts w:ascii="Times New Roman" w:cs="Times New Roman" w:eastAsia="SimSun" w:hAnsi="Times New Roman"/>
          <w:b/>
          <w:bCs/>
          <w:sz w:val="22"/>
          <w:szCs w:val="22"/>
        </w:rPr>
        <w:t xml:space="preserve">[4]</w:t>
      </w:r>
      <w:r>
        <w:rPr>
          <w:rFonts w:ascii="Times New Roman" w:cs="Times New Roman" w:eastAsia="SimSun" w:hAnsi="Times New Roman"/>
          <w:sz w:val="22"/>
          <w:szCs w:val="22"/>
        </w:rPr>
        <w:t xml:space="preserve">N. K. Ratha, S. Chikkerur, J. H. Connell, and R. M. Bolle, “Generating cancelable fingerprint templates,” IEEE Transactions on Pattern Analysis and Machine Intelligence, vol. 29, no. 4, pp. 561–572, 2007.</w:t>
      </w:r>
    </w:p>
    <w:p>
      <w:pPr>
        <w:spacing w:after="80"/>
        <w:ind w:left="420" w:hanging="420"/>
      </w:pPr>
      <w:r>
        <w:rPr>
          <w:rFonts w:ascii="Times New Roman" w:cs="Times New Roman" w:eastAsia="SimSun" w:hAnsi="Times New Roman"/>
          <w:b/>
          <w:bCs/>
          <w:sz w:val="22"/>
          <w:szCs w:val="22"/>
        </w:rPr>
        <w:t xml:space="preserve">[5]</w:t>
      </w:r>
      <w:r>
        <w:rPr>
          <w:rFonts w:ascii="Times New Roman" w:cs="Times New Roman" w:eastAsia="SimSun" w:hAnsi="Times New Roman"/>
          <w:sz w:val="22"/>
          <w:szCs w:val="22"/>
        </w:rPr>
        <w:t xml:space="preserve">A. B. J. Teoh, D. C. L. Ngo, and A. Goh, “BioHashing: Two factor authentication featuring fingerprint data and tokenised random number,” Pattern Recognition, vol. 37, no. 11, pp. 2245–2255, 2004, doi: 10.1016/j.patcog.2004.04.011.</w:t>
      </w:r>
    </w:p>
    <w:p>
      <w:pPr>
        <w:spacing w:after="80"/>
        <w:ind w:left="420" w:hanging="420"/>
      </w:pPr>
      <w:r>
        <w:rPr>
          <w:rFonts w:ascii="Times New Roman" w:cs="Times New Roman" w:eastAsia="SimSun" w:hAnsi="Times New Roman"/>
          <w:b/>
          <w:bCs/>
          <w:sz w:val="22"/>
          <w:szCs w:val="22"/>
        </w:rPr>
        <w:t xml:space="preserve">[6]</w:t>
      </w:r>
      <w:r>
        <w:rPr>
          <w:rFonts w:ascii="Times New Roman" w:cs="Times New Roman" w:eastAsia="SimSun" w:hAnsi="Times New Roman"/>
          <w:sz w:val="22"/>
          <w:szCs w:val="22"/>
        </w:rPr>
        <w:t xml:space="preserve">A. Kong et al., “An analysis of BioHashing and its variants,” Pattern Recognition, 2006, doi: 10.1016/j.patcog.2005.10.025. [Full author list, volume, and pages to be completed.]</w:t>
      </w:r>
    </w:p>
    <w:p>
      <w:pPr>
        <w:spacing w:after="80"/>
        <w:ind w:left="420" w:hanging="420"/>
      </w:pPr>
      <w:r>
        <w:rPr>
          <w:rFonts w:ascii="Times New Roman" w:cs="Times New Roman" w:eastAsia="SimSun" w:hAnsi="Times New Roman"/>
          <w:b/>
          <w:bCs/>
          <w:sz w:val="22"/>
          <w:szCs w:val="22"/>
        </w:rPr>
        <w:t xml:space="preserve">[7]</w:t>
      </w:r>
      <w:r>
        <w:rPr>
          <w:rFonts w:ascii="Times New Roman" w:cs="Times New Roman" w:eastAsia="SimSun" w:hAnsi="Times New Roman"/>
          <w:sz w:val="22"/>
          <w:szCs w:val="22"/>
        </w:rPr>
        <w:t xml:space="preserve">A. Lumini and L. Nanni, “An improved BioHashing for human authentication,” Pattern Recognition, vol. 40, pp. 1057–1065, 2007, doi: 10.1016/j.patcog.2006.05.030.</w:t>
      </w:r>
    </w:p>
    <w:p>
      <w:pPr>
        <w:spacing w:after="80"/>
        <w:ind w:left="420" w:hanging="420"/>
      </w:pPr>
      <w:r>
        <w:rPr>
          <w:rFonts w:ascii="Times New Roman" w:cs="Times New Roman" w:eastAsia="SimSun" w:hAnsi="Times New Roman"/>
          <w:b/>
          <w:bCs/>
          <w:sz w:val="22"/>
          <w:szCs w:val="22"/>
        </w:rPr>
        <w:t xml:space="preserve">[8]</w:t>
      </w:r>
      <w:r>
        <w:rPr>
          <w:rFonts w:ascii="Times New Roman" w:cs="Times New Roman" w:eastAsia="SimSun" w:hAnsi="Times New Roman"/>
          <w:sz w:val="22"/>
          <w:szCs w:val="22"/>
        </w:rPr>
        <w:t xml:space="preserve">A. B. J. Teoh, Y. W. Kuan, and S. Lee, “Cancellable biometrics and annotations on BioHash,” Pattern Recognition, vol. 41, no. 6, pp. 2034–2044, 2008, doi: 10.1016/j.patcog.2007.12.002.</w:t>
      </w:r>
    </w:p>
    <w:p>
      <w:pPr>
        <w:spacing w:after="80"/>
        <w:ind w:left="420" w:hanging="420"/>
      </w:pPr>
      <w:r>
        <w:rPr>
          <w:rFonts w:ascii="Times New Roman" w:cs="Times New Roman" w:eastAsia="SimSun" w:hAnsi="Times New Roman"/>
          <w:b/>
          <w:bCs/>
          <w:sz w:val="22"/>
          <w:szCs w:val="22"/>
        </w:rPr>
        <w:t xml:space="preserve">[9]</w:t>
      </w:r>
      <w:r>
        <w:rPr>
          <w:rFonts w:ascii="Times New Roman" w:cs="Times New Roman" w:eastAsia="SimSun" w:hAnsi="Times New Roman"/>
          <w:sz w:val="22"/>
          <w:szCs w:val="22"/>
        </w:rPr>
        <w:t xml:space="preserve">L. Nanni and A. Lumini, “Empirical tests on BioHashing,” Neurocomputing, vol. 69, pp. 2390–2395, 2006, doi: 10.1016/j.neucom.2006.05.001.</w:t>
      </w:r>
    </w:p>
    <w:p>
      <w:pPr>
        <w:spacing w:after="80"/>
        <w:ind w:left="420" w:hanging="420"/>
      </w:pPr>
      <w:r>
        <w:rPr>
          <w:rFonts w:ascii="Times New Roman" w:cs="Times New Roman" w:eastAsia="SimSun" w:hAnsi="Times New Roman"/>
          <w:b/>
          <w:bCs/>
          <w:sz w:val="22"/>
          <w:szCs w:val="22"/>
        </w:rPr>
        <w:t xml:space="preserve">[15]</w:t>
      </w:r>
      <w:r>
        <w:rPr>
          <w:rFonts w:ascii="Times New Roman" w:cs="Times New Roman" w:eastAsia="SimSun" w:hAnsi="Times New Roman"/>
          <w:sz w:val="22"/>
          <w:szCs w:val="22"/>
        </w:rPr>
        <w:t xml:space="preserve">M. Gomez-Barrero and J. Galbally, “Reversing the irreversible: A survey on inverse biometrics,” Computers &amp; Security, vol. 90, Art. no. 101700, 2020.</w:t>
      </w:r>
    </w:p>
    <w:p>
      <w:pPr>
        <w:spacing w:after="80"/>
        <w:ind w:left="420" w:hanging="420"/>
      </w:pPr>
      <w:r>
        <w:rPr>
          <w:rFonts w:ascii="Times New Roman" w:cs="Times New Roman" w:eastAsia="SimSun" w:hAnsi="Times New Roman"/>
          <w:b/>
          <w:bCs/>
          <w:sz w:val="22"/>
          <w:szCs w:val="22"/>
        </w:rPr>
        <w:t xml:space="preserve">[14]</w:t>
      </w:r>
      <w:r>
        <w:rPr>
          <w:rFonts w:ascii="Times New Roman" w:cs="Times New Roman" w:eastAsia="SimSun" w:hAnsi="Times New Roman"/>
          <w:sz w:val="22"/>
          <w:szCs w:val="22"/>
        </w:rPr>
        <w:t xml:space="preserve">G. Mai, K. Cao, P. C. Yuen, and A. K. Jain, “On the reconstruction of face images from deep face templates,” IEEE Transactions on Pattern Analysis and Machine Intelligence, doi: 10.1109/TPAMI.2018.2827389. [Volume, issue, and year to be completed on IEEE Xplore.]</w:t>
      </w:r>
    </w:p>
    <w:p>
      <w:pPr>
        <w:spacing w:after="80"/>
        <w:ind w:left="420" w:hanging="420"/>
      </w:pPr>
      <w:r>
        <w:rPr>
          <w:rFonts w:ascii="Times New Roman" w:cs="Times New Roman" w:eastAsia="SimSun" w:hAnsi="Times New Roman"/>
          <w:b/>
          <w:bCs/>
          <w:sz w:val="22"/>
          <w:szCs w:val="22"/>
        </w:rPr>
        <w:t xml:space="preserve">[10]</w:t>
      </w:r>
      <w:r>
        <w:rPr>
          <w:rFonts w:ascii="Times New Roman" w:cs="Times New Roman" w:eastAsia="SimSun" w:hAnsi="Times New Roman"/>
          <w:sz w:val="22"/>
          <w:szCs w:val="22"/>
        </w:rPr>
        <w:t xml:space="preserve">P. Lacharme, E. Cherrier, and C. Rosenberger, “Preimage attack on BioHashing,” in Proc. SECRYPT, 2013. [Venue details to be completed; HAL record hal-01015274.]</w:t>
      </w:r>
    </w:p>
    <w:p>
      <w:pPr>
        <w:spacing w:after="80"/>
        <w:ind w:left="420" w:hanging="420"/>
      </w:pPr>
      <w:r>
        <w:rPr>
          <w:rFonts w:ascii="Times New Roman" w:cs="Times New Roman" w:eastAsia="SimSun" w:hAnsi="Times New Roman"/>
          <w:b/>
          <w:bCs/>
          <w:sz w:val="22"/>
          <w:szCs w:val="22"/>
        </w:rPr>
        <w:t xml:space="preserve">[11]</w:t>
      </w:r>
      <w:r>
        <w:rPr>
          <w:rFonts w:ascii="Times New Roman" w:cs="Times New Roman" w:eastAsia="SimSun" w:hAnsi="Times New Roman"/>
          <w:sz w:val="22"/>
          <w:szCs w:val="22"/>
        </w:rPr>
        <w:t xml:space="preserve">N. Poh and S. Bengio, “Can chimeric persons be used in multimodal biometric authentication experiments?,” in Machine Learning for Multimodal Interaction (MLMI), LNCS 3869, pp. 87–100, 2005.</w:t>
      </w:r>
    </w:p>
    <w:p>
      <w:pPr>
        <w:spacing w:after="80"/>
        <w:ind w:left="420" w:hanging="420"/>
      </w:pPr>
      <w:r>
        <w:rPr>
          <w:rFonts w:ascii="Times New Roman" w:cs="Times New Roman" w:eastAsia="SimSun" w:hAnsi="Times New Roman"/>
          <w:b/>
          <w:bCs/>
          <w:sz w:val="22"/>
          <w:szCs w:val="22"/>
        </w:rPr>
        <w:t xml:space="preserve">[12]</w:t>
      </w:r>
      <w:r>
        <w:rPr>
          <w:rFonts w:ascii="Times New Roman" w:cs="Times New Roman" w:eastAsia="SimSun" w:hAnsi="Times New Roman"/>
          <w:sz w:val="22"/>
          <w:szCs w:val="22"/>
        </w:rPr>
        <w:t xml:space="preserve">M. Gomez-Barrero, J. Galbally, C. Rathgeb, and C. Busch, “General framework to evaluate unlinkability in biometric template protection systems,” IEEE Transactions on Information Forensics and Security, vol. 13, pp. 1406–1420, 2018, doi: 10.1109/TIFS.2017.2788000.</w:t>
      </w:r>
    </w:p>
    <w:p>
      <w:pPr>
        <w:spacing w:after="80"/>
        <w:ind w:left="420" w:hanging="420"/>
      </w:pPr>
      <w:r>
        <w:rPr>
          <w:rFonts w:ascii="Times New Roman" w:cs="Times New Roman" w:eastAsia="SimSun" w:hAnsi="Times New Roman"/>
          <w:b/>
          <w:bCs/>
          <w:sz w:val="22"/>
          <w:szCs w:val="22"/>
        </w:rPr>
        <w:t xml:space="preserve">[16]</w:t>
      </w:r>
      <w:r>
        <w:rPr>
          <w:rFonts w:ascii="Times New Roman" w:cs="Times New Roman" w:eastAsia="SimSun" w:hAnsi="Times New Roman"/>
          <w:sz w:val="22"/>
          <w:szCs w:val="22"/>
        </w:rPr>
        <w:t xml:space="preserve">A. Nagar, K. Nandakumar, and A. K. Jain, “Multibiometric cryptosystems based on feature-level fusion,” IEEE Transactions on Information Forensics and Security, vol. 7, no. 1, pp. 255–268, 2012.</w:t>
      </w:r>
    </w:p>
    <w:p>
      <w:pPr>
        <w:spacing w:after="80"/>
        <w:ind w:left="420" w:hanging="420"/>
      </w:pPr>
      <w:r>
        <w:rPr>
          <w:rFonts w:ascii="Times New Roman" w:cs="Times New Roman" w:eastAsia="SimSun" w:hAnsi="Times New Roman"/>
          <w:b/>
          <w:bCs/>
          <w:sz w:val="22"/>
          <w:szCs w:val="22"/>
        </w:rPr>
        <w:t xml:space="preserve">[17]</w:t>
      </w:r>
      <w:r>
        <w:rPr>
          <w:rFonts w:ascii="Times New Roman" w:cs="Times New Roman" w:eastAsia="SimSun" w:hAnsi="Times New Roman"/>
          <w:sz w:val="22"/>
          <w:szCs w:val="22"/>
        </w:rPr>
        <w:t xml:space="preserve">A. Adler, “Vulnerabilities in biometric encryption systems,” in Proc. Audio- and Video-Based Biometric Person Authentication (AVBPA), 2005. [LNCS volume and pages to be completed.]</w:t>
      </w:r>
    </w:p>
    <w:p>
      <w:pPr>
        <w:spacing w:after="80"/>
        <w:ind w:left="420" w:hanging="420"/>
      </w:pPr>
      <w:r>
        <w:rPr>
          <w:rFonts w:ascii="Times New Roman" w:cs="Times New Roman" w:eastAsia="SimSun" w:hAnsi="Times New Roman"/>
          <w:b/>
          <w:bCs/>
          <w:sz w:val="22"/>
          <w:szCs w:val="22"/>
        </w:rPr>
        <w:t xml:space="preserve">[18]</w:t>
      </w:r>
      <w:r>
        <w:rPr>
          <w:rFonts w:ascii="Times New Roman" w:cs="Times New Roman" w:eastAsia="SimSun" w:hAnsi="Times New Roman"/>
          <w:sz w:val="22"/>
          <w:szCs w:val="22"/>
        </w:rPr>
        <w:t xml:space="preserve">J. Galbally, C. McCool, J. Fierrez, S. Marcel, and J. Ortega-Garcia, “On the vulnerability of face verification systems to hill-climbing attacks,” Pattern Recognition. [Volume and year to be completed; institutional listing gives 2009.]</w:t>
      </w:r>
    </w:p>
    <w:p>
      <w:pPr>
        <w:spacing w:after="80"/>
        <w:ind w:left="420" w:hanging="420"/>
      </w:pPr>
      <w:r>
        <w:rPr>
          <w:rFonts w:ascii="Times New Roman" w:cs="Times New Roman" w:eastAsia="SimSun" w:hAnsi="Times New Roman"/>
          <w:b/>
          <w:bCs/>
          <w:sz w:val="22"/>
          <w:szCs w:val="22"/>
        </w:rPr>
        <w:t xml:space="preserve">[13]</w:t>
      </w:r>
      <w:r>
        <w:rPr>
          <w:rFonts w:ascii="Times New Roman" w:cs="Times New Roman" w:eastAsia="SimSun" w:hAnsi="Times New Roman"/>
          <w:sz w:val="22"/>
          <w:szCs w:val="22"/>
        </w:rPr>
        <w:t xml:space="preserve">Q. Cao, L. Shen, W. Xie, O. M. Parkhi, and A. Zisserman, “VGGFace2: A dataset for recognising faces across pose and age,” in Proc. 13th IEEE International Conference on Automatic Face and Gesture Recognition (FG), 2018; arXiv:1710.08092.</w:t>
      </w:r>
    </w:p>
    <w:p>
      <w:pPr>
        <w:spacing w:after="80"/>
        <w:ind w:left="420" w:hanging="420"/>
      </w:pPr>
      <w:r>
        <w:rPr>
          <w:rFonts w:ascii="Times New Roman" w:cs="Times New Roman" w:eastAsia="SimSun" w:hAnsi="Times New Roman"/>
          <w:b/>
          <w:bCs/>
          <w:sz w:val="22"/>
          <w:szCs w:val="22"/>
        </w:rPr>
        <w:t xml:space="preserve">[19]</w:t>
      </w:r>
      <w:r>
        <w:rPr>
          <w:rFonts w:ascii="Times New Roman" w:cs="Times New Roman" w:eastAsia="SimSun" w:hAnsi="Times New Roman"/>
          <w:sz w:val="22"/>
          <w:szCs w:val="22"/>
        </w:rPr>
        <w:t xml:space="preserve">A. Bansal, A. Nanduri, C. D. Castillo, R. Ranjan, and R. Chellappa, “UMDFaces: An annotated face dataset for training deep networks,” arXiv:1611.01484, 2016. [Final venue to be completed; believed IJCB 2017.]</w:t>
      </w:r>
    </w:p>
    <w:p>
      <w:pPr>
        <w:spacing w:after="80"/>
        <w:ind w:left="420" w:hanging="420"/>
      </w:pPr>
      <w:r>
        <w:rPr>
          <w:rFonts w:ascii="Times New Roman" w:cs="Times New Roman" w:eastAsia="SimSun" w:hAnsi="Times New Roman"/>
          <w:b/>
          <w:bCs/>
          <w:sz w:val="22"/>
          <w:szCs w:val="22"/>
        </w:rPr>
        <w:t xml:space="preserve">[20]</w:t>
      </w:r>
      <w:r>
        <w:rPr>
          <w:rFonts w:ascii="Times New Roman" w:cs="Times New Roman" w:eastAsia="SimSun" w:hAnsi="Times New Roman"/>
          <w:sz w:val="22"/>
          <w:szCs w:val="22"/>
        </w:rPr>
        <w:t xml:space="preserve">D. Maio, D. Maltoni, R. Cappelli, J. L. Wayman, and A. K. Jain, “FVC2004: Third Fingerprint Verification Competition,” in Proc. International Conference on Biometric Authentication (ICBA), LNCS 3072, 2004.</w:t>
      </w:r>
    </w:p>
    <w:p>
      <w:pPr>
        <w:pStyle w:val="Heading1"/>
        <w:spacing w:after="160" w:before="320"/>
      </w:pPr>
      <w:r>
        <w:rPr>
          <w:rFonts w:ascii="Times New Roman" w:cs="Times New Roman" w:eastAsia="SimSun" w:hAnsi="Times New Roman"/>
          <w:b/>
          <w:bCs/>
          <w:color w:val="263238"/>
          <w:sz w:val="28"/>
          <w:szCs w:val="28"/>
        </w:rPr>
        <w:t xml:space="preserve">References Pending Verification</w:t>
      </w:r>
    </w:p>
    <w:p>
      <w:pPr>
        <w:spacing w:after="120" w:line="276"/>
        <w:jc w:val="both"/>
      </w:pPr>
      <w:r>
        <w:rPr>
          <w:rFonts w:ascii="Times New Roman" w:cs="Times New Roman" w:eastAsia="SimSun" w:hAnsi="Times New Roman"/>
          <w:sz w:val="22"/>
          <w:szCs w:val="22"/>
        </w:rPr>
        <w:t xml:space="preserve">The following candidate references support statements in the text (markers [V1]–[V32]) but their bibliographic details have not been verified against a publisher listing. Each must be confirmed — authors, year, venue, volume, pages, DOI — or the associated statement must be removed or reworded before submission. Details as currently believed, plus exactly what to check, are in VERIFY_LIST.md.</w:t>
      </w:r>
    </w:p>
    <w:p>
      <w:pPr>
        <w:spacing w:after="60"/>
        <w:ind w:left="420" w:hanging="420"/>
      </w:pPr>
      <w:r>
        <w:rPr>
          <w:rFonts w:ascii="Times New Roman" w:cs="Times New Roman" w:eastAsia="SimSun" w:hAnsi="Times New Roman"/>
          <w:b/>
          <w:bCs/>
          <w:sz w:val="22"/>
          <w:szCs w:val="22"/>
        </w:rPr>
        <w:t>[V1]</w:t>
        <w:tab/>
      </w:r>
      <w:r>
        <w:rPr>
          <w:rFonts w:ascii="Times New Roman" w:cs="Times New Roman" w:eastAsia="SimSun" w:hAnsi="Times New Roman"/>
          <w:sz w:val="22"/>
          <w:szCs w:val="22"/>
        </w:rPr>
        <w:t xml:space="preserve">ISO/IEC 24745, Information security — Biometric information protection. Source of the irreversibility / unlinkability / renewability requirement terms. Check edition year.</w:t>
      </w:r>
    </w:p>
    <w:p>
      <w:pPr>
        <w:spacing w:after="60"/>
        <w:ind w:left="420" w:hanging="420"/>
      </w:pPr>
      <w:r>
        <w:rPr>
          <w:rFonts w:ascii="Times New Roman" w:cs="Times New Roman" w:eastAsia="SimSun" w:hAnsi="Times New Roman"/>
          <w:b/>
          <w:bCs/>
          <w:sz w:val="22"/>
          <w:szCs w:val="22"/>
        </w:rPr>
        <w:t>[V2]</w:t>
        <w:tab/>
      </w:r>
      <w:r>
        <w:rPr>
          <w:rFonts w:ascii="Times New Roman" w:cs="Times New Roman" w:eastAsia="SimSun" w:hAnsi="Times New Roman"/>
          <w:sz w:val="22"/>
          <w:szCs w:val="22"/>
        </w:rPr>
        <w:t xml:space="preserve">A. Ross and A. K. Jain, “Information fusion in biometrics,” Pattern Recognition Letters, vol. 24, no. 13, 2003. (An earlier draft said 2004 — confirm.)</w:t>
      </w:r>
    </w:p>
    <w:p>
      <w:pPr>
        <w:spacing w:after="60"/>
        <w:ind w:left="420" w:hanging="420"/>
      </w:pPr>
      <w:r>
        <w:rPr>
          <w:rFonts w:ascii="Times New Roman" w:cs="Times New Roman" w:eastAsia="SimSun" w:hAnsi="Times New Roman"/>
          <w:b/>
          <w:bCs/>
          <w:sz w:val="22"/>
          <w:szCs w:val="22"/>
        </w:rPr>
        <w:t>[V3]</w:t>
        <w:tab/>
      </w:r>
      <w:r>
        <w:rPr>
          <w:rFonts w:ascii="Times New Roman" w:cs="Times New Roman" w:eastAsia="SimSun" w:hAnsi="Times New Roman"/>
          <w:sz w:val="22"/>
          <w:szCs w:val="22"/>
        </w:rPr>
        <w:t xml:space="preserve">M. S. Charikar, “Similarity estimation techniques from rounding algorithms,” Proc. STOC, 2002. Hyperplane hashing; Pr = θ/π.</w:t>
      </w:r>
    </w:p>
    <w:p>
      <w:pPr>
        <w:spacing w:after="60"/>
        <w:ind w:left="420" w:hanging="420"/>
      </w:pPr>
      <w:r>
        <w:rPr>
          <w:rFonts w:ascii="Times New Roman" w:cs="Times New Roman" w:eastAsia="SimSun" w:hAnsi="Times New Roman"/>
          <w:b/>
          <w:bCs/>
          <w:sz w:val="22"/>
          <w:szCs w:val="22"/>
        </w:rPr>
        <w:t>[V4]</w:t>
        <w:tab/>
      </w:r>
      <w:r>
        <w:rPr>
          <w:rFonts w:ascii="Times New Roman" w:cs="Times New Roman" w:eastAsia="SimSun" w:hAnsi="Times New Roman"/>
          <w:sz w:val="22"/>
          <w:szCs w:val="22"/>
        </w:rPr>
        <w:t xml:space="preserve">M. X. Goemans and D. P. Williamson, “Improved approximation algorithms for maximum cut…,” Journal of the ACM, 1995. The arccos/π identity.</w:t>
      </w:r>
    </w:p>
    <w:p>
      <w:pPr>
        <w:spacing w:after="60"/>
        <w:ind w:left="420" w:hanging="420"/>
      </w:pPr>
      <w:r>
        <w:rPr>
          <w:rFonts w:ascii="Times New Roman" w:cs="Times New Roman" w:eastAsia="SimSun" w:hAnsi="Times New Roman"/>
          <w:b/>
          <w:bCs/>
          <w:sz w:val="22"/>
          <w:szCs w:val="22"/>
        </w:rPr>
        <w:t>[V5]</w:t>
        <w:tab/>
      </w:r>
      <w:r>
        <w:rPr>
          <w:rFonts w:ascii="Times New Roman" w:cs="Times New Roman" w:eastAsia="SimSun" w:hAnsi="Times New Roman"/>
          <w:sz w:val="22"/>
          <w:szCs w:val="22"/>
        </w:rPr>
        <w:t xml:space="preserve">P. Indyk and R. Motwani, “Approximate nearest neighbors: Towards removing the curse of dimensionality,” Proc. STOC, 1998.</w:t>
      </w:r>
    </w:p>
    <w:p>
      <w:pPr>
        <w:spacing w:after="60"/>
        <w:ind w:left="420" w:hanging="420"/>
      </w:pPr>
      <w:r>
        <w:rPr>
          <w:rFonts w:ascii="Times New Roman" w:cs="Times New Roman" w:eastAsia="SimSun" w:hAnsi="Times New Roman"/>
          <w:b/>
          <w:bCs/>
          <w:sz w:val="22"/>
          <w:szCs w:val="22"/>
        </w:rPr>
        <w:t>[V6]</w:t>
        <w:tab/>
      </w:r>
      <w:r>
        <w:rPr>
          <w:rFonts w:ascii="Times New Roman" w:cs="Times New Roman" w:eastAsia="SimSun" w:hAnsi="Times New Roman"/>
          <w:sz w:val="22"/>
          <w:szCs w:val="22"/>
        </w:rPr>
        <w:t xml:space="preserve">W. B. Johnson and J. Lindenstrauss, “Extensions of Lipschitz mappings into a Hilbert space,” 1984.</w:t>
      </w:r>
    </w:p>
    <w:p>
      <w:pPr>
        <w:spacing w:after="60"/>
        <w:ind w:left="420" w:hanging="420"/>
      </w:pPr>
      <w:r>
        <w:rPr>
          <w:rFonts w:ascii="Times New Roman" w:cs="Times New Roman" w:eastAsia="SimSun" w:hAnsi="Times New Roman"/>
          <w:b/>
          <w:bCs/>
          <w:sz w:val="22"/>
          <w:szCs w:val="22"/>
        </w:rPr>
        <w:t>[V7]</w:t>
        <w:tab/>
      </w:r>
      <w:r>
        <w:rPr>
          <w:rFonts w:ascii="Times New Roman" w:cs="Times New Roman" w:eastAsia="SimSun" w:hAnsi="Times New Roman"/>
          <w:sz w:val="22"/>
          <w:szCs w:val="22"/>
        </w:rPr>
        <w:t xml:space="preserve">V. M. Patel, N. K. Ratha, and R. Chellappa, “Cancelable biometrics: A review,” IEEE Signal Processing Magazine, Sept. 2015.</w:t>
      </w:r>
    </w:p>
    <w:p>
      <w:pPr>
        <w:spacing w:after="60"/>
        <w:ind w:left="420" w:hanging="420"/>
      </w:pPr>
      <w:r>
        <w:rPr>
          <w:rFonts w:ascii="Times New Roman" w:cs="Times New Roman" w:eastAsia="SimSun" w:hAnsi="Times New Roman"/>
          <w:b/>
          <w:bCs/>
          <w:sz w:val="22"/>
          <w:szCs w:val="22"/>
        </w:rPr>
        <w:t>[V8]</w:t>
        <w:tab/>
      </w:r>
      <w:r>
        <w:rPr>
          <w:rFonts w:ascii="Times New Roman" w:cs="Times New Roman" w:eastAsia="SimSun" w:hAnsi="Times New Roman"/>
          <w:sz w:val="22"/>
          <w:szCs w:val="22"/>
        </w:rPr>
        <w:t xml:space="preserve">C. Rathgeb and A. Uhl, “A survey on biometric cryptosystems and cancelable biometrics,” EURASIP Journal on Information Security, 2011.</w:t>
      </w:r>
    </w:p>
    <w:p>
      <w:pPr>
        <w:spacing w:after="60"/>
        <w:ind w:left="420" w:hanging="420"/>
      </w:pPr>
      <w:r>
        <w:rPr>
          <w:rFonts w:ascii="Times New Roman" w:cs="Times New Roman" w:eastAsia="SimSun" w:hAnsi="Times New Roman"/>
          <w:b/>
          <w:bCs/>
          <w:sz w:val="22"/>
          <w:szCs w:val="22"/>
        </w:rPr>
        <w:t>[V9]</w:t>
        <w:tab/>
      </w:r>
      <w:r>
        <w:rPr>
          <w:rFonts w:ascii="Times New Roman" w:cs="Times New Roman" w:eastAsia="SimSun" w:hAnsi="Times New Roman"/>
          <w:sz w:val="22"/>
          <w:szCs w:val="22"/>
        </w:rPr>
        <w:t xml:space="preserve">A. K. Jain, K. Nandakumar, and A. Nagar, “Biometric template security,” EURASIP Journal on Advances in Signal Processing, 2008.</w:t>
      </w:r>
    </w:p>
    <w:p>
      <w:pPr>
        <w:spacing w:after="60"/>
        <w:ind w:left="420" w:hanging="420"/>
      </w:pPr>
      <w:r>
        <w:rPr>
          <w:rFonts w:ascii="Times New Roman" w:cs="Times New Roman" w:eastAsia="SimSun" w:hAnsi="Times New Roman"/>
          <w:b/>
          <w:bCs/>
          <w:sz w:val="22"/>
          <w:szCs w:val="22"/>
        </w:rPr>
        <w:t>[V10]</w:t>
        <w:tab/>
      </w:r>
      <w:r>
        <w:rPr>
          <w:rFonts w:ascii="Times New Roman" w:cs="Times New Roman" w:eastAsia="SimSun" w:hAnsi="Times New Roman"/>
          <w:sz w:val="22"/>
          <w:szCs w:val="22"/>
        </w:rPr>
        <w:t xml:space="preserve">A. Juels and M. Wattenberg, “A fuzzy commitment scheme,” Proc. ACM CCS, 1999.</w:t>
      </w:r>
    </w:p>
    <w:p>
      <w:pPr>
        <w:spacing w:after="60"/>
        <w:ind w:left="420" w:hanging="420"/>
      </w:pPr>
      <w:r>
        <w:rPr>
          <w:rFonts w:ascii="Times New Roman" w:cs="Times New Roman" w:eastAsia="SimSun" w:hAnsi="Times New Roman"/>
          <w:b/>
          <w:bCs/>
          <w:sz w:val="22"/>
          <w:szCs w:val="22"/>
        </w:rPr>
        <w:t>[V11]</w:t>
        <w:tab/>
      </w:r>
      <w:r>
        <w:rPr>
          <w:rFonts w:ascii="Times New Roman" w:cs="Times New Roman" w:eastAsia="SimSun" w:hAnsi="Times New Roman"/>
          <w:sz w:val="22"/>
          <w:szCs w:val="22"/>
        </w:rPr>
        <w:t xml:space="preserve">A. Juels and M. Sudan, “A fuzzy vault scheme,” 2006.</w:t>
      </w:r>
    </w:p>
    <w:p>
      <w:pPr>
        <w:spacing w:after="60"/>
        <w:ind w:left="420" w:hanging="420"/>
      </w:pPr>
      <w:r>
        <w:rPr>
          <w:rFonts w:ascii="Times New Roman" w:cs="Times New Roman" w:eastAsia="SimSun" w:hAnsi="Times New Roman"/>
          <w:b/>
          <w:bCs/>
          <w:sz w:val="22"/>
          <w:szCs w:val="22"/>
        </w:rPr>
        <w:t>[V12]</w:t>
        <w:tab/>
      </w:r>
      <w:r>
        <w:rPr>
          <w:rFonts w:ascii="Times New Roman" w:cs="Times New Roman" w:eastAsia="SimSun" w:hAnsi="Times New Roman"/>
          <w:sz w:val="22"/>
          <w:szCs w:val="22"/>
        </w:rPr>
        <w:t xml:space="preserve">Y. Dodis, R. Ostrovsky, L. Reyzin, and A. Smith, “Fuzzy extractors,” SIAM Journal on Computing, 2008.</w:t>
      </w:r>
    </w:p>
    <w:p>
      <w:pPr>
        <w:spacing w:after="60"/>
        <w:ind w:left="420" w:hanging="420"/>
      </w:pPr>
      <w:r>
        <w:rPr>
          <w:rFonts w:ascii="Times New Roman" w:cs="Times New Roman" w:eastAsia="SimSun" w:hAnsi="Times New Roman"/>
          <w:b/>
          <w:bCs/>
          <w:sz w:val="22"/>
          <w:szCs w:val="22"/>
        </w:rPr>
        <w:t>[V13]</w:t>
        <w:tab/>
      </w:r>
      <w:r>
        <w:rPr>
          <w:rFonts w:ascii="Times New Roman" w:cs="Times New Roman" w:eastAsia="SimSun" w:hAnsi="Times New Roman"/>
          <w:sz w:val="22"/>
          <w:szCs w:val="22"/>
        </w:rPr>
        <w:t xml:space="preserve">C. Percival, “Stronger key derivation via sequential memory-hard functions” (scrypt), 2009; also RFC 7914.</w:t>
      </w:r>
    </w:p>
    <w:p>
      <w:pPr>
        <w:spacing w:after="60"/>
        <w:ind w:left="420" w:hanging="420"/>
      </w:pPr>
      <w:r>
        <w:rPr>
          <w:rFonts w:ascii="Times New Roman" w:cs="Times New Roman" w:eastAsia="SimSun" w:hAnsi="Times New Roman"/>
          <w:b/>
          <w:bCs/>
          <w:sz w:val="22"/>
          <w:szCs w:val="22"/>
        </w:rPr>
        <w:t>[V14]</w:t>
        <w:tab/>
      </w:r>
      <w:r>
        <w:rPr>
          <w:rFonts w:ascii="Times New Roman" w:cs="Times New Roman" w:eastAsia="SimSun" w:hAnsi="Times New Roman"/>
          <w:sz w:val="22"/>
          <w:szCs w:val="22"/>
        </w:rPr>
        <w:t xml:space="preserve">H. Krawczyk, M. Bellare, and R. Canetti, “HMAC,” RFC 2104.</w:t>
      </w:r>
    </w:p>
    <w:p>
      <w:pPr>
        <w:spacing w:after="60"/>
        <w:ind w:left="420" w:hanging="420"/>
      </w:pPr>
      <w:r>
        <w:rPr>
          <w:rFonts w:ascii="Times New Roman" w:cs="Times New Roman" w:eastAsia="SimSun" w:hAnsi="Times New Roman"/>
          <w:b/>
          <w:bCs/>
          <w:sz w:val="22"/>
          <w:szCs w:val="22"/>
        </w:rPr>
        <w:t>[V15]</w:t>
        <w:tab/>
      </w:r>
      <w:r>
        <w:rPr>
          <w:rFonts w:ascii="Times New Roman" w:cs="Times New Roman" w:eastAsia="SimSun" w:hAnsi="Times New Roman"/>
          <w:sz w:val="22"/>
          <w:szCs w:val="22"/>
        </w:rPr>
        <w:t xml:space="preserve">R. M. May, “Simple mathematical models with very complicated dynamics,” Nature, 1976. The logistic map.</w:t>
      </w:r>
    </w:p>
    <w:p>
      <w:pPr>
        <w:spacing w:after="60"/>
        <w:ind w:left="420" w:hanging="420"/>
      </w:pPr>
      <w:r>
        <w:rPr>
          <w:rFonts w:ascii="Times New Roman" w:cs="Times New Roman" w:eastAsia="SimSun" w:hAnsi="Times New Roman"/>
          <w:b/>
          <w:bCs/>
          <w:sz w:val="22"/>
          <w:szCs w:val="22"/>
        </w:rPr>
        <w:t>[V16]</w:t>
        <w:tab/>
      </w:r>
      <w:r>
        <w:rPr>
          <w:rFonts w:ascii="Times New Roman" w:cs="Times New Roman" w:eastAsia="SimSun" w:hAnsi="Times New Roman"/>
          <w:sz w:val="22"/>
          <w:szCs w:val="22"/>
        </w:rPr>
        <w:t xml:space="preserve">G. Alvarez and S. Li, “Some basic cryptographic requirements for chaos-based cryptosystems,” Int. J. of Bifurcation and Chaos, 2006.</w:t>
      </w:r>
    </w:p>
    <w:p>
      <w:pPr>
        <w:spacing w:after="60"/>
        <w:ind w:left="420" w:hanging="420"/>
      </w:pPr>
      <w:r>
        <w:rPr>
          <w:rFonts w:ascii="Times New Roman" w:cs="Times New Roman" w:eastAsia="SimSun" w:hAnsi="Times New Roman"/>
          <w:b/>
          <w:bCs/>
          <w:sz w:val="22"/>
          <w:szCs w:val="22"/>
        </w:rPr>
        <w:t>[V17]</w:t>
        <w:tab/>
      </w:r>
      <w:r>
        <w:rPr>
          <w:rFonts w:ascii="Times New Roman" w:cs="Times New Roman" w:eastAsia="SimSun" w:hAnsi="Times New Roman"/>
          <w:sz w:val="22"/>
          <w:szCs w:val="22"/>
        </w:rPr>
        <w:t xml:space="preserve">“A genetic algorithm enabled similarity-based attack on cancellable biometrics,” arXiv:1905.03021. Reports longer BioHash codes leak more. Verify authors/venue.</w:t>
      </w:r>
    </w:p>
    <w:p>
      <w:pPr>
        <w:spacing w:after="60"/>
        <w:ind w:left="420" w:hanging="420"/>
      </w:pPr>
      <w:r>
        <w:rPr>
          <w:rFonts w:ascii="Times New Roman" w:cs="Times New Roman" w:eastAsia="SimSun" w:hAnsi="Times New Roman"/>
          <w:b/>
          <w:bCs/>
          <w:sz w:val="22"/>
          <w:szCs w:val="22"/>
        </w:rPr>
        <w:t>[V18]</w:t>
        <w:tab/>
      </w:r>
      <w:r>
        <w:rPr>
          <w:rFonts w:ascii="Times New Roman" w:cs="Times New Roman" w:eastAsia="SimSun" w:hAnsi="Times New Roman"/>
          <w:sz w:val="22"/>
          <w:szCs w:val="22"/>
        </w:rPr>
        <w:t xml:space="preserve">“On the risk of cancelable biometrics,” arXiv:1910.07770. Pre-image attack on BioHashing; same code-length finding. Verify authors/venue.</w:t>
      </w:r>
    </w:p>
    <w:p>
      <w:pPr>
        <w:spacing w:after="60"/>
        <w:ind w:left="420" w:hanging="420"/>
      </w:pPr>
      <w:r>
        <w:rPr>
          <w:rFonts w:ascii="Times New Roman" w:cs="Times New Roman" w:eastAsia="SimSun" w:hAnsi="Times New Roman"/>
          <w:b/>
          <w:bCs/>
          <w:sz w:val="22"/>
          <w:szCs w:val="22"/>
        </w:rPr>
        <w:t>[V19]</w:t>
        <w:tab/>
      </w:r>
      <w:r>
        <w:rPr>
          <w:rFonts w:ascii="Times New Roman" w:cs="Times New Roman" w:eastAsia="SimSun" w:hAnsi="Times New Roman"/>
          <w:sz w:val="22"/>
          <w:szCs w:val="22"/>
        </w:rPr>
        <w:t xml:space="preserve">M. Gomez-Barrero et al., “Multi-biometric template protection based on Bloom filters,” Information Fusion, 2018.</w:t>
      </w:r>
    </w:p>
    <w:p>
      <w:pPr>
        <w:spacing w:after="60"/>
        <w:ind w:left="420" w:hanging="420"/>
      </w:pPr>
      <w:r>
        <w:rPr>
          <w:rFonts w:ascii="Times New Roman" w:cs="Times New Roman" w:eastAsia="SimSun" w:hAnsi="Times New Roman"/>
          <w:b/>
          <w:bCs/>
          <w:sz w:val="22"/>
          <w:szCs w:val="22"/>
        </w:rPr>
        <w:t>[V20]</w:t>
        <w:tab/>
      </w:r>
      <w:r>
        <w:rPr>
          <w:rFonts w:ascii="Times New Roman" w:cs="Times New Roman" w:eastAsia="SimSun" w:hAnsi="Times New Roman"/>
          <w:sz w:val="22"/>
          <w:szCs w:val="22"/>
        </w:rPr>
        <w:t xml:space="preserve">M. Gomez-Barrero et al., Bloom-filter unlinkable template protection, Information Sciences (believed 2016, vol. 370–371). Confirm year and exact title.</w:t>
      </w:r>
    </w:p>
    <w:p>
      <w:pPr>
        <w:spacing w:after="60"/>
        <w:ind w:left="420" w:hanging="420"/>
      </w:pPr>
      <w:r>
        <w:rPr>
          <w:rFonts w:ascii="Times New Roman" w:cs="Times New Roman" w:eastAsia="SimSun" w:hAnsi="Times New Roman"/>
          <w:b/>
          <w:bCs/>
          <w:sz w:val="22"/>
          <w:szCs w:val="22"/>
        </w:rPr>
        <w:t>[V21]</w:t>
        <w:tab/>
      </w:r>
      <w:r>
        <w:rPr>
          <w:rFonts w:ascii="Times New Roman" w:cs="Times New Roman" w:eastAsia="SimSun" w:hAnsi="Times New Roman"/>
          <w:sz w:val="22"/>
          <w:szCs w:val="22"/>
        </w:rPr>
        <w:t xml:space="preserve">zk-SNARK-based cancelable fingerprint biometrics for blockchain identity management, arXiv:2310.19452. Verify authors/venue.</w:t>
      </w:r>
    </w:p>
    <w:p>
      <w:pPr>
        <w:spacing w:after="60"/>
        <w:ind w:left="420" w:hanging="420"/>
      </w:pPr>
      <w:r>
        <w:rPr>
          <w:rFonts w:ascii="Times New Roman" w:cs="Times New Roman" w:eastAsia="SimSun" w:hAnsi="Times New Roman"/>
          <w:b/>
          <w:bCs/>
          <w:sz w:val="22"/>
          <w:szCs w:val="22"/>
        </w:rPr>
        <w:t>[V22]</w:t>
        <w:tab/>
      </w:r>
      <w:r>
        <w:rPr>
          <w:rFonts w:ascii="Times New Roman" w:cs="Times New Roman" w:eastAsia="SimSun" w:hAnsi="Times New Roman"/>
          <w:sz w:val="22"/>
          <w:szCs w:val="22"/>
        </w:rPr>
        <w:t xml:space="preserve">ZKP-based anonymous biometric authentication for e-health (multimodal cancelable biometrics + Pedersen commitments), 2025, PMC12173353. Verify authors/venue.</w:t>
      </w:r>
    </w:p>
    <w:p>
      <w:pPr>
        <w:spacing w:after="60"/>
        <w:ind w:left="420" w:hanging="420"/>
      </w:pPr>
      <w:r>
        <w:rPr>
          <w:rFonts w:ascii="Times New Roman" w:cs="Times New Roman" w:eastAsia="SimSun" w:hAnsi="Times New Roman"/>
          <w:b/>
          <w:bCs/>
          <w:sz w:val="22"/>
          <w:szCs w:val="22"/>
        </w:rPr>
        <w:t>[V23]</w:t>
        <w:tab/>
      </w:r>
      <w:r>
        <w:rPr>
          <w:rFonts w:ascii="Times New Roman" w:cs="Times New Roman" w:eastAsia="SimSun" w:hAnsi="Times New Roman"/>
          <w:sz w:val="22"/>
          <w:szCs w:val="22"/>
        </w:rPr>
        <w:t xml:space="preserve">J. Keuffer, “Verifiable computation and biometric authentication,” PhD thesis, EURECOM; and “A Biometric Self Authentication Scheme,” SciTePress, 2023.</w:t>
      </w:r>
    </w:p>
    <w:p>
      <w:pPr>
        <w:spacing w:after="60"/>
        <w:ind w:left="420" w:hanging="420"/>
      </w:pPr>
      <w:r>
        <w:rPr>
          <w:rFonts w:ascii="Times New Roman" w:cs="Times New Roman" w:eastAsia="SimSun" w:hAnsi="Times New Roman"/>
          <w:b/>
          <w:bCs/>
          <w:sz w:val="22"/>
          <w:szCs w:val="22"/>
        </w:rPr>
        <w:t>[V24]</w:t>
        <w:tab/>
      </w:r>
      <w:r>
        <w:rPr>
          <w:rFonts w:ascii="Times New Roman" w:cs="Times New Roman" w:eastAsia="SimSun" w:hAnsi="Times New Roman"/>
          <w:sz w:val="22"/>
          <w:szCs w:val="22"/>
        </w:rPr>
        <w:t xml:space="preserve">K. He, X. Zhang, S. Ren, and J. Sun, “Deep residual learning for image recognition,” Proc. CVPR, 2016.</w:t>
      </w:r>
    </w:p>
    <w:p>
      <w:pPr>
        <w:spacing w:after="60"/>
        <w:ind w:left="420" w:hanging="420"/>
      </w:pPr>
      <w:r>
        <w:rPr>
          <w:rFonts w:ascii="Times New Roman" w:cs="Times New Roman" w:eastAsia="SimSun" w:hAnsi="Times New Roman"/>
          <w:b/>
          <w:bCs/>
          <w:sz w:val="22"/>
          <w:szCs w:val="22"/>
        </w:rPr>
        <w:t>[V25]</w:t>
        <w:tab/>
      </w:r>
      <w:r>
        <w:rPr>
          <w:rFonts w:ascii="Times New Roman" w:cs="Times New Roman" w:eastAsia="SimSun" w:hAnsi="Times New Roman"/>
          <w:sz w:val="22"/>
          <w:szCs w:val="22"/>
        </w:rPr>
        <w:t xml:space="preserve">F. Schroff, D. Kalenichenko, and J. Philbin, “FaceNet,” Proc. CVPR, 2015.</w:t>
      </w:r>
    </w:p>
    <w:p>
      <w:pPr>
        <w:spacing w:after="60"/>
        <w:ind w:left="420" w:hanging="420"/>
      </w:pPr>
      <w:r>
        <w:rPr>
          <w:rFonts w:ascii="Times New Roman" w:cs="Times New Roman" w:eastAsia="SimSun" w:hAnsi="Times New Roman"/>
          <w:b/>
          <w:bCs/>
          <w:sz w:val="22"/>
          <w:szCs w:val="22"/>
        </w:rPr>
        <w:t>[V26]</w:t>
        <w:tab/>
      </w:r>
      <w:r>
        <w:rPr>
          <w:rFonts w:ascii="Times New Roman" w:cs="Times New Roman" w:eastAsia="SimSun" w:hAnsi="Times New Roman"/>
          <w:sz w:val="22"/>
          <w:szCs w:val="22"/>
        </w:rPr>
        <w:t xml:space="preserve">C. Szegedy et al., “Inception-v4, Inception-ResNet and the impact of residual connections on learning,” Proc. AAAI, 2017.</w:t>
      </w:r>
    </w:p>
    <w:p>
      <w:pPr>
        <w:spacing w:after="60"/>
        <w:ind w:left="420" w:hanging="420"/>
      </w:pPr>
      <w:r>
        <w:rPr>
          <w:rFonts w:ascii="Times New Roman" w:cs="Times New Roman" w:eastAsia="SimSun" w:hAnsi="Times New Roman"/>
          <w:b/>
          <w:bCs/>
          <w:sz w:val="22"/>
          <w:szCs w:val="22"/>
        </w:rPr>
        <w:t>[V27]</w:t>
        <w:tab/>
      </w:r>
      <w:r>
        <w:rPr>
          <w:rFonts w:ascii="Times New Roman" w:cs="Times New Roman" w:eastAsia="SimSun" w:hAnsi="Times New Roman"/>
          <w:sz w:val="22"/>
          <w:szCs w:val="22"/>
        </w:rPr>
        <w:t xml:space="preserve">T. Esler, facenet-pytorch (software repository). Cite as software; record the exact pretrained-weight version used.</w:t>
      </w:r>
    </w:p>
    <w:p>
      <w:pPr>
        <w:spacing w:after="60"/>
        <w:ind w:left="420" w:hanging="420"/>
      </w:pPr>
      <w:r>
        <w:rPr>
          <w:rFonts w:ascii="Times New Roman" w:cs="Times New Roman" w:eastAsia="SimSun" w:hAnsi="Times New Roman"/>
          <w:b/>
          <w:bCs/>
          <w:sz w:val="22"/>
          <w:szCs w:val="22"/>
        </w:rPr>
        <w:t>[V28]</w:t>
        <w:tab/>
      </w:r>
      <w:r>
        <w:rPr>
          <w:rFonts w:ascii="Times New Roman" w:cs="Times New Roman" w:eastAsia="SimSun" w:hAnsi="Times New Roman"/>
          <w:sz w:val="22"/>
          <w:szCs w:val="22"/>
        </w:rPr>
        <w:t xml:space="preserve">D. Maltoni, D. Maio, A. K. Jain, and J. Feng, Handbook of Fingerprint Recognition, 3rd ed., Springer, 2021. Source of FVC sensor specifications.</w:t>
      </w:r>
    </w:p>
    <w:p>
      <w:pPr>
        <w:spacing w:after="60"/>
        <w:ind w:left="420" w:hanging="420"/>
      </w:pPr>
      <w:r>
        <w:rPr>
          <w:rFonts w:ascii="Times New Roman" w:cs="Times New Roman" w:eastAsia="SimSun" w:hAnsi="Times New Roman"/>
          <w:b/>
          <w:bCs/>
          <w:sz w:val="22"/>
          <w:szCs w:val="22"/>
        </w:rPr>
        <w:t>[V29]</w:t>
        <w:tab/>
      </w:r>
      <w:r>
        <w:rPr>
          <w:rFonts w:ascii="Times New Roman" w:cs="Times New Roman" w:eastAsia="SimSun" w:hAnsi="Times New Roman"/>
          <w:sz w:val="22"/>
          <w:szCs w:val="22"/>
        </w:rPr>
        <w:t xml:space="preserve">H. Wang et al., “CosFace,” Proc. CVPR, 2018.</w:t>
      </w:r>
    </w:p>
    <w:p>
      <w:pPr>
        <w:spacing w:after="60"/>
        <w:ind w:left="420" w:hanging="420"/>
      </w:pPr>
      <w:r>
        <w:rPr>
          <w:rFonts w:ascii="Times New Roman" w:cs="Times New Roman" w:eastAsia="SimSun" w:hAnsi="Times New Roman"/>
          <w:b/>
          <w:bCs/>
          <w:sz w:val="22"/>
          <w:szCs w:val="22"/>
        </w:rPr>
        <w:t>[V30]</w:t>
        <w:tab/>
      </w:r>
      <w:r>
        <w:rPr>
          <w:rFonts w:ascii="Times New Roman" w:cs="Times New Roman" w:eastAsia="SimSun" w:hAnsi="Times New Roman"/>
          <w:sz w:val="22"/>
          <w:szCs w:val="22"/>
        </w:rPr>
        <w:t xml:space="preserve">J. Deng et al., “ArcFace,” Proc. CVPR, 2019.</w:t>
      </w:r>
    </w:p>
    <w:p>
      <w:pPr>
        <w:spacing w:after="60"/>
        <w:ind w:left="420" w:hanging="420"/>
      </w:pPr>
      <w:r>
        <w:rPr>
          <w:rFonts w:ascii="Times New Roman" w:cs="Times New Roman" w:eastAsia="SimSun" w:hAnsi="Times New Roman"/>
          <w:b/>
          <w:bCs/>
          <w:sz w:val="22"/>
          <w:szCs w:val="22"/>
        </w:rPr>
        <w:t>[V31]</w:t>
        <w:tab/>
      </w:r>
      <w:r>
        <w:rPr>
          <w:rFonts w:ascii="Times New Roman" w:cs="Times New Roman" w:eastAsia="SimSun" w:hAnsi="Times New Roman"/>
          <w:sz w:val="22"/>
          <w:szCs w:val="22"/>
        </w:rPr>
        <w:t xml:space="preserve">B. Efron and R. Tibshirani, An Introduction to the Bootstrap, 1993; and R. M. Bolle, N. K. Ratha, and S. Pankanti, “Error analysis of pattern recognition systems: The subsets bootstrap,” CVIU, 2004.</w:t>
      </w:r>
    </w:p>
    <w:p>
      <w:pPr>
        <w:spacing w:after="60"/>
        <w:ind w:left="420" w:hanging="420"/>
      </w:pPr>
      <w:r>
        <w:rPr>
          <w:rFonts w:ascii="Times New Roman" w:cs="Times New Roman" w:eastAsia="SimSun" w:hAnsi="Times New Roman"/>
          <w:b/>
          <w:bCs/>
          <w:sz w:val="22"/>
          <w:szCs w:val="22"/>
        </w:rPr>
        <w:t>[V32]</w:t>
        <w:tab/>
      </w:r>
      <w:r>
        <w:rPr>
          <w:rFonts w:ascii="Times New Roman" w:cs="Times New Roman" w:eastAsia="SimSun" w:hAnsi="Times New Roman"/>
          <w:sz w:val="22"/>
          <w:szCs w:val="22"/>
        </w:rPr>
        <w:t xml:space="preserve">U. Uludag and A. K. Jain, “Attacks on biometric systems: A case study in fingerprints,” Proc. SPIE, 2004; and R. Cappelli, A. Lumini, D. Maio, and D. Maltoni, “Fingerprint image reconstruction from standard templates,” IEEE TPAMI, 2007.</w:t>
      </w:r>
    </w:p>
    <w:p>
      <w:pPr>
        <w:pStyle w:val="Heading1"/>
        <w:spacing w:after="160" w:before="320"/>
      </w:pPr>
      <w:r>
        <w:rPr>
          <w:rFonts w:ascii="Times New Roman" w:cs="Times New Roman" w:eastAsia="SimSun" w:hAnsi="Times New Roman"/>
          <w:b/>
          <w:bCs/>
          <w:color w:val="263238"/>
          <w:sz w:val="28"/>
          <w:szCs w:val="28"/>
        </w:rPr>
        <w:t xml:space="preserve">Appendix A. Derivation Details and Worked Example</w:t>
      </w:r>
    </w:p>
    <w:p>
      <w:pPr>
        <w:pStyle w:val="Heading2"/>
        <w:spacing w:after="120" w:before="240"/>
      </w:pPr>
      <w:r>
        <w:rPr>
          <w:rFonts w:ascii="Times New Roman" w:cs="Times New Roman" w:eastAsia="SimSun" w:hAnsi="Times New Roman"/>
          <w:b/>
          <w:bCs/>
          <w:color w:val="263238"/>
          <w:sz w:val="24"/>
          <w:szCs w:val="24"/>
        </w:rPr>
        <w:t xml:space="preserve">A.1 From Angles to Hamming Distance — a Worked Example</w:t>
      </w:r>
    </w:p>
    <w:p>
      <w:pPr>
        <w:spacing w:after="120" w:line="276"/>
        <w:ind w:firstLine="431"/>
        <w:jc w:val="both"/>
      </w:pPr>
      <w:r>
        <w:rPr>
          <w:rFonts w:ascii="Times New Roman" w:cs="Times New Roman" w:eastAsia="SimSun" w:hAnsi="Times New Roman"/>
          <w:sz w:val="22"/>
          <w:szCs w:val="22"/>
        </w:rPr>
        <w:t xml:space="preserve">Take two fused embeddings with cosine similarity 0.940 (a strong genuine pair). Their angle is θ = arccos(0.940) ≈ 0.349 rad, so (3) predicts E[D_H] = θ/π ≈ 0.111. At m = 512 the expected Hamming distance is about 0.111 × 512 ≈ 57 bits, comfortably below the reported operating threshold τ_EER = 0.3504 (about 179 bits). An impostor pair near orthogonality (cosine ≈ 0, θ ≈ π/2) sits at E[D_H] = 0.5 (256 bits) — the separation that drives the reported d′ values. Because ZK-CaMBio’s R has ±1 chaotic entries rather than Gaussian rows, the slope is approximate; the project’s measured slope ≈ 1.01 quantifies the deviation, and it is small.</w:t>
      </w:r>
    </w:p>
    <w:p>
      <w:pPr>
        <w:pStyle w:val="Heading2"/>
        <w:spacing w:after="120" w:before="240"/>
      </w:pPr>
      <w:r>
        <w:rPr>
          <w:rFonts w:ascii="Times New Roman" w:cs="Times New Roman" w:eastAsia="SimSun" w:hAnsi="Times New Roman"/>
          <w:b/>
          <w:bCs/>
          <w:color w:val="263238"/>
          <w:sz w:val="24"/>
          <w:szCs w:val="24"/>
        </w:rPr>
        <w:t xml:space="preserve">A.2 Ridge Decoder Closed Form (Atk-2)</w:t>
      </w:r>
    </w:p>
    <w:p>
      <w:pPr>
        <w:spacing w:after="120" w:line="276"/>
        <w:ind w:firstLine="431"/>
        <w:jc w:val="both"/>
      </w:pPr>
      <w:r>
        <w:rPr>
          <w:rFonts w:ascii="Times New Roman" w:cs="Times New Roman" w:eastAsia="SimSun" w:hAnsi="Times New Roman"/>
          <w:sz w:val="22"/>
          <w:szCs w:val="22"/>
        </w:rPr>
        <w:t xml:space="preserve">Given training pairs (B, X) with templates B ∈ {0,1}^(n×m) recoded to ±1 and centered embeddings X, the Ridge decoder is W* = (B^T B + λI)^(−1) B^T X with λ = 1.0, and reconstruction is x̂ = W*^T(2b − 1). The attack is linear-algebraic, needs no gradient training, and — per Table 9 — is already the best-performing decoder at m ≥ 256, which is precisely the warning: no exotic machinery is required once the key is known.</w:t>
      </w:r>
    </w:p>
    <w:p>
      <w:pPr>
        <w:pStyle w:val="Heading2"/>
        <w:spacing w:after="120" w:before="240"/>
      </w:pPr>
      <w:r>
        <w:rPr>
          <w:rFonts w:ascii="Times New Roman" w:cs="Times New Roman" w:eastAsia="SimSun" w:hAnsi="Times New Roman"/>
          <w:b/>
          <w:bCs/>
          <w:color w:val="263238"/>
          <w:sz w:val="24"/>
          <w:szCs w:val="24"/>
        </w:rPr>
        <w:t xml:space="preserve">A.3 Key-Space Arithmetic (A1)</w:t>
      </w:r>
    </w:p>
    <w:p>
      <w:pPr>
        <w:spacing w:after="120" w:line="276"/>
        <w:ind w:firstLine="431"/>
        <w:jc w:val="both"/>
      </w:pPr>
      <w:r>
        <w:rPr>
          <w:rFonts w:ascii="Times New Roman" w:cs="Times New Roman" w:eastAsia="SimSun" w:hAnsi="Times New Roman"/>
          <w:sz w:val="22"/>
          <w:szCs w:val="22"/>
        </w:rPr>
        <w:t xml:space="preserve">The derived chaotic state contributes at most 64 bits and the map parameter at most 62 bits, giving ≤ 2^126 candidate engines. At the reported 3.95 ms per projection, one GPU-year covers ≈ 8.0 × 10^12 projections, so exhaustive search exceeds 10^22 GPU-years. This is an upper bound on work factor under the stated model; it assumes no structural shortcut in the map (unproven) and says nothing about Case A2, where the key is simply known.</w:t>
      </w:r>
    </w:p>
    <w:p>
      <w:pPr>
        <w:pStyle w:val="Heading1"/>
        <w:spacing w:after="160" w:before="320"/>
      </w:pPr>
      <w:r>
        <w:rPr>
          <w:rFonts w:ascii="Times New Roman" w:cs="Times New Roman" w:eastAsia="SimSun" w:hAnsi="Times New Roman"/>
          <w:b/>
          <w:bCs/>
          <w:color w:val="263238"/>
          <w:sz w:val="28"/>
          <w:szCs w:val="28"/>
        </w:rPr>
        <w:t xml:space="preserve">Appendix B. Planned Experiments (E1–E7)</w:t>
      </w:r>
    </w:p>
    <w:p>
      <w:pPr>
        <w:spacing w:after="120" w:line="276"/>
        <w:jc w:val="both"/>
      </w:pPr>
      <w:r>
        <w:rPr>
          <w:rFonts w:ascii="Times New Roman" w:cs="Times New Roman" w:eastAsia="SimSun" w:hAnsi="Times New Roman"/>
          <w:sz w:val="22"/>
          <w:szCs w:val="22"/>
        </w:rPr>
        <w:t xml:space="preserve">These experiments are specified in the research plan and are required (E1–E4) or optional (E5–E7) completions of the evaluation. None has been executed for this manuscript; no results for them are reported anywhere in the text.</w:t>
      </w:r>
    </w:p>
    <w:p>
      <w:pPr>
        <w:spacing w:after="200" w:before="60"/>
        <w:jc w:val="center"/>
      </w:pPr>
      <w:r>
        <w:rPr>
          <w:rFonts w:ascii="Times New Roman" w:cs="Times New Roman" w:eastAsia="SimSun" w:hAnsi="Times New Roman"/>
          <w:i/>
          <w:iCs/>
          <w:color w:val="37474F"/>
          <w:sz w:val="18"/>
          <w:szCs w:val="18"/>
        </w:rPr>
        <w:t xml:space="preserve">Table B.1. Planned experiments and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350"/>
        <w:gridCol w:w="2450"/>
        <w:gridCol w:w="2526"/>
      </w:tblGrid>
      <w:tr>
        <w:trPr>
          <w:tblHeader/>
        </w:trPr>
        <w:tc>
          <w:tcPr>
            <w:tcW w:type="dxa" w:w="700"/>
            <w:shd w:fill="EEF3F6" w:val="clear"/>
            <w:tcMar>
              <w:top w:type="dxa" w:w="60"/>
              <w:left w:type="dxa" w:w="80"/>
              <w:bottom w:type="dxa" w:w="60"/>
              <w:right w:type="dxa" w:w="80"/>
            </w:tcMar>
          </w:tcPr>
          <w:p>
            <w:pPr>
              <w:spacing w:after="20" w:line="230"/>
            </w:pPr>
            <w:r>
              <w:rPr>
                <w:rFonts w:ascii="Times New Roman" w:cs="Times New Roman" w:eastAsia="SimSun" w:hAnsi="Times New Roman"/>
                <w:b/>
                <w:bCs/>
                <w:color w:val="263238"/>
                <w:sz w:val="16"/>
                <w:szCs w:val="16"/>
              </w:rPr>
              <w:t xml:space="preserve">ID</w:t>
            </w:r>
          </w:p>
        </w:tc>
        <w:tc>
          <w:tcPr>
            <w:tcW w:type="dxa" w:w="3350"/>
            <w:shd w:fill="EEF3F6" w:val="clear"/>
            <w:tcMar>
              <w:top w:type="dxa" w:w="60"/>
              <w:left w:type="dxa" w:w="80"/>
              <w:bottom w:type="dxa" w:w="60"/>
              <w:right w:type="dxa" w:w="80"/>
            </w:tcMar>
          </w:tcPr>
          <w:p>
            <w:pPr>
              <w:spacing w:after="20" w:line="230"/>
            </w:pPr>
            <w:r>
              <w:rPr>
                <w:rFonts w:ascii="Times New Roman" w:cs="Times New Roman" w:eastAsia="SimSun" w:hAnsi="Times New Roman"/>
                <w:b/>
                <w:bCs/>
                <w:color w:val="263238"/>
                <w:sz w:val="16"/>
                <w:szCs w:val="16"/>
              </w:rPr>
              <w:t xml:space="preserve">Experiment</w:t>
            </w:r>
          </w:p>
        </w:tc>
        <w:tc>
          <w:tcPr>
            <w:tcW w:type="dxa" w:w="2450"/>
            <w:shd w:fill="EEF3F6" w:val="clear"/>
            <w:tcMar>
              <w:top w:type="dxa" w:w="60"/>
              <w:left w:type="dxa" w:w="80"/>
              <w:bottom w:type="dxa" w:w="60"/>
              <w:right w:type="dxa" w:w="80"/>
            </w:tcMar>
          </w:tcPr>
          <w:p>
            <w:pPr>
              <w:spacing w:after="20" w:line="230"/>
            </w:pPr>
            <w:r>
              <w:rPr>
                <w:rFonts w:ascii="Times New Roman" w:cs="Times New Roman" w:eastAsia="SimSun" w:hAnsi="Times New Roman"/>
                <w:b/>
                <w:bCs/>
                <w:color w:val="263238"/>
                <w:sz w:val="16"/>
                <w:szCs w:val="16"/>
              </w:rPr>
              <w:t xml:space="preserve">Purpose</w:t>
            </w:r>
          </w:p>
        </w:tc>
        <w:tc>
          <w:tcPr>
            <w:tcW w:type="dxa" w:w="2526"/>
            <w:shd w:fill="EEF3F6" w:val="clear"/>
            <w:tcMar>
              <w:top w:type="dxa" w:w="60"/>
              <w:left w:type="dxa" w:w="80"/>
              <w:bottom w:type="dxa" w:w="60"/>
              <w:right w:type="dxa" w:w="80"/>
            </w:tcMar>
          </w:tcPr>
          <w:p>
            <w:pPr>
              <w:spacing w:after="20" w:line="230"/>
            </w:pPr>
            <w:r>
              <w:rPr>
                <w:rFonts w:ascii="Times New Roman" w:cs="Times New Roman" w:eastAsia="SimSun" w:hAnsi="Times New Roman"/>
                <w:b/>
                <w:bCs/>
                <w:color w:val="263238"/>
                <w:sz w:val="16"/>
                <w:szCs w:val="16"/>
              </w:rPr>
              <w:t xml:space="preserve">Status</w:t>
            </w:r>
          </w:p>
        </w:tc>
      </w:tr>
      <w:tr>
        <w:tc>
          <w:tcPr>
            <w:tcW w:type="dxa" w:w="7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E1</w:t>
            </w:r>
          </w:p>
        </w:tc>
        <w:tc>
          <w:tcPr>
            <w:tcW w:type="dxa" w:w="33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Pairing sensitivity: 10 re-pairing seeds; report mean ± SD of fused EER, FNMR@0.1%, Scenario-K EER (encoders not retrained)</w:t>
            </w:r>
          </w:p>
        </w:tc>
        <w:tc>
          <w:tcPr>
            <w:tcW w:type="dxa" w:w="24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Stress-test the chimeric-pairing assumption [11]</w:t>
            </w:r>
          </w:p>
        </w:tc>
        <w:tc>
          <w:tcPr>
            <w:tcW w:type="dxa" w:w="25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Planned — required</w:t>
            </w:r>
          </w:p>
        </w:tc>
      </w:tr>
      <w:tr>
        <w:tc>
          <w:tcPr>
            <w:tcW w:type="dxa" w:w="7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E2</w:t>
            </w:r>
          </w:p>
        </w:tc>
        <w:tc>
          <w:tcPr>
            <w:tcW w:type="dxa" w:w="33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Consistency audit of every headline number against results/*.json and code</w:t>
            </w:r>
          </w:p>
        </w:tc>
        <w:tc>
          <w:tcPr>
            <w:tcW w:type="dxa" w:w="24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Traceability of all reported numbers</w:t>
            </w:r>
          </w:p>
        </w:tc>
        <w:tc>
          <w:tcPr>
            <w:tcW w:type="dxa" w:w="25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Planned — required</w:t>
            </w:r>
          </w:p>
        </w:tc>
      </w:tr>
      <w:tr>
        <w:tc>
          <w:tcPr>
            <w:tcW w:type="dxa" w:w="7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E3</w:t>
            </w:r>
          </w:p>
        </w:tc>
        <w:tc>
          <w:tcPr>
            <w:tcW w:type="dxa" w:w="33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Single-source bootstrap: all CIs from one function and seed; paired bootstrap for K − S3</w:t>
            </w:r>
          </w:p>
        </w:tc>
        <w:tc>
          <w:tcPr>
            <w:tcW w:type="dxa" w:w="24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Statistical reproducibility</w:t>
            </w:r>
          </w:p>
        </w:tc>
        <w:tc>
          <w:tcPr>
            <w:tcW w:type="dxa" w:w="25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Planned — required</w:t>
            </w:r>
          </w:p>
        </w:tc>
      </w:tr>
      <w:tr>
        <w:tc>
          <w:tcPr>
            <w:tcW w:type="dxa" w:w="7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E4</w:t>
            </w:r>
          </w:p>
        </w:tc>
        <w:tc>
          <w:tcPr>
            <w:tcW w:type="dxa" w:w="33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Attack-prior sensitivity: Ridge decoder trained on validation-only subjects and on synthetic Gaussian data with matched covariance, m ∈ {128, 512}</w:t>
            </w:r>
          </w:p>
        </w:tc>
        <w:tc>
          <w:tcPr>
            <w:tcW w:type="dxa" w:w="24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Rule out prior leakage explaining reconstruction fidelity</w:t>
            </w:r>
          </w:p>
        </w:tc>
        <w:tc>
          <w:tcPr>
            <w:tcW w:type="dxa" w:w="25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Partially prefigured (validation-only result in §8.1); full run planned</w:t>
            </w:r>
          </w:p>
        </w:tc>
      </w:tr>
      <w:tr>
        <w:tc>
          <w:tcPr>
            <w:tcW w:type="dxa" w:w="7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E5</w:t>
            </w:r>
          </w:p>
        </w:tc>
        <w:tc>
          <w:tcPr>
            <w:tcW w:type="dxa" w:w="33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Hill-climbing against the boolean match oracle vs score oracle, fixed query budget, 20 victims</w:t>
            </w:r>
          </w:p>
        </w:tc>
        <w:tc>
          <w:tcPr>
            <w:tcW w:type="dxa" w:w="24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Quantify the value of score suppression</w:t>
            </w:r>
          </w:p>
        </w:tc>
        <w:tc>
          <w:tcPr>
            <w:tcW w:type="dxa" w:w="25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Planned — optional</w:t>
            </w:r>
          </w:p>
        </w:tc>
      </w:tr>
      <w:tr>
        <w:tc>
          <w:tcPr>
            <w:tcW w:type="dxa" w:w="7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E6</w:t>
            </w:r>
          </w:p>
        </w:tc>
        <w:tc>
          <w:tcPr>
            <w:tcW w:type="dxa" w:w="33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Two-factor key mode: attacker holds database + master key but not the user secret; measure reconstruction failure and offline-guessing cost (6-digit PIN vs 8-character passphrase at pinned scrypt parameters)</w:t>
            </w:r>
          </w:p>
        </w:tc>
        <w:tc>
          <w:tcPr>
            <w:tcW w:type="dxa" w:w="24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Quantify the benefit of user-secret mode</w:t>
            </w:r>
          </w:p>
        </w:tc>
        <w:tc>
          <w:tcPr>
            <w:tcW w:type="dxa" w:w="25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Planned — optional</w:t>
            </w:r>
          </w:p>
        </w:tc>
      </w:tr>
      <w:tr>
        <w:tc>
          <w:tcPr>
            <w:tcW w:type="dxa" w:w="70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E7</w:t>
            </w:r>
          </w:p>
        </w:tc>
        <w:tc>
          <w:tcPr>
            <w:tcW w:type="dxa" w:w="33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Latency and footprint: enroll/verify CPU latency, template size, storage</w:t>
            </w:r>
          </w:p>
        </w:tc>
        <w:tc>
          <w:tcPr>
            <w:tcW w:type="dxa" w:w="2450"/>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Engineering characterization</w:t>
            </w:r>
          </w:p>
        </w:tc>
        <w:tc>
          <w:tcPr>
            <w:tcW w:type="dxa" w:w="2526"/>
            <w:tcMar>
              <w:top w:type="dxa" w:w="60"/>
              <w:left w:type="dxa" w:w="80"/>
              <w:bottom w:type="dxa" w:w="60"/>
              <w:right w:type="dxa" w:w="80"/>
            </w:tcMar>
          </w:tcPr>
          <w:p>
            <w:pPr>
              <w:spacing w:after="20" w:line="230"/>
            </w:pPr>
            <w:r>
              <w:rPr>
                <w:rFonts w:ascii="Times New Roman" w:cs="Times New Roman" w:eastAsia="SimSun" w:hAnsi="Times New Roman"/>
                <w:b w:val="false"/>
                <w:bCs w:val="false"/>
                <w:color w:val="263238"/>
                <w:sz w:val="16"/>
                <w:szCs w:val="16"/>
              </w:rPr>
              <w:t xml:space="preserve">Planned — optional</w:t>
            </w:r>
          </w:p>
        </w:tc>
      </w:tr>
    </w:tbl>
    <w:p>
      <w:pPr>
        <w:pStyle w:val="Heading1"/>
        <w:spacing w:after="160" w:before="320"/>
      </w:pPr>
      <w:r>
        <w:rPr>
          <w:rFonts w:ascii="Times New Roman" w:cs="Times New Roman" w:eastAsia="SimSun" w:hAnsi="Times New Roman"/>
          <w:b/>
          <w:bCs/>
          <w:color w:val="263238"/>
          <w:sz w:val="28"/>
          <w:szCs w:val="28"/>
        </w:rPr>
        <w:t xml:space="preserve">Appendix C. Author-Verification Checklist</w:t>
      </w:r>
    </w:p>
    <w:p>
      <w:pPr>
        <w:spacing w:after="120" w:line="276"/>
        <w:jc w:val="both"/>
      </w:pPr>
      <w:r>
        <w:rPr>
          <w:rFonts w:ascii="Times New Roman" w:cs="Times New Roman" w:eastAsia="SimSun" w:hAnsi="Times New Roman"/>
          <w:sz w:val="22"/>
          <w:szCs w:val="22"/>
        </w:rPr>
        <w:t xml:space="preserve">Before submission, the author must complete or verify each item below. Items marked (artifact) require the project’s result files; items marked (bib) require a publisher/DOI check.</w:t>
      </w:r>
    </w:p>
    <w:p>
      <w:pPr>
        <w:pStyle w:val="ListParagraph"/>
        <w:numPr>
          <w:ilvl w:val="0"/>
          <w:numId w:val="2"/>
        </w:numPr>
        <w:spacing w:after="60" w:line="276"/>
      </w:pPr>
      <w:r>
        <w:rPr>
          <w:rFonts w:ascii="Times New Roman" w:cs="Times New Roman" w:eastAsia="SimSun" w:hAnsi="Times New Roman"/>
          <w:sz w:val="22"/>
          <w:szCs w:val="22"/>
        </w:rPr>
        <w:t xml:space="preserve">(bib) Confirm or replace every [V1]–[V32] marker; complete the bracketed fields in references [2], [6], [14], [10], [17], [18], [19].</w:t>
      </w:r>
    </w:p>
    <w:p>
      <w:pPr>
        <w:pStyle w:val="ListParagraph"/>
        <w:numPr>
          <w:ilvl w:val="0"/>
          <w:numId w:val="2"/>
        </w:numPr>
        <w:spacing w:after="60" w:line="276"/>
      </w:pPr>
      <w:r>
        <w:rPr>
          <w:rFonts w:ascii="Times New Roman" w:cs="Times New Roman" w:eastAsia="SimSun" w:hAnsi="Times New Roman"/>
          <w:sz w:val="22"/>
          <w:szCs w:val="22"/>
        </w:rPr>
        <w:t xml:space="preserve">(bib) Confirm the FVC2004 sensor specifications against the Handbook of Fingerprint Recognition, 3rd ed. [V28].</w:t>
      </w:r>
    </w:p>
    <w:p>
      <w:pPr>
        <w:pStyle w:val="ListParagraph"/>
        <w:numPr>
          <w:ilvl w:val="0"/>
          <w:numId w:val="2"/>
        </w:numPr>
        <w:spacing w:after="60" w:line="276"/>
      </w:pPr>
      <w:r>
        <w:rPr>
          <w:rFonts w:ascii="Times New Roman" w:cs="Times New Roman" w:eastAsia="SimSun" w:hAnsi="Times New Roman"/>
          <w:sz w:val="22"/>
          <w:szCs w:val="22"/>
        </w:rPr>
        <w:t xml:space="preserve">(artifact) Run E2: reconcile every number in this manuscript against results/*.json; record mismatches in docs/CONSISTENCY_AUDIT.md.</w:t>
      </w:r>
    </w:p>
    <w:p>
      <w:pPr>
        <w:pStyle w:val="ListParagraph"/>
        <w:numPr>
          <w:ilvl w:val="0"/>
          <w:numId w:val="2"/>
        </w:numPr>
        <w:spacing w:after="60" w:line="276"/>
      </w:pPr>
      <w:r>
        <w:rPr>
          <w:rFonts w:ascii="Times New Roman" w:cs="Times New Roman" w:eastAsia="SimSun" w:hAnsi="Times New Roman"/>
          <w:sz w:val="22"/>
          <w:szCs w:val="22"/>
        </w:rPr>
        <w:t xml:space="preserve">(artifact) Run E1 (pairing sensitivity) and update Sections 5.2 and 6 with mean ± SD across seeds.</w:t>
      </w:r>
    </w:p>
    <w:p>
      <w:pPr>
        <w:pStyle w:val="ListParagraph"/>
        <w:numPr>
          <w:ilvl w:val="0"/>
          <w:numId w:val="2"/>
        </w:numPr>
        <w:spacing w:after="60" w:line="276"/>
      </w:pPr>
      <w:r>
        <w:rPr>
          <w:rFonts w:ascii="Times New Roman" w:cs="Times New Roman" w:eastAsia="SimSun" w:hAnsi="Times New Roman"/>
          <w:sz w:val="22"/>
          <w:szCs w:val="22"/>
        </w:rPr>
        <w:t xml:space="preserve">(artifact) Re-run scripts/reproduce_all.py on independent hardware and confirm regeneration within tolerance; confirm results/MANIFEST.md checksums.</w:t>
      </w:r>
    </w:p>
    <w:p>
      <w:pPr>
        <w:pStyle w:val="ListParagraph"/>
        <w:numPr>
          <w:ilvl w:val="0"/>
          <w:numId w:val="2"/>
        </w:numPr>
        <w:spacing w:after="60" w:line="276"/>
      </w:pPr>
      <w:r>
        <w:rPr>
          <w:rFonts w:ascii="Times New Roman" w:cs="Times New Roman" w:eastAsia="SimSun" w:hAnsi="Times New Roman"/>
          <w:sz w:val="22"/>
          <w:szCs w:val="22"/>
        </w:rPr>
        <w:t xml:space="preserve">(artifact) Confirm the enrollment-gate threshold history (0.70 → 0.60, decision D-017) and, if possible, re-calibrate on validation-only data.</w:t>
      </w:r>
    </w:p>
    <w:p>
      <w:pPr>
        <w:pStyle w:val="ListParagraph"/>
        <w:numPr>
          <w:ilvl w:val="0"/>
          <w:numId w:val="2"/>
        </w:numPr>
        <w:spacing w:after="60" w:line="276"/>
      </w:pPr>
      <w:r>
        <w:rPr>
          <w:rFonts w:ascii="Times New Roman" w:cs="Times New Roman" w:eastAsia="SimSun" w:hAnsi="Times New Roman"/>
          <w:sz w:val="22"/>
          <w:szCs w:val="22"/>
        </w:rPr>
        <w:t xml:space="preserve">(artifact) Confirm the KAT hash agreement between Windows MSVC and Linux GCC builds.</w:t>
      </w:r>
    </w:p>
    <w:p>
      <w:pPr>
        <w:pStyle w:val="ListParagraph"/>
        <w:numPr>
          <w:ilvl w:val="0"/>
          <w:numId w:val="2"/>
        </w:numPr>
        <w:spacing w:after="60" w:line="276"/>
      </w:pPr>
      <w:r>
        <w:rPr>
          <w:rFonts w:ascii="Times New Roman" w:cs="Times New Roman" w:eastAsia="SimSun" w:hAnsi="Times New Roman"/>
          <w:sz w:val="22"/>
          <w:szCs w:val="22"/>
        </w:rPr>
        <w:t xml:space="preserve">(text) Replace the author placeholder on the title page with the full legal name, affiliation, and contact.</w:t>
      </w:r>
    </w:p>
    <w:p>
      <w:pPr>
        <w:pStyle w:val="ListParagraph"/>
        <w:numPr>
          <w:ilvl w:val="0"/>
          <w:numId w:val="2"/>
        </w:numPr>
        <w:spacing w:after="60" w:line="276"/>
      </w:pPr>
      <w:r>
        <w:rPr>
          <w:rFonts w:ascii="Times New Roman" w:cs="Times New Roman" w:eastAsia="SimSun" w:hAnsi="Times New Roman"/>
          <w:sz w:val="22"/>
          <w:szCs w:val="22"/>
        </w:rPr>
        <w:t xml:space="preserve">(text) Confirm the institution’s formatting template (this draft uses A4, 11 pt, single column, 1-inch margins, 1.15 line spacing) and adjust if a specific template is mandated.</w:t>
      </w:r>
    </w:p>
    <w:p>
      <w:pPr>
        <w:pStyle w:val="ListParagraph"/>
        <w:numPr>
          <w:ilvl w:val="0"/>
          <w:numId w:val="2"/>
        </w:numPr>
        <w:spacing w:after="60" w:line="276"/>
      </w:pPr>
      <w:r>
        <w:rPr>
          <w:rFonts w:ascii="Times New Roman" w:cs="Times New Roman" w:eastAsia="SimSun" w:hAnsi="Times New Roman"/>
          <w:sz w:val="22"/>
          <w:szCs w:val="22"/>
        </w:rPr>
        <w:t xml:space="preserve">(text) Edit the AI-assistance disclosure (Section 12.4) to match institutional policy.</w:t>
      </w:r>
    </w:p>
    <w:p>
      <w:pPr>
        <w:pStyle w:val="ListParagraph"/>
        <w:numPr>
          <w:ilvl w:val="0"/>
          <w:numId w:val="2"/>
        </w:numPr>
        <w:spacing w:after="60" w:line="276"/>
      </w:pPr>
      <w:r>
        <w:rPr>
          <w:rFonts w:ascii="Times New Roman" w:cs="Times New Roman" w:eastAsia="SimSun" w:hAnsi="Times New Roman"/>
          <w:sz w:val="22"/>
          <w:szCs w:val="22"/>
        </w:rPr>
        <w:t xml:space="preserve">(text) Replace the Figure 4 placeholder with ROC/DET curves generated from raw score files, or delete it.</w:t>
      </w:r>
    </w:p>
    <w:p>
      <w:pPr>
        <w:pStyle w:val="ListParagraph"/>
        <w:numPr>
          <w:ilvl w:val="0"/>
          <w:numId w:val="2"/>
        </w:numPr>
        <w:spacing w:after="60" w:line="276"/>
      </w:pPr>
      <w:r>
        <w:rPr>
          <w:rFonts w:ascii="Times New Roman" w:cs="Times New Roman" w:eastAsia="SimSun" w:hAnsi="Times New Roman"/>
          <w:sz w:val="22"/>
          <w:szCs w:val="22"/>
        </w:rPr>
        <w:t xml:space="preserve">(text) Verify no remaining statement claims cryptographic zero-knowledge, production readiness, or non-invertibility under key compromise.</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line="276"/>
      <w:jc w:val="center"/>
    </w:pPr>
    <w:r>
      <w:rPr>
        <w:rFonts w:ascii="Times New Roman" w:cs="Times New Roman" w:eastAsia="SimSu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line="276"/>
    </w:pPr>
    <w:r>
      <w:rPr>
        <w:rFonts w:ascii="Times New Roman" w:cs="Times New Roman" w:eastAsia="SimSun" w:hAnsi="Times New Roman"/>
        <w:sz w:val="22"/>
        <w:szCs w:val="22"/>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line="276"/>
      <w:jc w:val="center"/>
    </w:pPr>
    <w:r>
      <w:rPr>
        <w:rFonts w:ascii="Times New Roman" w:cs="Times New Roman" w:eastAsia="SimSun" w:hAnsi="Times New Roman"/>
        <w:color w:val="78909C"/>
        <w:sz w:val="16"/>
        <w:szCs w:val="16"/>
      </w:rPr>
      <w:t xml:space="preserve">Privacy-Preserving Multimodal Biometric Authentication Using Cancelable Templates — ZK-CaMBio (draft v3.0)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line="276"/>
    </w:pPr>
    <w:r>
      <w:rPr>
        <w:rFonts w:ascii="Times New Roman" w:cs="Times New Roman" w:eastAsia="SimSun" w:hAnsi="Times New Roman"/>
        <w:sz w:val="22"/>
        <w:szCs w:val="2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qFormat/>
    <w:pPr>
      <w:spacing w:after="60"/>
    </w:pPr>
    <w:rPr>
      <w:rFonts w:ascii="Times New Roman" w:cs="Times New Roman" w:eastAsia="SimSun" w:hAnsi="Times New Roman"/>
      <w:sz w:val="20"/>
      <w:szCs w:val="20"/>
    </w:rPr>
  </w:style>
  <w:style w:type="paragraph" w:styleId="TOC2">
    <w:name w:val="toc 2"/>
    <w:basedOn w:val="Normal"/>
    <w:next w:val="Normal"/>
    <w:qFormat/>
    <w:pPr>
      <w:spacing w:after="40"/>
    </w:pPr>
    <w:rPr>
      <w:rFonts w:ascii="Times New Roman" w:cs="Times New Roman" w:eastAsia="SimSun" w:hAnsi="Times New Roman"/>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300b845b4b40c9b0295ad800a2d4e72197625baa.png"/><Relationship Id="rId12" Type="http://schemas.openxmlformats.org/officeDocument/2006/relationships/image" Target="media/65353a6b0b0795c29b699a7c1942640b1a00c50c.png"/><Relationship Id="rId13" Type="http://schemas.openxmlformats.org/officeDocument/2006/relationships/image" Target="media/ebb318141eb1d833c79dcba7cf5cafbff9e570c2.png"/><Relationship Id="rId14" Type="http://schemas.openxmlformats.org/officeDocument/2006/relationships/image" Target="media/59c4df46b019635543b5d4e2d9a65001f5400407.png"/><Relationship Id="rId15" Type="http://schemas.openxmlformats.org/officeDocument/2006/relationships/image" Target="media/31ace651ac9a99167d795514e5073b23ed5abc7e.png"/><Relationship Id="rId16" Type="http://schemas.openxmlformats.org/officeDocument/2006/relationships/image" Target="media/11b1c7ddca5b75d7c51445d0e98452e54c8ae80c.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2026-10-02T08:33:52.444Z</dcterms:created>
  <dcterms:modified xsi:type="dcterms:W3CDTF">2026-10-02T08:33:52.444Z</dcterms:modified>
</cp:coreProperties>
</file>

<file path=docProps/custom.xml><?xml version="1.0" encoding="utf-8"?>
<Properties xmlns="http://schemas.openxmlformats.org/officeDocument/2006/custom-properties" xmlns:vt="http://schemas.openxmlformats.org/officeDocument/2006/docPropsVTypes"/>
</file>