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jc w:val="center"/>
      </w:pPr>
      <w:r>
        <w:rPr>
          <w:rFonts w:ascii="Liberation Sans" w:hAnsi="Liberation Sans"/>
          <w:b/>
          <w:color w:val="6C5CE7"/>
          <w:sz w:val="76"/>
        </w:rPr>
        <w:t>SCRY</w:t>
      </w:r>
    </w:p>
    <w:p>
      <w:pPr>
        <w:jc w:val="center"/>
      </w:pPr>
      <w:r>
        <w:rPr>
          <w:rFonts w:ascii="Liberation Sans" w:hAnsi="Liberation Sans"/>
          <w:b/>
          <w:color w:val="171A3A"/>
          <w:sz w:val="40"/>
        </w:rPr>
        <w:t>Live prediction markets for the physical world</w:t>
      </w:r>
    </w:p>
    <w:p>
      <w:pPr>
        <w:spacing w:before="160"/>
        <w:jc w:val="center"/>
      </w:pPr>
      <w:r>
        <w:rPr>
          <w:rFonts w:ascii="Liberation Sans" w:hAnsi="Liberation Sans"/>
          <w:color w:val="667085"/>
          <w:sz w:val="26"/>
        </w:rPr>
        <w:t>Product, market, blockchain and technical strategy</w:t>
      </w:r>
    </w:p>
    <w:p>
      <w:pPr>
        <w:spacing w:before="760"/>
        <w:jc w:val="center"/>
      </w:pPr>
      <w:r>
        <w:rPr>
          <w:rFonts w:ascii="Liberation Sans" w:hAnsi="Liberation Sans"/>
          <w:color w:val="00AFC1"/>
          <w:sz w:val="42"/>
        </w:rPr>
        <w:t>◉  ─────  ◉  ─────  ◉</w:t>
      </w:r>
    </w:p>
    <w:p>
      <w:pPr>
        <w:spacing w:before="840"/>
        <w:jc w:val="center"/>
      </w:pPr>
      <w:r>
        <w:rPr>
          <w:rFonts w:ascii="Liberation Sans" w:hAnsi="Liberation Sans"/>
          <w:b/>
          <w:color w:val="171A3A"/>
          <w:sz w:val="34"/>
        </w:rPr>
        <w:t>Watch live. Predict next.</w:t>
      </w:r>
    </w:p>
    <w:p>
      <w:pPr>
        <w:spacing w:before="2400"/>
        <w:jc w:val="center"/>
      </w:pPr>
      <w:r>
        <w:rPr>
          <w:rFonts w:ascii="Liberation Sans" w:hAnsi="Liberation Sans"/>
          <w:b/>
          <w:color w:val="6C5CE7"/>
          <w:sz w:val="20"/>
        </w:rPr>
        <w:t>Mainnet MVP strategy  |  Base primary deployment</w:t>
      </w:r>
    </w:p>
    <w:p>
      <w:pPr>
        <w:jc w:val="center"/>
      </w:pPr>
      <w:r>
        <w:t>Research and competitive landscape updated 19 July 2026</w:t>
      </w:r>
    </w:p>
    <w:p>
      <w:r>
        <w:br w:type="page"/>
      </w:r>
    </w:p>
    <w:p>
      <w:pPr>
        <w:pStyle w:val="Heading1"/>
        <w:keepNext/>
      </w:pPr>
      <w:r>
        <w:rPr>
          <w:rFonts w:ascii="Liberation Sans" w:hAnsi="Liberation Sans"/>
        </w:rPr>
        <w:t>Document map</w:t>
      </w:r>
    </w:p>
    <w:p>
      <w:pPr>
        <w:pStyle w:val="ListBullet"/>
        <w:spacing w:after="60"/>
      </w:pPr>
      <w:r>
        <w:rPr>
          <w:rFonts w:ascii="Liberation Sans" w:hAnsi="Liberation Sans"/>
        </w:rPr>
        <w:t>Executive summary</w:t>
      </w:r>
    </w:p>
    <w:p>
      <w:pPr>
        <w:pStyle w:val="ListBullet"/>
        <w:spacing w:after="60"/>
      </w:pPr>
      <w:r>
        <w:rPr>
          <w:rFonts w:ascii="Liberation Sans" w:hAnsi="Liberation Sans"/>
        </w:rPr>
        <w:t>1. Product thesis and positioning</w:t>
      </w:r>
    </w:p>
    <w:p>
      <w:pPr>
        <w:pStyle w:val="ListBullet"/>
      </w:pPr>
      <w:r>
        <w:rPr>
          <w:rFonts w:ascii="Liberation Sans" w:hAnsi="Liberation Sans"/>
          <w:b w:val="0"/>
          <w:i w:val="0"/>
          <w:color w:val="1F2937"/>
          <w:sz w:val="18"/>
        </w:rPr>
        <w:t>2. Competitive landscape and differentiation</w:t>
      </w:r>
    </w:p>
    <w:p>
      <w:pPr>
        <w:pStyle w:val="ListBullet"/>
        <w:spacing w:after="60"/>
      </w:pPr>
      <w:r>
        <w:t>3. Live product experience</w:t>
      </w:r>
    </w:p>
    <w:p>
      <w:pPr>
        <w:pStyle w:val="ListBullet"/>
        <w:spacing w:after="60"/>
      </w:pPr>
      <w:r>
        <w:t>4. Launch stream strategy</w:t>
      </w:r>
    </w:p>
    <w:p>
      <w:pPr>
        <w:pStyle w:val="ListBullet"/>
        <w:spacing w:after="60"/>
      </w:pPr>
      <w:r>
        <w:t>5. Market design and liquidity</w:t>
      </w:r>
    </w:p>
    <w:p>
      <w:pPr>
        <w:pStyle w:val="ListBullet"/>
        <w:spacing w:after="60"/>
      </w:pPr>
      <w:r>
        <w:t>6. Proof of Observation</w:t>
      </w:r>
    </w:p>
    <w:p>
      <w:pPr>
        <w:pStyle w:val="ListBullet"/>
        <w:spacing w:after="60"/>
      </w:pPr>
      <w:r>
        <w:t>7. Chain decision: why Base</w:t>
      </w:r>
    </w:p>
    <w:p>
      <w:pPr>
        <w:pStyle w:val="ListBullet"/>
        <w:spacing w:after="60"/>
      </w:pPr>
      <w:r>
        <w:t>8. Production architecture</w:t>
      </w:r>
    </w:p>
    <w:p>
      <w:pPr>
        <w:pStyle w:val="ListBullet"/>
        <w:spacing w:after="60"/>
      </w:pPr>
      <w:r>
        <w:t>9. Smart-contract design</w:t>
      </w:r>
    </w:p>
    <w:p>
      <w:pPr>
        <w:pStyle w:val="ListBullet"/>
        <w:spacing w:after="60"/>
      </w:pPr>
      <w:r>
        <w:t>10. Recommended technology stack</w:t>
      </w:r>
    </w:p>
    <w:p>
      <w:pPr>
        <w:pStyle w:val="ListBullet"/>
        <w:spacing w:after="60"/>
      </w:pPr>
      <w:r>
        <w:t>11. Security, privacy and reliability</w:t>
      </w:r>
    </w:p>
    <w:p>
      <w:pPr>
        <w:pStyle w:val="ListBullet"/>
        <w:spacing w:after="60"/>
      </w:pPr>
      <w:r>
        <w:t>12. Business model and distribution</w:t>
      </w:r>
    </w:p>
    <w:p>
      <w:pPr>
        <w:pStyle w:val="ListBullet"/>
        <w:spacing w:after="60"/>
      </w:pPr>
      <w:r>
        <w:t>13. End-to-end MVP scope</w:t>
      </w:r>
    </w:p>
    <w:p>
      <w:pPr>
        <w:pStyle w:val="ListBullet"/>
        <w:spacing w:after="60"/>
      </w:pPr>
      <w:r>
        <w:t>14. Roadmap and success metrics</w:t>
      </w:r>
    </w:p>
    <w:p>
      <w:pPr>
        <w:pStyle w:val="ListBullet"/>
        <w:spacing w:after="60"/>
      </w:pPr>
      <w:r>
        <w:t>15. Principal risks and mitigations</w:t>
      </w:r>
    </w:p>
    <w:p>
      <w:pPr>
        <w:pStyle w:val="ListBullet"/>
        <w:spacing w:after="60"/>
      </w:pPr>
      <w:r>
        <w:t>16. Final recommendation</w:t>
      </w:r>
    </w:p>
    <w:p>
      <w:pPr>
        <w:pStyle w:val="ListBullet"/>
        <w:spacing w:after="60"/>
      </w:pPr>
      <w:r>
        <w:rPr>
          <w:rFonts w:ascii="Liberation Sans" w:hAnsi="Liberation Sans"/>
        </w:rPr>
        <w:t>Appendices and research references</w:t>
      </w:r>
    </w:p>
    <w:tbl>
      <w:tblPr>
        <w:tblW w:type="auto" w:w="0"/>
        <w:jc w:val="center"/>
        <w:tblLayout w:type="fixed"/>
        <w:tblLook w:firstColumn="1" w:firstRow="1" w:lastColumn="0" w:lastRow="0" w:noHBand="0" w:noVBand="1" w:val="04A0"/>
      </w:tblPr>
      <w:tblGrid>
        <w:gridCol w:w="230"/>
        <w:gridCol w:w="9576"/>
      </w:tblGrid>
      <w:tr>
        <w:tc>
          <w:tcPr>
            <w:tcW w:type="dxa" w:w="4917"/>
            <w:shd w:fill="D64545"/>
            <w:tcMar>
              <w:top w:w="140" w:type="dxa"/>
              <w:start w:w="150" w:type="dxa"/>
              <w:bottom w:w="140" w:type="dxa"/>
              <w:end w:w="150" w:type="dxa"/>
            </w:tcMar>
            <w:vAlign w:val="center"/>
          </w:tcPr>
          <w:p/>
        </w:tc>
        <w:tc>
          <w:tcPr>
            <w:tcW w:type="dxa" w:w="4917"/>
            <w:shd w:fill="F3F2FF"/>
            <w:tcMar>
              <w:top w:w="140" w:type="dxa"/>
              <w:start w:w="150" w:type="dxa"/>
              <w:bottom w:w="140" w:type="dxa"/>
              <w:end w:w="150" w:type="dxa"/>
            </w:tcMar>
            <w:vAlign w:val="center"/>
          </w:tcPr>
          <w:p>
            <w:r>
              <w:rPr>
                <w:rFonts w:ascii="Liberation Sans" w:hAnsi="Liberation Sans"/>
                <w:b/>
                <w:color w:val="171A3A"/>
                <w:sz w:val="21"/>
              </w:rPr>
              <w:t xml:space="preserve">Scope note  </w:t>
            </w:r>
            <w:r>
              <w:rPr>
                <w:rFonts w:ascii="Liberation Sans" w:hAnsi="Liberation Sans"/>
                <w:color w:val="171A3A"/>
                <w:sz w:val="21"/>
              </w:rPr>
              <w:t>This is a product and engineering strategy, not legal, financial or investment advice. Any public real-money launch requires jurisdiction-specific counsel, licensing analysis, age controls, KYC/AML design and geofencing before launch.</w:t>
            </w:r>
          </w:p>
        </w:tc>
      </w:tr>
    </w:tbl>
    <w:p>
      <w:pPr>
        <w:spacing w:after="0"/>
      </w:pPr>
    </w:p>
    <w:p>
      <w:pPr>
        <w:spacing w:after="140" w:line="269" w:lineRule="auto"/>
      </w:pPr>
      <w:r>
        <w:rPr>
          <w:rFonts w:ascii="Liberation Sans" w:hAnsi="Liberation Sans"/>
        </w:rPr>
        <w:t>Scry is used as a working brand. Before public release, complete trademark, domain and app-store clearance because similar names may exist in adjacent AI, oracle and forecasting categories.</w:t>
      </w:r>
    </w:p>
    <w:p>
      <w:pPr>
        <w:pStyle w:val="Heading1"/>
        <w:keepNext/>
      </w:pPr>
      <w:r>
        <w:rPr>
          <w:rFonts w:ascii="Liberation Sans" w:hAnsi="Liberation Sans"/>
        </w:rPr>
        <w:t>Executive summary</w:t>
      </w:r>
    </w:p>
    <w:p>
      <w:pPr>
        <w:spacing w:after="140" w:line="269" w:lineRule="auto"/>
      </w:pPr>
      <w:r>
        <w:t>Scry is a live prediction platform and forecasting network for measurable physical-world events. Users watch authorized, anonymized streams, make a prediction before the market locks, follow the observation live and receive a verifiable result. The launch experience spans traffic, parking, queues, venue flow and operational throughput, while the long-term product turns market consensus and sensor history into forecast intelligence.</w:t>
      </w:r>
    </w:p>
    <w:tbl>
      <w:tblPr>
        <w:tblW w:type="auto" w:w="0"/>
        <w:jc w:val="center"/>
        <w:tblLayout w:type="fixed"/>
        <w:tblLook w:firstColumn="1" w:firstRow="1" w:lastColumn="0" w:lastRow="0" w:noHBand="0" w:noVBand="1" w:val="04A0"/>
      </w:tblPr>
      <w:tblGrid>
        <w:gridCol w:w="230"/>
        <w:gridCol w:w="9576"/>
      </w:tblGrid>
      <w:tr>
        <w:tc>
          <w:tcPr>
            <w:tcW w:type="dxa" w:w="4917"/>
            <w:shd w:fill="6C5CE7"/>
            <w:tcMar>
              <w:top w:w="140" w:type="dxa"/>
              <w:start w:w="150" w:type="dxa"/>
              <w:bottom w:w="140" w:type="dxa"/>
              <w:end w:w="150" w:type="dxa"/>
            </w:tcMar>
            <w:vAlign w:val="center"/>
          </w:tcPr>
          <w:p/>
        </w:tc>
        <w:tc>
          <w:tcPr>
            <w:tcW w:type="dxa" w:w="4917"/>
            <w:shd w:fill="F3F2FF"/>
            <w:tcMar>
              <w:top w:w="140" w:type="dxa"/>
              <w:start w:w="150" w:type="dxa"/>
              <w:bottom w:w="140" w:type="dxa"/>
              <w:end w:w="150" w:type="dxa"/>
            </w:tcMar>
            <w:vAlign w:val="center"/>
          </w:tcPr>
          <w:p>
            <w:pPr>
              <w:spacing w:after="0"/>
            </w:pPr>
            <w:r/>
            <w:r>
              <w:rPr>
                <w:rFonts w:ascii="Liberation Sans" w:hAnsi="Liberation Sans"/>
                <w:b/>
                <w:i w:val="0"/>
                <w:color w:val="6C5CE7"/>
                <w:sz w:val="18"/>
              </w:rPr>
              <w:t xml:space="preserve">Core positioning  </w:t>
            </w:r>
            <w:r>
              <w:rPr>
                <w:rFonts w:ascii="Liberation Sans" w:hAnsi="Liberation Sans"/>
                <w:b w:val="0"/>
                <w:i w:val="0"/>
                <w:color w:val="1F2937"/>
                <w:sz w:val="18"/>
              </w:rPr>
              <w:t>Scry is not “Polymarket for CCTV,” and it is not the first CCTV count-betting game. It is the live market, forecasting and verification layer for measurable physical-world events: streams create attention, markets aggregate belief, sensors create ground truth, and the resulting forecast becomes valuable data.</w:t>
            </w:r>
          </w:p>
        </w:tc>
      </w:tr>
    </w:tbl>
    <w:p>
      <w:pPr>
        <w:spacing w:after="0"/>
      </w:pPr>
    </w:p>
    <w:p>
      <w:pPr>
        <w:spacing w:after="140" w:line="269" w:lineRule="auto"/>
      </w:pPr>
      <w:r>
        <w:rPr>
          <w:rFonts w:ascii="Liberation Sans" w:hAnsi="Liberation Sans"/>
        </w:rPr>
        <w:t>The recommended launch architecture is hybrid. Video, computer vision, live counts, chat and forecasting remain off-chain. Market creation, user positions, collateral, evidence roots, final outcomes and claims settle on Base mainnet. Base is the primary recommendation because its current Ecosystem Fund request explicitly names prediction markets, while Base Account provides universal sign-in, one-tap USDC payments and sponsored transaction support. Base therefore offers both technical fit and unusually direct ecosystem alignment for Scry.</w:t>
      </w:r>
      <w:r>
        <w:rPr>
          <w:rFonts w:ascii="Liberation Sans" w:hAnsi="Liberation Sans"/>
          <w:color w:val="6C5CE7"/>
          <w:sz w:val="16"/>
          <w:vertAlign w:val="superscript"/>
        </w:rPr>
        <w:t xml:space="preserve"> [1]</w:t>
      </w:r>
      <w:r>
        <w:rPr>
          <w:rFonts w:ascii="Liberation Sans" w:hAnsi="Liberation Sans"/>
          <w:color w:val="6C5CE7"/>
          <w:sz w:val="16"/>
          <w:vertAlign w:val="superscript"/>
        </w:rPr>
        <w:t xml:space="preserve"> [2]</w:t>
      </w:r>
      <w:r>
        <w:rPr>
          <w:rFonts w:ascii="Liberation Sans" w:hAnsi="Liberation Sans"/>
          <w:color w:val="6C5CE7"/>
          <w:sz w:val="16"/>
          <w:vertAlign w:val="superscript"/>
        </w:rPr>
        <w:t xml:space="preserve"> [3]</w:t>
      </w:r>
    </w:p>
    <w:p>
      <w:pPr>
        <w:spacing w:after="140" w:line="269" w:lineRule="auto"/>
      </w:pPr>
      <w:r>
        <w:rPr>
          <w:rFonts w:ascii="Liberation Sans" w:hAnsi="Liberation Sans"/>
        </w:rPr>
        <w:t>Scry should launch with 8–15 excellent authorized streams rather than one demo or dozens of unreliable feeds. V1 should use simple pooled multi-outcome markets with dynamic implied probabilities, strict lock times and automatic refunds on invalid observations. A full CLOB should be added only after Scry proves recurring liquidity and market-maker demand.</w:t>
      </w:r>
    </w:p>
    <w:p>
      <w:pPr>
        <w:spacing w:after="140" w:line="269" w:lineRule="auto"/>
      </w:pPr>
      <w:r>
        <w:rPr>
          <w:rFonts w:ascii="Liberation Sans" w:hAnsi="Liberation Sans"/>
        </w:rPr>
        <w:t>The difficult moat is not the betting interface. It is the combination of reliable stream operations, privacy-preserving computer vision, market templates, calibrated forecasters, observer reputation and a growing dataset linking live state, market consensus, model forecasts and verified outcomes.</w:t>
      </w:r>
    </w:p>
    <w:p>
      <w:pPr/>
      <w:r>
        <w:rPr>
          <w:rFonts w:ascii="Liberation Sans" w:hAnsi="Liberation Sans"/>
          <w:b w:val="0"/>
          <w:i w:val="0"/>
          <w:color w:val="1F2937"/>
          <w:sz w:val="18"/>
        </w:rPr>
        <w:t>A direct precedent must shape the strategy: 155.io launched CCTV.Game: Rush Hour in January 2026 and announced distribution through Stake, Shuffle and Roobet in February 2026. Rush Hour validates that live CCTV count prediction is understandable and entertaining, but it removes any credible claim that Scry is the first CCTV betting product. Scry only earns a distinct category by becoming a multi-category prediction exchange, agent forecasting network and enterprise intelligence layer rather than another traffic casino game.</w:t>
      </w:r>
    </w:p>
    <w:tbl>
      <w:tblPr>
        <w:tblW w:type="auto" w:w="0"/>
        <w:jc w:val="center"/>
        <w:tblLayout w:type="fixed"/>
        <w:tblLook w:firstColumn="1" w:firstRow="1" w:lastColumn="0" w:lastRow="0" w:noHBand="0" w:noVBand="1" w:val="04A0"/>
      </w:tblPr>
      <w:tblGrid>
        <w:gridCol w:w="230"/>
        <w:gridCol w:w="9576"/>
      </w:tblGrid>
      <w:tr>
        <w:tc>
          <w:tcPr>
            <w:tcW w:type="dxa" w:w="4917"/>
            <w:shd w:fill="6C5CE7"/>
            <w:tcMar>
              <w:top w:w="140" w:type="dxa"/>
              <w:start w:w="150" w:type="dxa"/>
              <w:bottom w:w="140" w:type="dxa"/>
              <w:end w:w="150" w:type="dxa"/>
            </w:tcMar>
            <w:vAlign w:val="center"/>
          </w:tcPr>
          <w:p/>
        </w:tc>
        <w:tc>
          <w:tcPr>
            <w:tcW w:type="dxa" w:w="4917"/>
            <w:shd w:fill="F3F2FF"/>
            <w:tcMar>
              <w:top w:w="140" w:type="dxa"/>
              <w:start w:w="150" w:type="dxa"/>
              <w:bottom w:w="140" w:type="dxa"/>
              <w:end w:w="150" w:type="dxa"/>
            </w:tcMar>
            <w:vAlign w:val="center"/>
          </w:tcPr>
          <w:p>
            <w:pPr>
              <w:spacing w:after="0"/>
            </w:pPr>
            <w:r/>
            <w:r>
              <w:rPr>
                <w:rFonts w:ascii="Liberation Sans" w:hAnsi="Liberation Sans"/>
                <w:b/>
                <w:i w:val="0"/>
                <w:color w:val="6C5CE7"/>
                <w:sz w:val="18"/>
              </w:rPr>
              <w:t xml:space="preserve">Competitive reality  </w:t>
            </w:r>
            <w:r>
              <w:rPr>
                <w:rFonts w:ascii="Liberation Sans" w:hAnsi="Liberation Sans"/>
                <w:b w:val="0"/>
                <w:i w:val="0"/>
                <w:color w:val="1F2937"/>
                <w:sz w:val="18"/>
              </w:rPr>
              <w:t>Rush Hour validates the watch-and-predict mechanic. Scry must win on breadth, market structure, public verification, AI-agent participation, persistent forecasting reputation and business-grade forecast data.</w:t>
            </w:r>
          </w:p>
        </w:tc>
      </w:tr>
    </w:tbl>
    <w:p>
      <w:pPr>
        <w:pStyle w:val="Heading1"/>
        <w:keepNext/>
      </w:pPr>
      <w:r>
        <w:rPr>
          <w:rFonts w:ascii="Liberation Sans" w:hAnsi="Liberation Sans"/>
        </w:rPr>
        <w:t>1. Product thesis and positioning</w:t>
      </w:r>
    </w:p>
    <w:p>
      <w:pPr>
        <w:pStyle w:val="Heading2"/>
        <w:keepNext/>
      </w:pPr>
      <w:r>
        <w:rPr>
          <w:rFonts w:ascii="Liberation Sans" w:hAnsi="Liberation Sans"/>
        </w:rPr>
        <w:t>1.1 The user promise</w:t>
      </w:r>
    </w:p>
    <w:p>
      <w:pPr>
        <w:spacing w:after="140" w:line="269" w:lineRule="auto"/>
      </w:pPr>
      <w:r>
        <w:rPr>
          <w:rFonts w:ascii="Liberation Sans" w:hAnsi="Liberation Sans"/>
        </w:rPr>
        <w:t>A person opens Scry, sees multiple real-world events happening live, makes a prediction before the market locks, watches the outcome unfold and receives a verifiable result. The experience should feel closer to Twitch plus live forecasting than to a dense derivatives terminal.</w:t>
      </w:r>
    </w:p>
    <w:p>
      <w:pPr>
        <w:spacing w:after="140" w:line="269" w:lineRule="auto"/>
      </w:pPr>
      <w:r>
        <w:rPr>
          <w:rFonts w:ascii="Liberation Sans" w:hAnsi="Liberation Sans"/>
        </w:rPr>
        <w:t>The strongest public-facing line is: “Watch the world live. Predict what happens next.” The enterprise-facing line is: “Live sensor data in; verified forecasts out.”</w:t>
      </w:r>
    </w:p>
    <w:p>
      <w:pPr>
        <w:pStyle w:val="Heading2"/>
        <w:keepNext/>
      </w:pPr>
      <w:r>
        <w:rPr>
          <w:rFonts w:ascii="Liberation Sans" w:hAnsi="Liberation Sans"/>
        </w:rPr>
        <w:t>1.2 The underlying problem</w:t>
      </w:r>
    </w:p>
    <w:p>
      <w:pPr>
        <w:spacing w:after="140" w:line="269" w:lineRule="auto"/>
      </w:pPr>
      <w:r>
        <w:rPr>
          <w:rFonts w:ascii="Liberation Sans" w:hAnsi="Liberation Sans"/>
        </w:rPr>
        <w:t>Most camera and IoT products explain what is happening now. Operational buyers need to know what is likely to happen next: when a lot will fill, whether a queue will exceed a threshold, which gate will become congested, or whether throughput will miss a target. Scry combines competitive forecasting with live evidence to produce a continuously updated probability rather than a static dashboard.</w:t>
      </w:r>
    </w:p>
    <w:p>
      <w:pPr>
        <w:pStyle w:val="Heading2"/>
        <w:keepNext/>
      </w:pPr>
      <w:r>
        <w:rPr>
          <w:rFonts w:ascii="Liberation Sans" w:hAnsi="Liberation Sans"/>
        </w:rPr>
        <w:t>1.3 Product layers</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1944"/>
            <w:shd w:fill="171A3A"/>
            <w:tcMar>
              <w:top w:w="100" w:type="dxa"/>
              <w:start w:w="100" w:type="dxa"/>
              <w:bottom w:w="100" w:type="dxa"/>
              <w:end w:w="100" w:type="dxa"/>
            </w:tcMar>
            <w:vAlign w:val="center"/>
          </w:tcPr>
          <w:p>
            <w:pPr>
              <w:jc w:val="center"/>
            </w:pPr>
            <w:r>
              <w:rPr>
                <w:rFonts w:ascii="Liberation Sans" w:hAnsi="Liberation Sans"/>
                <w:b/>
                <w:color w:val="FFFFFF"/>
                <w:sz w:val="17"/>
              </w:rPr>
              <w:t>Layer</w:t>
            </w:r>
          </w:p>
        </w:tc>
        <w:tc>
          <w:tcPr>
            <w:tcW w:type="dxa" w:w="3528"/>
            <w:shd w:fill="171A3A"/>
            <w:tcMar>
              <w:top w:w="100" w:type="dxa"/>
              <w:start w:w="100" w:type="dxa"/>
              <w:bottom w:w="100" w:type="dxa"/>
              <w:end w:w="100" w:type="dxa"/>
            </w:tcMar>
            <w:vAlign w:val="center"/>
          </w:tcPr>
          <w:p>
            <w:pPr>
              <w:jc w:val="center"/>
            </w:pPr>
            <w:r>
              <w:rPr>
                <w:rFonts w:ascii="Liberation Sans" w:hAnsi="Liberation Sans"/>
                <w:b/>
                <w:color w:val="FFFFFF"/>
                <w:sz w:val="17"/>
              </w:rPr>
              <w:t>What users see</w:t>
            </w:r>
          </w:p>
        </w:tc>
        <w:tc>
          <w:tcPr>
            <w:tcW w:type="dxa" w:w="3671"/>
            <w:shd w:fill="171A3A"/>
            <w:tcMar>
              <w:top w:w="100" w:type="dxa"/>
              <w:start w:w="100" w:type="dxa"/>
              <w:bottom w:w="100" w:type="dxa"/>
              <w:end w:w="100" w:type="dxa"/>
            </w:tcMar>
            <w:vAlign w:val="center"/>
          </w:tcPr>
          <w:p>
            <w:pPr>
              <w:jc w:val="center"/>
            </w:pPr>
            <w:r>
              <w:rPr>
                <w:rFonts w:ascii="Liberation Sans" w:hAnsi="Liberation Sans"/>
                <w:b/>
                <w:color w:val="FFFFFF"/>
                <w:sz w:val="17"/>
              </w:rPr>
              <w:t>Strategic value</w:t>
            </w:r>
          </w:p>
        </w:tc>
      </w:tr>
      <w:tr>
        <w:trPr>
          <w:cantSplit/>
        </w:trPr>
        <w:tc>
          <w:tcPr>
            <w:tcW w:type="dxa" w:w="1944"/>
            <w:tcMar>
              <w:top w:w="90" w:type="dxa"/>
              <w:start w:w="100" w:type="dxa"/>
              <w:bottom w:w="90" w:type="dxa"/>
              <w:end w:w="100" w:type="dxa"/>
            </w:tcMar>
            <w:vAlign w:val="top"/>
          </w:tcPr>
          <w:p>
            <w:r>
              <w:rPr>
                <w:rFonts w:ascii="Liberation Sans" w:hAnsi="Liberation Sans"/>
                <w:color w:val="171A3A"/>
                <w:sz w:val="17"/>
              </w:rPr>
              <w:t>Consumer experience</w:t>
            </w:r>
          </w:p>
        </w:tc>
        <w:tc>
          <w:tcPr>
            <w:tcW w:type="dxa" w:w="3528"/>
            <w:tcMar>
              <w:top w:w="90" w:type="dxa"/>
              <w:start w:w="100" w:type="dxa"/>
              <w:bottom w:w="90" w:type="dxa"/>
              <w:end w:w="100" w:type="dxa"/>
            </w:tcMar>
            <w:vAlign w:val="top"/>
          </w:tcPr>
          <w:p>
            <w:r>
              <w:rPr>
                <w:rFonts w:ascii="Liberation Sans" w:hAnsi="Liberation Sans"/>
                <w:color w:val="171A3A"/>
                <w:sz w:val="17"/>
              </w:rPr>
              <w:t>Live rooms, markets, chat, leaderboards and result reveals</w:t>
            </w:r>
          </w:p>
        </w:tc>
        <w:tc>
          <w:tcPr>
            <w:tcW w:type="dxa" w:w="3671"/>
            <w:tcMar>
              <w:top w:w="90" w:type="dxa"/>
              <w:start w:w="100" w:type="dxa"/>
              <w:bottom w:w="90" w:type="dxa"/>
              <w:end w:w="100" w:type="dxa"/>
            </w:tcMar>
            <w:vAlign w:val="top"/>
          </w:tcPr>
          <w:p>
            <w:r>
              <w:rPr>
                <w:rFonts w:ascii="Liberation Sans" w:hAnsi="Liberation Sans"/>
                <w:color w:val="171A3A"/>
                <w:sz w:val="17"/>
              </w:rPr>
              <w:t>Acquisition, retention and brand</w:t>
            </w:r>
          </w:p>
        </w:tc>
      </w:tr>
      <w:tr>
        <w:trPr>
          <w:cantSplit/>
        </w:trPr>
        <w:tc>
          <w:tcPr>
            <w:tcW w:type="dxa" w:w="1944"/>
            <w:tcMar>
              <w:top w:w="90" w:type="dxa"/>
              <w:start w:w="100" w:type="dxa"/>
              <w:bottom w:w="90" w:type="dxa"/>
              <w:end w:w="100" w:type="dxa"/>
            </w:tcMar>
            <w:vAlign w:val="top"/>
            <w:shd w:fill="F8F9FC"/>
          </w:tcPr>
          <w:p>
            <w:r>
              <w:rPr>
                <w:rFonts w:ascii="Liberation Sans" w:hAnsi="Liberation Sans"/>
                <w:color w:val="171A3A"/>
                <w:sz w:val="17"/>
              </w:rPr>
              <w:t>Forecasting network</w:t>
            </w:r>
          </w:p>
        </w:tc>
        <w:tc>
          <w:tcPr>
            <w:tcW w:type="dxa" w:w="3528"/>
            <w:tcMar>
              <w:top w:w="90" w:type="dxa"/>
              <w:start w:w="100" w:type="dxa"/>
              <w:bottom w:w="90" w:type="dxa"/>
              <w:end w:w="100" w:type="dxa"/>
            </w:tcMar>
            <w:vAlign w:val="top"/>
            <w:shd w:fill="F8F9FC"/>
          </w:tcPr>
          <w:p>
            <w:r>
              <w:rPr>
                <w:rFonts w:ascii="Liberation Sans" w:hAnsi="Liberation Sans"/>
                <w:color w:val="171A3A"/>
                <w:sz w:val="17"/>
              </w:rPr>
              <w:t>Human forecasts, AI agents and market consensus</w:t>
            </w:r>
          </w:p>
        </w:tc>
        <w:tc>
          <w:tcPr>
            <w:tcW w:type="dxa" w:w="3671"/>
            <w:tcMar>
              <w:top w:w="90" w:type="dxa"/>
              <w:start w:w="100" w:type="dxa"/>
              <w:bottom w:w="90" w:type="dxa"/>
              <w:end w:w="100" w:type="dxa"/>
            </w:tcMar>
            <w:vAlign w:val="top"/>
            <w:shd w:fill="F8F9FC"/>
          </w:tcPr>
          <w:p>
            <w:r>
              <w:rPr>
                <w:rFonts w:ascii="Liberation Sans" w:hAnsi="Liberation Sans"/>
                <w:color w:val="171A3A"/>
                <w:sz w:val="17"/>
              </w:rPr>
              <w:t>Better probability estimates and reputation data</w:t>
            </w:r>
          </w:p>
        </w:tc>
      </w:tr>
      <w:tr>
        <w:trPr>
          <w:cantSplit/>
        </w:trPr>
        <w:tc>
          <w:tcPr>
            <w:tcW w:type="dxa" w:w="1944"/>
            <w:tcMar>
              <w:top w:w="90" w:type="dxa"/>
              <w:start w:w="100" w:type="dxa"/>
              <w:bottom w:w="90" w:type="dxa"/>
              <w:end w:w="100" w:type="dxa"/>
            </w:tcMar>
            <w:vAlign w:val="top"/>
          </w:tcPr>
          <w:p>
            <w:r>
              <w:rPr>
                <w:rFonts w:ascii="Liberation Sans" w:hAnsi="Liberation Sans"/>
                <w:color w:val="171A3A"/>
                <w:sz w:val="17"/>
              </w:rPr>
              <w:t>Observation network</w:t>
            </w:r>
          </w:p>
        </w:tc>
        <w:tc>
          <w:tcPr>
            <w:tcW w:type="dxa" w:w="3528"/>
            <w:tcMar>
              <w:top w:w="90" w:type="dxa"/>
              <w:start w:w="100" w:type="dxa"/>
              <w:bottom w:w="90" w:type="dxa"/>
              <w:end w:w="100" w:type="dxa"/>
            </w:tcMar>
            <w:vAlign w:val="top"/>
          </w:tcPr>
          <w:p>
            <w:r>
              <w:rPr>
                <w:rFonts w:ascii="Liberation Sans" w:hAnsi="Liberation Sans"/>
                <w:color w:val="171A3A"/>
                <w:sz w:val="17"/>
              </w:rPr>
              <w:t>Authorized streams, edge processing and signed evidence</w:t>
            </w:r>
          </w:p>
        </w:tc>
        <w:tc>
          <w:tcPr>
            <w:tcW w:type="dxa" w:w="3671"/>
            <w:tcMar>
              <w:top w:w="90" w:type="dxa"/>
              <w:start w:w="100" w:type="dxa"/>
              <w:bottom w:w="90" w:type="dxa"/>
              <w:end w:w="100" w:type="dxa"/>
            </w:tcMar>
            <w:vAlign w:val="top"/>
          </w:tcPr>
          <w:p>
            <w:r>
              <w:rPr>
                <w:rFonts w:ascii="Liberation Sans" w:hAnsi="Liberation Sans"/>
                <w:color w:val="171A3A"/>
                <w:sz w:val="17"/>
              </w:rPr>
              <w:t>Trustworthy physical-world resolution</w:t>
            </w:r>
          </w:p>
        </w:tc>
      </w:tr>
      <w:tr>
        <w:trPr>
          <w:cantSplit/>
        </w:trPr>
        <w:tc>
          <w:tcPr>
            <w:tcW w:type="dxa" w:w="1944"/>
            <w:tcMar>
              <w:top w:w="90" w:type="dxa"/>
              <w:start w:w="100" w:type="dxa"/>
              <w:bottom w:w="90" w:type="dxa"/>
              <w:end w:w="100" w:type="dxa"/>
            </w:tcMar>
            <w:vAlign w:val="top"/>
            <w:shd w:fill="F8F9FC"/>
          </w:tcPr>
          <w:p>
            <w:r>
              <w:rPr>
                <w:rFonts w:ascii="Liberation Sans" w:hAnsi="Liberation Sans"/>
                <w:color w:val="171A3A"/>
                <w:sz w:val="17"/>
              </w:rPr>
              <w:t>Enterprise intelligence</w:t>
            </w:r>
          </w:p>
        </w:tc>
        <w:tc>
          <w:tcPr>
            <w:tcW w:type="dxa" w:w="3528"/>
            <w:tcMar>
              <w:top w:w="90" w:type="dxa"/>
              <w:start w:w="100" w:type="dxa"/>
              <w:bottom w:w="90" w:type="dxa"/>
              <w:end w:w="100" w:type="dxa"/>
            </w:tcMar>
            <w:vAlign w:val="top"/>
            <w:shd w:fill="F8F9FC"/>
          </w:tcPr>
          <w:p>
            <w:r>
              <w:rPr>
                <w:rFonts w:ascii="Liberation Sans" w:hAnsi="Liberation Sans"/>
                <w:color w:val="171A3A"/>
                <w:sz w:val="17"/>
              </w:rPr>
              <w:t>Forecast API, alerts and operational dashboards</w:t>
            </w:r>
          </w:p>
        </w:tc>
        <w:tc>
          <w:tcPr>
            <w:tcW w:type="dxa" w:w="3671"/>
            <w:tcMar>
              <w:top w:w="90" w:type="dxa"/>
              <w:start w:w="100" w:type="dxa"/>
              <w:bottom w:w="90" w:type="dxa"/>
              <w:end w:w="100" w:type="dxa"/>
            </w:tcMar>
            <w:vAlign w:val="top"/>
            <w:shd w:fill="F8F9FC"/>
          </w:tcPr>
          <w:p>
            <w:r>
              <w:rPr>
                <w:rFonts w:ascii="Liberation Sans" w:hAnsi="Liberation Sans"/>
                <w:color w:val="171A3A"/>
                <w:sz w:val="17"/>
              </w:rPr>
              <w:t>Recurring revenue beyond trading fees</w:t>
            </w:r>
          </w:p>
        </w:tc>
      </w:tr>
    </w:tbl>
    <w:p>
      <w:pPr>
        <w:spacing w:after="0"/>
      </w:pPr>
    </w:p>
    <w:p>
      <w:pPr>
        <w:pStyle w:val="Heading2"/>
        <w:keepNext/>
      </w:pPr>
      <w:r>
        <w:rPr>
          <w:rFonts w:ascii="Liberation Sans" w:hAnsi="Liberation Sans"/>
        </w:rPr>
        <w:t>1.4 What Scry is not</w:t>
      </w:r>
    </w:p>
    <w:p>
      <w:pPr>
        <w:pStyle w:val="ListBullet"/>
        <w:spacing w:after="60"/>
      </w:pPr>
      <w:r>
        <w:t>A generic CCTV directory or a traffic-only casino clone. Every stream must support repeatable, measurable and useful questions, and the launch catalogue must visibly extend beyond Rush Hour’s core mechanic.</w:t>
      </w:r>
    </w:p>
    <w:p>
      <w:pPr>
        <w:pStyle w:val="ListBullet"/>
        <w:spacing w:after="60"/>
      </w:pPr>
      <w:r>
        <w:rPr>
          <w:rFonts w:ascii="Liberation Sans" w:hAnsi="Liberation Sans"/>
        </w:rPr>
        <w:t>A system that uploads raw footage on-chain. Only compact evidence commitments and final outcomes belong on-chain.</w:t>
      </w:r>
    </w:p>
    <w:p>
      <w:pPr>
        <w:pStyle w:val="ListBullet"/>
        <w:spacing w:after="60"/>
      </w:pPr>
      <w:r>
        <w:rPr>
          <w:rFonts w:ascii="Liberation Sans" w:hAnsi="Liberation Sans"/>
        </w:rPr>
        <w:t>A fully permissionless market creator on day one. Curated markets are required while Scry proves stream quality and resolution integrity.</w:t>
      </w:r>
    </w:p>
    <w:p>
      <w:pPr>
        <w:pStyle w:val="ListBullet"/>
        <w:spacing w:after="60"/>
      </w:pPr>
      <w:r>
        <w:rPr>
          <w:rFonts w:ascii="Liberation Sans" w:hAnsi="Liberation Sans"/>
        </w:rPr>
        <w:t>A high-frequency exchange from the first release. The initial bottleneck is trusted supply and user engagement, not matching-engine sophistication.</w:t>
      </w:r>
    </w:p>
    <w:p>
      <w:pPr>
        <w:pStyle w:val="Heading1"/>
      </w:pPr>
      <w:r>
        <w:t>2. Competitive landscape and differentiation</w:t>
      </w:r>
    </w:p>
    <w:p>
      <w:pPr>
        <w:pStyle w:val="Heading2"/>
      </w:pPr>
      <w:r>
        <w:t>2.1 Closest direct precedent: 155.io Rush Hour</w:t>
      </w:r>
    </w:p>
    <w:p>
      <w:pPr/>
      <w:r>
        <w:rPr>
          <w:rFonts w:ascii="Liberation Sans" w:hAnsi="Liberation Sans"/>
          <w:b w:val="0"/>
          <w:i w:val="0"/>
          <w:color w:val="1F2937"/>
          <w:sz w:val="18"/>
        </w:rPr>
        <w:t>Scry enters a validated but no longer empty category. 155.io’s official site describes Rush Hour as a CCTV.Game title built around real-world traffic footage. Its January 2026 launch was followed by operator partnerships with Stake, Shuffle and Roobet in February and an aggregation partnership with Hub88. The important lesson is not that Scry should stop; it is that “watch traffic and bet on the count” is already a product, distribution model and marketing claim owned by someone else.</w:t>
      </w:r>
    </w:p>
    <w:p>
      <w:pPr/>
      <w:r>
        <w:rPr>
          <w:rFonts w:ascii="Liberation Sans" w:hAnsi="Liberation Sans"/>
          <w:b w:val="0"/>
          <w:i w:val="0"/>
          <w:color w:val="1F2937"/>
          <w:sz w:val="18"/>
        </w:rPr>
        <w:t>Rush Hour demonstrates the immediate consumer appeal of a real feed, a short countdown, an AI-generated count and an instant result. It also defines the strategic trap. If Scry launches as another series of fixed-odds traffic rounds, users and investors will correctly view it as a follower. Scry must launch with the broader network architecture already visible in the product.</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1800"/>
            <w:shd w:fill="6C5CE7"/>
            <w:vAlign w:val="center"/>
            <w:tcMar>
              <w:top w:w="80" w:type="dxa"/>
              <w:start w:w="100" w:type="dxa"/>
              <w:bottom w:w="80" w:type="dxa"/>
              <w:end w:w="100" w:type="dxa"/>
            </w:tcMar>
          </w:tcPr>
          <w:p>
            <w:pPr>
              <w:spacing w:after="0" w:before="0" w:line="240" w:lineRule="auto"/>
            </w:pPr>
            <w:r/>
            <w:r>
              <w:rPr>
                <w:rFonts w:ascii="Liberation Sans" w:hAnsi="Liberation Sans"/>
                <w:b/>
                <w:i w:val="0"/>
                <w:color w:val="FFFFFF"/>
                <w:sz w:val="16"/>
              </w:rPr>
              <w:t>Dimension</w:t>
            </w:r>
          </w:p>
        </w:tc>
        <w:tc>
          <w:tcPr>
            <w:tcW w:type="dxa" w:w="3384"/>
            <w:shd w:fill="6C5CE7"/>
            <w:vAlign w:val="center"/>
            <w:tcMar>
              <w:top w:w="80" w:type="dxa"/>
              <w:start w:w="100" w:type="dxa"/>
              <w:bottom w:w="80" w:type="dxa"/>
              <w:end w:w="100" w:type="dxa"/>
            </w:tcMar>
          </w:tcPr>
          <w:p>
            <w:pPr>
              <w:spacing w:after="0" w:before="0" w:line="240" w:lineRule="auto"/>
            </w:pPr>
            <w:r/>
            <w:r>
              <w:rPr>
                <w:rFonts w:ascii="Liberation Sans" w:hAnsi="Liberation Sans"/>
                <w:b/>
                <w:i w:val="0"/>
                <w:color w:val="FFFFFF"/>
                <w:sz w:val="16"/>
              </w:rPr>
              <w:t>155.io / Rush Hour</w:t>
            </w:r>
          </w:p>
        </w:tc>
        <w:tc>
          <w:tcPr>
            <w:tcW w:type="dxa" w:w="4536"/>
            <w:shd w:fill="6C5CE7"/>
            <w:vAlign w:val="center"/>
            <w:tcMar>
              <w:top w:w="80" w:type="dxa"/>
              <w:start w:w="100" w:type="dxa"/>
              <w:bottom w:w="80" w:type="dxa"/>
              <w:end w:w="100" w:type="dxa"/>
            </w:tcMar>
          </w:tcPr>
          <w:p>
            <w:pPr>
              <w:spacing w:after="0" w:before="0" w:line="240" w:lineRule="auto"/>
            </w:pPr>
            <w:r/>
            <w:r>
              <w:rPr>
                <w:rFonts w:ascii="Liberation Sans" w:hAnsi="Liberation Sans"/>
                <w:b/>
                <w:i w:val="0"/>
                <w:color w:val="FFFFFF"/>
                <w:sz w:val="16"/>
              </w:rPr>
              <w:t>Scry launch position</w:t>
            </w:r>
          </w:p>
        </w:tc>
      </w:tr>
      <w:tr>
        <w:trPr>
          <w:cantSplit/>
        </w:trPr>
        <w:tc>
          <w:tcPr>
            <w:tcW w:type="dxa" w:w="1800"/>
            <w:shd w:fill="FAF9FF"/>
            <w:vAlign w:val="center"/>
            <w:tcMar>
              <w:top w:w="80" w:type="dxa"/>
              <w:start w:w="100" w:type="dxa"/>
              <w:bottom w:w="80" w:type="dxa"/>
              <w:end w:w="100" w:type="dxa"/>
            </w:tcMar>
          </w:tcPr>
          <w:p>
            <w:pPr>
              <w:spacing w:after="0" w:before="0" w:line="240" w:lineRule="auto"/>
            </w:pPr>
            <w:r/>
            <w:r>
              <w:rPr>
                <w:rFonts w:ascii="Liberation Sans" w:hAnsi="Liberation Sans"/>
                <w:b/>
                <w:i w:val="0"/>
                <w:color w:val="4F46E5"/>
                <w:sz w:val="16"/>
              </w:rPr>
              <w:t>Product form</w:t>
            </w:r>
          </w:p>
        </w:tc>
        <w:tc>
          <w:tcPr>
            <w:tcW w:type="dxa" w:w="3384"/>
            <w:shd w:fill="FAF9FF"/>
            <w:vAlign w:val="center"/>
            <w:tcMar>
              <w:top w:w="80" w:type="dxa"/>
              <w:start w:w="100" w:type="dxa"/>
              <w:bottom w:w="80" w:type="dxa"/>
              <w:end w:w="100" w:type="dxa"/>
            </w:tcMar>
          </w:tcPr>
          <w:p>
            <w:pPr>
              <w:spacing w:after="0" w:before="0" w:line="240" w:lineRule="auto"/>
            </w:pPr>
            <w:r/>
            <w:r>
              <w:rPr>
                <w:rFonts w:ascii="Liberation Sans" w:hAnsi="Liberation Sans"/>
                <w:b w:val="0"/>
                <w:i w:val="0"/>
                <w:color w:val="1F2937"/>
                <w:sz w:val="16"/>
              </w:rPr>
              <w:t>A casino title distributed through gaming operators.</w:t>
            </w:r>
          </w:p>
        </w:tc>
        <w:tc>
          <w:tcPr>
            <w:tcW w:type="dxa" w:w="4536"/>
            <w:shd w:fill="FAF9FF"/>
            <w:vAlign w:val="center"/>
            <w:tcMar>
              <w:top w:w="80" w:type="dxa"/>
              <w:start w:w="100" w:type="dxa"/>
              <w:bottom w:w="80" w:type="dxa"/>
              <w:end w:w="100" w:type="dxa"/>
            </w:tcMar>
          </w:tcPr>
          <w:p>
            <w:pPr>
              <w:spacing w:after="0" w:before="0" w:line="240" w:lineRule="auto"/>
            </w:pPr>
            <w:r/>
            <w:r>
              <w:rPr>
                <w:rFonts w:ascii="Liberation Sans" w:hAnsi="Liberation Sans"/>
                <w:b w:val="0"/>
                <w:i w:val="0"/>
                <w:color w:val="1F2937"/>
                <w:sz w:val="16"/>
              </w:rPr>
              <w:t>An independent live prediction platform and forecasting network.</w:t>
            </w:r>
          </w:p>
        </w:tc>
      </w:tr>
      <w:tr>
        <w:trPr>
          <w:cantSplit/>
        </w:trPr>
        <w:tc>
          <w:tcPr>
            <w:tcW w:type="dxa" w:w="1800"/>
            <w:shd w:fill="FFFFFF"/>
            <w:vAlign w:val="center"/>
            <w:tcMar>
              <w:top w:w="80" w:type="dxa"/>
              <w:start w:w="100" w:type="dxa"/>
              <w:bottom w:w="80" w:type="dxa"/>
              <w:end w:w="100" w:type="dxa"/>
            </w:tcMar>
          </w:tcPr>
          <w:p>
            <w:pPr>
              <w:spacing w:after="0" w:before="0" w:line="240" w:lineRule="auto"/>
            </w:pPr>
            <w:r/>
            <w:r>
              <w:rPr>
                <w:rFonts w:ascii="Liberation Sans" w:hAnsi="Liberation Sans"/>
                <w:b/>
                <w:i w:val="0"/>
                <w:color w:val="4F46E5"/>
                <w:sz w:val="16"/>
              </w:rPr>
              <w:t>Initial subject</w:t>
            </w:r>
          </w:p>
        </w:tc>
        <w:tc>
          <w:tcPr>
            <w:tcW w:type="dxa" w:w="3384"/>
            <w:shd w:fill="FFFFFF"/>
            <w:vAlign w:val="center"/>
            <w:tcMar>
              <w:top w:w="80" w:type="dxa"/>
              <w:start w:w="100" w:type="dxa"/>
              <w:bottom w:w="80" w:type="dxa"/>
              <w:end w:w="100" w:type="dxa"/>
            </w:tcMar>
          </w:tcPr>
          <w:p>
            <w:pPr>
              <w:spacing w:after="0" w:before="0" w:line="240" w:lineRule="auto"/>
            </w:pPr>
            <w:r/>
            <w:r>
              <w:rPr>
                <w:rFonts w:ascii="Liberation Sans" w:hAnsi="Liberation Sans"/>
                <w:b w:val="0"/>
                <w:i w:val="0"/>
                <w:color w:val="1F2937"/>
                <w:sz w:val="16"/>
              </w:rPr>
              <w:t>Rapid traffic and pedestrian count rounds from live CCTV.</w:t>
            </w:r>
          </w:p>
        </w:tc>
        <w:tc>
          <w:tcPr>
            <w:tcW w:type="dxa" w:w="4536"/>
            <w:shd w:fill="FFFFFF"/>
            <w:vAlign w:val="center"/>
            <w:tcMar>
              <w:top w:w="80" w:type="dxa"/>
              <w:start w:w="100" w:type="dxa"/>
              <w:bottom w:w="80" w:type="dxa"/>
              <w:end w:w="100" w:type="dxa"/>
            </w:tcMar>
          </w:tcPr>
          <w:p>
            <w:pPr>
              <w:spacing w:after="0" w:before="0" w:line="240" w:lineRule="auto"/>
            </w:pPr>
            <w:r/>
            <w:r>
              <w:rPr>
                <w:rFonts w:ascii="Liberation Sans" w:hAnsi="Liberation Sans"/>
                <w:b w:val="0"/>
                <w:i w:val="0"/>
                <w:color w:val="1F2937"/>
                <w:sz w:val="16"/>
              </w:rPr>
              <w:t>Traffic plus parking, queues, venue flow, logistics, weather and other measurable streams.</w:t>
            </w:r>
          </w:p>
        </w:tc>
      </w:tr>
      <w:tr>
        <w:trPr>
          <w:cantSplit/>
        </w:trPr>
        <w:tc>
          <w:tcPr>
            <w:tcW w:type="dxa" w:w="1800"/>
            <w:shd w:fill="FAF9FF"/>
            <w:vAlign w:val="center"/>
            <w:tcMar>
              <w:top w:w="80" w:type="dxa"/>
              <w:start w:w="100" w:type="dxa"/>
              <w:bottom w:w="80" w:type="dxa"/>
              <w:end w:w="100" w:type="dxa"/>
            </w:tcMar>
          </w:tcPr>
          <w:p>
            <w:pPr>
              <w:spacing w:after="0" w:before="0" w:line="240" w:lineRule="auto"/>
            </w:pPr>
            <w:r/>
            <w:r>
              <w:rPr>
                <w:rFonts w:ascii="Liberation Sans" w:hAnsi="Liberation Sans"/>
                <w:b/>
                <w:i w:val="0"/>
                <w:color w:val="4F46E5"/>
                <w:sz w:val="16"/>
              </w:rPr>
              <w:t>Market model</w:t>
            </w:r>
          </w:p>
        </w:tc>
        <w:tc>
          <w:tcPr>
            <w:tcW w:type="dxa" w:w="3384"/>
            <w:shd w:fill="FAF9FF"/>
            <w:vAlign w:val="center"/>
            <w:tcMar>
              <w:top w:w="80" w:type="dxa"/>
              <w:start w:w="100" w:type="dxa"/>
              <w:bottom w:w="80" w:type="dxa"/>
              <w:end w:w="100" w:type="dxa"/>
            </w:tcMar>
          </w:tcPr>
          <w:p>
            <w:pPr>
              <w:spacing w:after="0" w:before="0" w:line="240" w:lineRule="auto"/>
            </w:pPr>
            <w:r/>
            <w:r>
              <w:rPr>
                <w:rFonts w:ascii="Liberation Sans" w:hAnsi="Liberation Sans"/>
                <w:b w:val="0"/>
                <w:i w:val="0"/>
                <w:color w:val="1F2937"/>
                <w:sz w:val="16"/>
              </w:rPr>
              <w:t>Fixed/equal-odds game formats with operator-defined economics.</w:t>
            </w:r>
          </w:p>
        </w:tc>
        <w:tc>
          <w:tcPr>
            <w:tcW w:type="dxa" w:w="4536"/>
            <w:shd w:fill="FAF9FF"/>
            <w:vAlign w:val="center"/>
            <w:tcMar>
              <w:top w:w="80" w:type="dxa"/>
              <w:start w:w="100" w:type="dxa"/>
              <w:bottom w:w="80" w:type="dxa"/>
              <w:end w:w="100" w:type="dxa"/>
            </w:tcMar>
          </w:tcPr>
          <w:p>
            <w:pPr>
              <w:spacing w:after="0" w:before="0" w:line="240" w:lineRule="auto"/>
            </w:pPr>
            <w:r/>
            <w:r>
              <w:rPr>
                <w:rFonts w:ascii="Liberation Sans" w:hAnsi="Liberation Sans"/>
                <w:b w:val="0"/>
                <w:i w:val="0"/>
                <w:color w:val="1F2937"/>
                <w:sz w:val="16"/>
              </w:rPr>
              <w:t>Curated pooled markets first; later FPMM or signed-order exchange where liquidity supports it.</w:t>
            </w:r>
          </w:p>
        </w:tc>
      </w:tr>
      <w:tr>
        <w:trPr>
          <w:cantSplit/>
        </w:trPr>
        <w:tc>
          <w:tcPr>
            <w:tcW w:type="dxa" w:w="1800"/>
            <w:shd w:fill="FFFFFF"/>
            <w:vAlign w:val="center"/>
            <w:tcMar>
              <w:top w:w="80" w:type="dxa"/>
              <w:start w:w="100" w:type="dxa"/>
              <w:bottom w:w="80" w:type="dxa"/>
              <w:end w:w="100" w:type="dxa"/>
            </w:tcMar>
          </w:tcPr>
          <w:p>
            <w:pPr>
              <w:spacing w:after="0" w:before="0" w:line="240" w:lineRule="auto"/>
            </w:pPr>
            <w:r/>
            <w:r>
              <w:rPr>
                <w:rFonts w:ascii="Liberation Sans" w:hAnsi="Liberation Sans"/>
                <w:b/>
                <w:i w:val="0"/>
                <w:color w:val="4F46E5"/>
                <w:sz w:val="16"/>
              </w:rPr>
              <w:t>Resolution</w:t>
            </w:r>
          </w:p>
        </w:tc>
        <w:tc>
          <w:tcPr>
            <w:tcW w:type="dxa" w:w="3384"/>
            <w:shd w:fill="FFFFFF"/>
            <w:vAlign w:val="center"/>
            <w:tcMar>
              <w:top w:w="80" w:type="dxa"/>
              <w:start w:w="100" w:type="dxa"/>
              <w:bottom w:w="80" w:type="dxa"/>
              <w:end w:w="100" w:type="dxa"/>
            </w:tcMar>
          </w:tcPr>
          <w:p>
            <w:pPr>
              <w:spacing w:after="0" w:before="0" w:line="240" w:lineRule="auto"/>
            </w:pPr>
            <w:r/>
            <w:r>
              <w:rPr>
                <w:rFonts w:ascii="Liberation Sans" w:hAnsi="Liberation Sans"/>
                <w:b w:val="0"/>
                <w:i w:val="0"/>
                <w:color w:val="1F2937"/>
                <w:sz w:val="16"/>
              </w:rPr>
              <w:t>AI counting and a provably-fair verification presentation.</w:t>
            </w:r>
          </w:p>
        </w:tc>
        <w:tc>
          <w:tcPr>
            <w:tcW w:type="dxa" w:w="4536"/>
            <w:shd w:fill="FFFFFF"/>
            <w:vAlign w:val="center"/>
            <w:tcMar>
              <w:top w:w="80" w:type="dxa"/>
              <w:start w:w="100" w:type="dxa"/>
              <w:bottom w:w="80" w:type="dxa"/>
              <w:end w:w="100" w:type="dxa"/>
            </w:tcMar>
          </w:tcPr>
          <w:p>
            <w:pPr>
              <w:spacing w:after="0" w:before="0" w:line="240" w:lineRule="auto"/>
            </w:pPr>
            <w:r/>
            <w:r>
              <w:rPr>
                <w:rFonts w:ascii="Liberation Sans" w:hAnsi="Liberation Sans"/>
                <w:b w:val="0"/>
                <w:i w:val="0"/>
                <w:color w:val="1F2937"/>
                <w:sz w:val="16"/>
              </w:rPr>
              <w:t>Two-of-three signed observers, public evidence commitments, challenge handling and invalidation.</w:t>
            </w:r>
          </w:p>
        </w:tc>
      </w:tr>
      <w:tr>
        <w:trPr>
          <w:cantSplit/>
        </w:trPr>
        <w:tc>
          <w:tcPr>
            <w:tcW w:type="dxa" w:w="1800"/>
            <w:shd w:fill="FAF9FF"/>
            <w:vAlign w:val="center"/>
            <w:tcMar>
              <w:top w:w="80" w:type="dxa"/>
              <w:start w:w="100" w:type="dxa"/>
              <w:bottom w:w="80" w:type="dxa"/>
              <w:end w:w="100" w:type="dxa"/>
            </w:tcMar>
          </w:tcPr>
          <w:p>
            <w:pPr>
              <w:spacing w:after="0" w:before="0" w:line="240" w:lineRule="auto"/>
            </w:pPr>
            <w:r/>
            <w:r>
              <w:rPr>
                <w:rFonts w:ascii="Liberation Sans" w:hAnsi="Liberation Sans"/>
                <w:b/>
                <w:i w:val="0"/>
                <w:color w:val="4F46E5"/>
                <w:sz w:val="16"/>
              </w:rPr>
              <w:t>Participants</w:t>
            </w:r>
          </w:p>
        </w:tc>
        <w:tc>
          <w:tcPr>
            <w:tcW w:type="dxa" w:w="3384"/>
            <w:shd w:fill="FAF9FF"/>
            <w:vAlign w:val="center"/>
            <w:tcMar>
              <w:top w:w="80" w:type="dxa"/>
              <w:start w:w="100" w:type="dxa"/>
              <w:bottom w:w="80" w:type="dxa"/>
              <w:end w:w="100" w:type="dxa"/>
            </w:tcMar>
          </w:tcPr>
          <w:p>
            <w:pPr>
              <w:spacing w:after="0" w:before="0" w:line="240" w:lineRule="auto"/>
            </w:pPr>
            <w:r/>
            <w:r>
              <w:rPr>
                <w:rFonts w:ascii="Liberation Sans" w:hAnsi="Liberation Sans"/>
                <w:b w:val="0"/>
                <w:i w:val="0"/>
                <w:color w:val="1F2937"/>
                <w:sz w:val="16"/>
              </w:rPr>
              <w:t>Casino players in repeated short sessions.</w:t>
            </w:r>
          </w:p>
        </w:tc>
        <w:tc>
          <w:tcPr>
            <w:tcW w:type="dxa" w:w="4536"/>
            <w:shd w:fill="FAF9FF"/>
            <w:vAlign w:val="center"/>
            <w:tcMar>
              <w:top w:w="80" w:type="dxa"/>
              <w:start w:w="100" w:type="dxa"/>
              <w:bottom w:w="80" w:type="dxa"/>
              <w:end w:w="100" w:type="dxa"/>
            </w:tcMar>
          </w:tcPr>
          <w:p>
            <w:pPr>
              <w:spacing w:after="0" w:before="0" w:line="240" w:lineRule="auto"/>
            </w:pPr>
            <w:r/>
            <w:r>
              <w:rPr>
                <w:rFonts w:ascii="Liberation Sans" w:hAnsi="Liberation Sans"/>
                <w:b w:val="0"/>
                <w:i w:val="0"/>
                <w:color w:val="1F2937"/>
                <w:sz w:val="16"/>
              </w:rPr>
              <w:t>Humans, AI forecasting agents, sensor operators, sponsors and enterprise customers.</w:t>
            </w:r>
          </w:p>
        </w:tc>
      </w:tr>
      <w:tr>
        <w:trPr>
          <w:cantSplit/>
        </w:trPr>
        <w:tc>
          <w:tcPr>
            <w:tcW w:type="dxa" w:w="1800"/>
            <w:shd w:fill="FFFFFF"/>
            <w:vAlign w:val="center"/>
            <w:tcMar>
              <w:top w:w="80" w:type="dxa"/>
              <w:start w:w="100" w:type="dxa"/>
              <w:bottom w:w="80" w:type="dxa"/>
              <w:end w:w="100" w:type="dxa"/>
            </w:tcMar>
          </w:tcPr>
          <w:p>
            <w:pPr>
              <w:spacing w:after="0" w:before="0" w:line="240" w:lineRule="auto"/>
            </w:pPr>
            <w:r/>
            <w:r>
              <w:rPr>
                <w:rFonts w:ascii="Liberation Sans" w:hAnsi="Liberation Sans"/>
                <w:b/>
                <w:i w:val="0"/>
                <w:color w:val="4F46E5"/>
                <w:sz w:val="16"/>
              </w:rPr>
              <w:t>Identity and data</w:t>
            </w:r>
          </w:p>
        </w:tc>
        <w:tc>
          <w:tcPr>
            <w:tcW w:type="dxa" w:w="3384"/>
            <w:shd w:fill="FFFFFF"/>
            <w:vAlign w:val="center"/>
            <w:tcMar>
              <w:top w:w="80" w:type="dxa"/>
              <w:start w:w="100" w:type="dxa"/>
              <w:bottom w:w="80" w:type="dxa"/>
              <w:end w:w="100" w:type="dxa"/>
            </w:tcMar>
          </w:tcPr>
          <w:p>
            <w:pPr>
              <w:spacing w:after="0" w:before="0" w:line="240" w:lineRule="auto"/>
            </w:pPr>
            <w:r/>
            <w:r>
              <w:rPr>
                <w:rFonts w:ascii="Liberation Sans" w:hAnsi="Liberation Sans"/>
                <w:b w:val="0"/>
                <w:i w:val="0"/>
                <w:color w:val="1F2937"/>
                <w:sz w:val="16"/>
              </w:rPr>
              <w:t>Entertainment sessions and wagering progression.</w:t>
            </w:r>
          </w:p>
        </w:tc>
        <w:tc>
          <w:tcPr>
            <w:tcW w:type="dxa" w:w="4536"/>
            <w:shd w:fill="FFFFFF"/>
            <w:vAlign w:val="center"/>
            <w:tcMar>
              <w:top w:w="80" w:type="dxa"/>
              <w:start w:w="100" w:type="dxa"/>
              <w:bottom w:w="80" w:type="dxa"/>
              <w:end w:w="100" w:type="dxa"/>
            </w:tcMar>
          </w:tcPr>
          <w:p>
            <w:pPr>
              <w:spacing w:after="0" w:before="0" w:line="240" w:lineRule="auto"/>
            </w:pPr>
            <w:r/>
            <w:r>
              <w:rPr>
                <w:rFonts w:ascii="Liberation Sans" w:hAnsi="Liberation Sans"/>
                <w:b w:val="0"/>
                <w:i w:val="0"/>
                <w:color w:val="1F2937"/>
                <w:sz w:val="16"/>
              </w:rPr>
              <w:t>Persistent calibration, reputation, agent performance and a reusable forecast dataset.</w:t>
            </w:r>
          </w:p>
        </w:tc>
      </w:tr>
      <w:tr>
        <w:trPr>
          <w:cantSplit/>
        </w:trPr>
        <w:tc>
          <w:tcPr>
            <w:tcW w:type="dxa" w:w="1800"/>
            <w:shd w:fill="FAF9FF"/>
            <w:vAlign w:val="center"/>
            <w:tcMar>
              <w:top w:w="80" w:type="dxa"/>
              <w:start w:w="100" w:type="dxa"/>
              <w:bottom w:w="80" w:type="dxa"/>
              <w:end w:w="100" w:type="dxa"/>
            </w:tcMar>
          </w:tcPr>
          <w:p>
            <w:pPr>
              <w:spacing w:after="0" w:before="0" w:line="240" w:lineRule="auto"/>
            </w:pPr>
            <w:r/>
            <w:r>
              <w:rPr>
                <w:rFonts w:ascii="Liberation Sans" w:hAnsi="Liberation Sans"/>
                <w:b/>
                <w:i w:val="0"/>
                <w:color w:val="4F46E5"/>
                <w:sz w:val="16"/>
              </w:rPr>
              <w:t>Long-term product</w:t>
            </w:r>
          </w:p>
        </w:tc>
        <w:tc>
          <w:tcPr>
            <w:tcW w:type="dxa" w:w="3384"/>
            <w:shd w:fill="FAF9FF"/>
            <w:vAlign w:val="center"/>
            <w:tcMar>
              <w:top w:w="80" w:type="dxa"/>
              <w:start w:w="100" w:type="dxa"/>
              <w:bottom w:w="80" w:type="dxa"/>
              <w:end w:w="100" w:type="dxa"/>
            </w:tcMar>
          </w:tcPr>
          <w:p>
            <w:pPr>
              <w:spacing w:after="0" w:before="0" w:line="240" w:lineRule="auto"/>
            </w:pPr>
            <w:r/>
            <w:r>
              <w:rPr>
                <w:rFonts w:ascii="Liberation Sans" w:hAnsi="Liberation Sans"/>
                <w:b w:val="0"/>
                <w:i w:val="0"/>
                <w:color w:val="1F2937"/>
                <w:sz w:val="16"/>
              </w:rPr>
              <w:t>Real-world gaming content licensed to operators.</w:t>
            </w:r>
          </w:p>
        </w:tc>
        <w:tc>
          <w:tcPr>
            <w:tcW w:type="dxa" w:w="4536"/>
            <w:shd w:fill="FAF9FF"/>
            <w:vAlign w:val="center"/>
            <w:tcMar>
              <w:top w:w="80" w:type="dxa"/>
              <w:start w:w="100" w:type="dxa"/>
              <w:bottom w:w="80" w:type="dxa"/>
              <w:end w:w="100" w:type="dxa"/>
            </w:tcMar>
          </w:tcPr>
          <w:p>
            <w:pPr>
              <w:spacing w:after="0" w:before="0" w:line="240" w:lineRule="auto"/>
            </w:pPr>
            <w:r/>
            <w:r>
              <w:rPr>
                <w:rFonts w:ascii="Liberation Sans" w:hAnsi="Liberation Sans"/>
                <w:b w:val="0"/>
                <w:i w:val="0"/>
                <w:color w:val="1F2937"/>
                <w:sz w:val="16"/>
              </w:rPr>
              <w:t>Consumer markets plus Forecast API, operations dashboards and an observation network.</w:t>
            </w:r>
          </w:p>
        </w:tc>
      </w:tr>
    </w:tbl>
    <w:p>
      <w:pPr>
        <w:pStyle w:val="Heading2"/>
      </w:pPr>
      <w:r>
        <w:t>2.2 Adjacent benchmarks</w:t>
      </w:r>
    </w:p>
    <w:p>
      <w:pPr/>
      <w:r>
        <w:rPr>
          <w:rFonts w:ascii="Liberation Sans" w:hAnsi="Liberation Sans"/>
          <w:b w:val="0"/>
          <w:i w:val="0"/>
          <w:color w:val="1F2937"/>
          <w:sz w:val="18"/>
        </w:rPr>
        <w:t>Polymarket is the reference for crypto-native market pricing and hybrid off-chain order matching with on-chain settlement. Twitch Predictions is the reference for making a live broadcast participatory: creators define outcomes, viewers commit Channel Points and correct viewers share the pool. Kalshi and Robinhood demonstrate regulated distribution of event contracts through familiar financial interfaces. None of these alone is Scry, but together they establish the user expectations Scry must meet: instant comprehension, visible consensus, credible rules, smooth settlement and a reason to return.</w:t>
      </w:r>
    </w:p>
    <w:p>
      <w:pPr>
        <w:pStyle w:val="Heading2"/>
      </w:pPr>
      <w:r>
        <w:t>2.3 Scry’s defensible wedge</w:t>
      </w:r>
    </w:p>
    <w:p>
      <w:pPr>
        <w:pStyle w:val="ListBullet"/>
      </w:pPr>
      <w:r>
        <w:rPr>
          <w:rFonts w:ascii="Liberation Sans" w:hAnsi="Liberation Sans"/>
          <w:b w:val="0"/>
          <w:i w:val="0"/>
          <w:color w:val="1F2937"/>
          <w:sz w:val="18"/>
        </w:rPr>
        <w:t>Multi-category supply: curated live markets across traffic, parking, queues, venue flow, logistics, weather and machine activity—not one repeating traffic game.</w:t>
      </w:r>
    </w:p>
    <w:p>
      <w:pPr>
        <w:pStyle w:val="ListBullet"/>
      </w:pPr>
      <w:r>
        <w:rPr>
          <w:rFonts w:ascii="Liberation Sans" w:hAnsi="Liberation Sans"/>
          <w:b w:val="0"/>
          <w:i w:val="0"/>
          <w:color w:val="1F2937"/>
          <w:sz w:val="18"/>
        </w:rPr>
        <w:t>A true forecasting network: humans and autonomous agents submit probabilities and numerical forecasts, build calibrated records and compete by domain, horizon and location.</w:t>
      </w:r>
    </w:p>
    <w:p>
      <w:pPr>
        <w:pStyle w:val="ListBullet"/>
      </w:pPr>
      <w:r>
        <w:rPr>
          <w:rFonts w:ascii="Liberation Sans" w:hAnsi="Liberation Sans"/>
          <w:b w:val="0"/>
          <w:i w:val="0"/>
          <w:color w:val="1F2937"/>
          <w:sz w:val="18"/>
        </w:rPr>
        <w:t>Proof of Observation: multiple independent observers sign a compact result; evidence is committed publicly; low-quality observations can be challenged or invalidated.</w:t>
      </w:r>
    </w:p>
    <w:p>
      <w:pPr>
        <w:pStyle w:val="ListBullet"/>
      </w:pPr>
      <w:r>
        <w:rPr>
          <w:rFonts w:ascii="Liberation Sans" w:hAnsi="Liberation Sans"/>
          <w:b w:val="0"/>
          <w:i w:val="0"/>
          <w:color w:val="1F2937"/>
          <w:sz w:val="18"/>
        </w:rPr>
        <w:t>Persistent identity and reputation: the product remembers accuracy, calibration, specialisation and agent performance instead of treating every round as an isolated casino session.</w:t>
      </w:r>
    </w:p>
    <w:p>
      <w:pPr>
        <w:pStyle w:val="ListBullet"/>
      </w:pPr>
      <w:r>
        <w:rPr>
          <w:rFonts w:ascii="Liberation Sans" w:hAnsi="Liberation Sans"/>
          <w:b w:val="0"/>
          <w:i w:val="0"/>
          <w:color w:val="1F2937"/>
          <w:sz w:val="18"/>
        </w:rPr>
        <w:t>Enterprise intelligence: market consensus, sensor history and agent forecasts become an API and operational dashboard for venues, logistics, parking, retail and mobility teams.</w:t>
      </w:r>
    </w:p>
    <w:p>
      <w:pPr>
        <w:pStyle w:val="ListBullet"/>
      </w:pPr>
      <w:r>
        <w:rPr>
          <w:rFonts w:ascii="Liberation Sans" w:hAnsi="Liberation Sans"/>
          <w:b w:val="0"/>
          <w:i w:val="0"/>
          <w:color w:val="1F2937"/>
          <w:sz w:val="18"/>
        </w:rPr>
        <w:t>Open supply over time: authorised sensor owners and developers can contribute streams, observation adapters and forecasting agents under qualification and incentive rules.</w:t>
      </w:r>
    </w:p>
    <w:p>
      <w:pPr>
        <w:pStyle w:val="Heading2"/>
      </w:pPr>
      <w:r>
        <w:t>2.4 Positioning guardrails</w:t>
      </w:r>
    </w:p>
    <w:p>
      <w:pPr/>
      <w:r>
        <w:rPr>
          <w:rFonts w:ascii="Liberation Sans" w:hAnsi="Liberation Sans"/>
          <w:b w:val="0"/>
          <w:i w:val="0"/>
          <w:color w:val="1F2937"/>
          <w:sz w:val="18"/>
        </w:rPr>
        <w:t>Never claim that Scry invented live CCTV traffic prediction or is the first CCTV betting game. The credible claim is narrower and more valuable: Scry is building a live prediction and verification network for measurable physical-world events. Marketing should lead with the network and the live experience, not with surveillance or casino language.</w:t>
      </w:r>
    </w:p>
    <w:tbl>
      <w:tblPr>
        <w:tblW w:type="auto" w:w="0"/>
        <w:jc w:val="center"/>
        <w:tblLayout w:type="fixed"/>
        <w:tblLook w:firstColumn="1" w:firstRow="1" w:lastColumn="0" w:lastRow="0" w:noHBand="0" w:noVBand="1" w:val="04A0"/>
      </w:tblPr>
      <w:tblGrid>
        <w:gridCol w:w="230"/>
        <w:gridCol w:w="9576"/>
      </w:tblGrid>
      <w:tr>
        <w:tc>
          <w:tcPr>
            <w:tcW w:type="dxa" w:w="4917"/>
            <w:shd w:fill="6C5CE7"/>
            <w:tcMar>
              <w:top w:w="140" w:type="dxa"/>
              <w:start w:w="150" w:type="dxa"/>
              <w:bottom w:w="140" w:type="dxa"/>
              <w:end w:w="150" w:type="dxa"/>
            </w:tcMar>
            <w:vAlign w:val="center"/>
          </w:tcPr>
          <w:p/>
        </w:tc>
        <w:tc>
          <w:tcPr>
            <w:tcW w:type="dxa" w:w="4917"/>
            <w:shd w:fill="F3F2FF"/>
            <w:tcMar>
              <w:top w:w="140" w:type="dxa"/>
              <w:start w:w="150" w:type="dxa"/>
              <w:bottom w:w="140" w:type="dxa"/>
              <w:end w:w="150" w:type="dxa"/>
            </w:tcMar>
            <w:vAlign w:val="center"/>
          </w:tcPr>
          <w:p>
            <w:pPr>
              <w:spacing w:after="0"/>
            </w:pPr>
            <w:r/>
            <w:r>
              <w:rPr>
                <w:rFonts w:ascii="Liberation Sans" w:hAnsi="Liberation Sans"/>
                <w:b/>
                <w:i w:val="0"/>
                <w:color w:val="6C5CE7"/>
                <w:sz w:val="18"/>
              </w:rPr>
              <w:t xml:space="preserve">Positioning to use  </w:t>
            </w:r>
            <w:r>
              <w:rPr>
                <w:rFonts w:ascii="Liberation Sans" w:hAnsi="Liberation Sans"/>
                <w:b w:val="0"/>
                <w:i w:val="0"/>
                <w:color w:val="1F2937"/>
                <w:sz w:val="18"/>
              </w:rPr>
              <w:t>“Watch the world live. Predict what happens next.” Supporting line: “Humans and AI agents forecast real events; trusted sensors verify the result.”</w:t>
            </w:r>
          </w:p>
        </w:tc>
      </w:tr>
    </w:tbl>
    <w:p>
      <w:pPr/>
      <w:r>
        <w:rPr>
          <w:rFonts w:ascii="Liberation Sans" w:hAnsi="Liberation Sans"/>
          <w:b w:val="0"/>
          <w:i w:val="0"/>
          <w:color w:val="1F2937"/>
          <w:sz w:val="18"/>
        </w:rPr>
        <w:t>The strategic test is simple: if Rush Hour could copy a Scry feature as a new game mode in a few weeks, that feature is not the moat. The moat must accumulate across streams, observer reliability, agent reputation, historical forecast data, enterprise integrations and trusted settlement history.</w:t>
      </w:r>
    </w:p>
    <w:p>
      <w:pPr>
        <w:pStyle w:val="Heading1"/>
        <w:keepNext/>
      </w:pPr>
      <w:r>
        <w:t>3. Live product experience</w:t>
      </w:r>
    </w:p>
    <w:p>
      <w:r>
        <w:drawing>
          <wp:inline xmlns:a="http://schemas.openxmlformats.org/drawingml/2006/main" xmlns:pic="http://schemas.openxmlformats.org/drawingml/2006/picture">
            <wp:extent cx="6172200" cy="2468880"/>
            <wp:docPr id="1" name="Picture 1" descr="Five-step Scry live-market loop: watch live, make a call, see consensus, observe the result, then verify and settle." title="Five-step Scry live-market loop"/>
            <wp:cNvGraphicFramePr>
              <a:graphicFrameLocks noChangeAspect="1"/>
            </wp:cNvGraphicFramePr>
            <a:graphic>
              <a:graphicData uri="http://schemas.openxmlformats.org/drawingml/2006/picture">
                <pic:pic>
                  <pic:nvPicPr>
                    <pic:cNvPr id="0" name="product_loop.png"/>
                    <pic:cNvPicPr/>
                  </pic:nvPicPr>
                  <pic:blipFill>
                    <a:blip r:embed="rId11"/>
                    <a:stretch>
                      <a:fillRect/>
                    </a:stretch>
                  </pic:blipFill>
                  <pic:spPr>
                    <a:xfrm>
                      <a:off x="0" y="0"/>
                      <a:ext cx="6172200" cy="2468880"/>
                    </a:xfrm>
                    <a:prstGeom prst="rect"/>
                  </pic:spPr>
                </pic:pic>
              </a:graphicData>
            </a:graphic>
          </wp:inline>
        </w:drawing>
      </w:r>
    </w:p>
    <w:p>
      <w:pPr>
        <w:jc w:val="center"/>
      </w:pPr>
      <w:r>
        <w:rPr>
          <w:rFonts w:ascii="Liberation Sans" w:hAnsi="Liberation Sans"/>
          <w:i/>
          <w:color w:val="667085"/>
          <w:sz w:val="16"/>
        </w:rPr>
        <w:t>Figure 1. The complete watch–predict–observe–verify loop.</w:t>
      </w:r>
    </w:p>
    <w:p>
      <w:pPr>
        <w:pStyle w:val="Heading2"/>
        <w:keepNext/>
      </w:pPr>
      <w:r>
        <w:t>3.1 Home: Live Now</w:t>
      </w:r>
    </w:p>
    <w:p>
      <w:pPr>
        <w:spacing w:after="140" w:line="269" w:lineRule="auto"/>
      </w:pPr>
      <w:r>
        <w:t>The home feed should prioritize markets with strong visual motion, meaningful uncertainty and reliable streams. It should also communicate category breadth immediately: a new visitor must see that Scry is not only traffic counting. Cards show the stream, question, current probability, observation countdown, pool size, Scry AI forecast and a clear Live / Open / Observing / Resolving state.</w:t>
      </w:r>
    </w:p>
    <w:p>
      <w:pPr>
        <w:pStyle w:val="Heading2"/>
        <w:keepNext/>
      </w:pPr>
      <w:r>
        <w:t>3.2 Live room</w:t>
      </w:r>
    </w:p>
    <w:tbl>
      <w:tblPr>
        <w:tblStyle w:val="TableGrid"/>
        <w:tblW w:type="auto" w:w="0"/>
        <w:jc w:val="center"/>
        <w:tblLayout w:type="fixed"/>
        <w:tblLook w:firstColumn="1" w:firstRow="1" w:lastColumn="0" w:lastRow="0" w:noHBand="0" w:noVBand="1" w:val="04A0"/>
      </w:tblPr>
      <w:tblGrid>
        <w:gridCol w:w="4917"/>
        <w:gridCol w:w="4917"/>
      </w:tblGrid>
      <w:tr>
        <w:trPr>
          <w:tblHeader w:val="true"/>
          <w:cantSplit/>
        </w:trPr>
        <w:tc>
          <w:tcPr>
            <w:tcW w:type="dxa" w:w="1800"/>
            <w:shd w:fill="171A3A"/>
            <w:tcMar>
              <w:top w:w="100" w:type="dxa"/>
              <w:start w:w="100" w:type="dxa"/>
              <w:bottom w:w="100" w:type="dxa"/>
              <w:end w:w="100" w:type="dxa"/>
            </w:tcMar>
            <w:vAlign w:val="center"/>
          </w:tcPr>
          <w:p>
            <w:pPr>
              <w:jc w:val="center"/>
            </w:pPr>
            <w:r>
              <w:rPr>
                <w:rFonts w:ascii="Liberation Sans" w:hAnsi="Liberation Sans"/>
                <w:b/>
                <w:color w:val="FFFFFF"/>
                <w:sz w:val="17"/>
              </w:rPr>
              <w:t>Region</w:t>
            </w:r>
          </w:p>
        </w:tc>
        <w:tc>
          <w:tcPr>
            <w:tcW w:type="dxa" w:w="7343"/>
            <w:shd w:fill="171A3A"/>
            <w:tcMar>
              <w:top w:w="100" w:type="dxa"/>
              <w:start w:w="100" w:type="dxa"/>
              <w:bottom w:w="100" w:type="dxa"/>
              <w:end w:w="100" w:type="dxa"/>
            </w:tcMar>
            <w:vAlign w:val="center"/>
          </w:tcPr>
          <w:p>
            <w:pPr>
              <w:jc w:val="center"/>
            </w:pPr>
            <w:r>
              <w:rPr>
                <w:rFonts w:ascii="Liberation Sans" w:hAnsi="Liberation Sans"/>
                <w:b/>
                <w:color w:val="FFFFFF"/>
                <w:sz w:val="17"/>
              </w:rPr>
              <w:t>Primary contents</w:t>
            </w:r>
          </w:p>
        </w:tc>
      </w:tr>
      <w:tr>
        <w:trPr>
          <w:cantSplit/>
        </w:trPr>
        <w:tc>
          <w:tcPr>
            <w:tcW w:type="dxa" w:w="1800"/>
            <w:tcMar>
              <w:top w:w="90" w:type="dxa"/>
              <w:start w:w="100" w:type="dxa"/>
              <w:bottom w:w="90" w:type="dxa"/>
              <w:end w:w="100" w:type="dxa"/>
            </w:tcMar>
            <w:vAlign w:val="top"/>
          </w:tcPr>
          <w:p>
            <w:r>
              <w:rPr>
                <w:rFonts w:ascii="Liberation Sans" w:hAnsi="Liberation Sans"/>
                <w:color w:val="171A3A"/>
                <w:sz w:val="17"/>
              </w:rPr>
              <w:t>Video</w:t>
            </w:r>
          </w:p>
        </w:tc>
        <w:tc>
          <w:tcPr>
            <w:tcW w:type="dxa" w:w="7343"/>
            <w:tcMar>
              <w:top w:w="90" w:type="dxa"/>
              <w:start w:w="100" w:type="dxa"/>
              <w:bottom w:w="90" w:type="dxa"/>
              <w:end w:w="100" w:type="dxa"/>
            </w:tcMar>
            <w:vAlign w:val="top"/>
          </w:tcPr>
          <w:p>
            <w:r>
              <w:rPr>
                <w:rFonts w:ascii="Liberation Sans" w:hAnsi="Liberation Sans"/>
                <w:color w:val="171A3A"/>
                <w:sz w:val="17"/>
              </w:rPr>
              <w:t>Anonymized low-latency stream with count overlays and stream-health indicator</w:t>
            </w:r>
          </w:p>
        </w:tc>
      </w:tr>
      <w:tr>
        <w:trPr>
          <w:cantSplit/>
        </w:trPr>
        <w:tc>
          <w:tcPr>
            <w:tcW w:type="dxa" w:w="1800"/>
            <w:tcMar>
              <w:top w:w="90" w:type="dxa"/>
              <w:start w:w="100" w:type="dxa"/>
              <w:bottom w:w="90" w:type="dxa"/>
              <w:end w:w="100" w:type="dxa"/>
            </w:tcMar>
            <w:vAlign w:val="top"/>
            <w:shd w:fill="F8F9FC"/>
          </w:tcPr>
          <w:p>
            <w:r>
              <w:rPr>
                <w:rFonts w:ascii="Liberation Sans" w:hAnsi="Liberation Sans"/>
                <w:color w:val="171A3A"/>
                <w:sz w:val="17"/>
              </w:rPr>
              <w:t>Market</w:t>
            </w:r>
          </w:p>
        </w:tc>
        <w:tc>
          <w:tcPr>
            <w:tcW w:type="dxa" w:w="7343"/>
            <w:tcMar>
              <w:top w:w="90" w:type="dxa"/>
              <w:start w:w="100" w:type="dxa"/>
              <w:bottom w:w="90" w:type="dxa"/>
              <w:end w:w="100" w:type="dxa"/>
            </w:tcMar>
            <w:vAlign w:val="top"/>
            <w:shd w:fill="F8F9FC"/>
          </w:tcPr>
          <w:p>
            <w:r>
              <w:rPr>
                <w:rFonts w:ascii="Liberation Sans" w:hAnsi="Liberation Sans"/>
                <w:color w:val="171A3A"/>
                <w:sz w:val="17"/>
              </w:rPr>
              <w:t>Question, outcomes, implied probabilities, liquidity, lock time and maximum position</w:t>
            </w:r>
          </w:p>
        </w:tc>
      </w:tr>
      <w:tr>
        <w:trPr>
          <w:cantSplit/>
        </w:trPr>
        <w:tc>
          <w:tcPr>
            <w:tcW w:type="dxa" w:w="1800"/>
            <w:tcMar>
              <w:top w:w="90" w:type="dxa"/>
              <w:start w:w="100" w:type="dxa"/>
              <w:bottom w:w="90" w:type="dxa"/>
              <w:end w:w="100" w:type="dxa"/>
            </w:tcMar>
            <w:vAlign w:val="top"/>
          </w:tcPr>
          <w:p>
            <w:r>
              <w:rPr>
                <w:rFonts w:ascii="Liberation Sans" w:hAnsi="Liberation Sans"/>
                <w:color w:val="171A3A"/>
                <w:sz w:val="17"/>
              </w:rPr>
              <w:t>Forecast panel</w:t>
            </w:r>
          </w:p>
        </w:tc>
        <w:tc>
          <w:tcPr>
            <w:tcW w:type="dxa" w:w="7343"/>
            <w:tcMar>
              <w:top w:w="90" w:type="dxa"/>
              <w:start w:w="100" w:type="dxa"/>
              <w:bottom w:w="90" w:type="dxa"/>
              <w:end w:w="100" w:type="dxa"/>
            </w:tcMar>
            <w:vAlign w:val="top"/>
          </w:tcPr>
          <w:p>
            <w:r>
              <w:rPr>
                <w:rFonts w:ascii="Liberation Sans" w:hAnsi="Liberation Sans"/>
                <w:color w:val="171A3A"/>
                <w:sz w:val="17"/>
              </w:rPr>
              <w:t>Scry AI, community consensus and top calibrated forecasters</w:t>
            </w:r>
          </w:p>
        </w:tc>
      </w:tr>
      <w:tr>
        <w:trPr>
          <w:cantSplit/>
        </w:trPr>
        <w:tc>
          <w:tcPr>
            <w:tcW w:type="dxa" w:w="1800"/>
            <w:tcMar>
              <w:top w:w="90" w:type="dxa"/>
              <w:start w:w="100" w:type="dxa"/>
              <w:bottom w:w="90" w:type="dxa"/>
              <w:end w:w="100" w:type="dxa"/>
            </w:tcMar>
            <w:vAlign w:val="top"/>
            <w:shd w:fill="F8F9FC"/>
          </w:tcPr>
          <w:p>
            <w:r>
              <w:rPr>
                <w:rFonts w:ascii="Liberation Sans" w:hAnsi="Liberation Sans"/>
                <w:color w:val="171A3A"/>
                <w:sz w:val="17"/>
              </w:rPr>
              <w:t>Context</w:t>
            </w:r>
          </w:p>
        </w:tc>
        <w:tc>
          <w:tcPr>
            <w:tcW w:type="dxa" w:w="7343"/>
            <w:tcMar>
              <w:top w:w="90" w:type="dxa"/>
              <w:start w:w="100" w:type="dxa"/>
              <w:bottom w:w="90" w:type="dxa"/>
              <w:end w:w="100" w:type="dxa"/>
            </w:tcMar>
            <w:vAlign w:val="top"/>
            <w:shd w:fill="F8F9FC"/>
          </w:tcPr>
          <w:p>
            <w:r>
              <w:rPr>
                <w:rFonts w:ascii="Liberation Sans" w:hAnsi="Liberation Sans"/>
                <w:color w:val="171A3A"/>
                <w:sz w:val="17"/>
              </w:rPr>
              <w:t>Historical baseline, current rate, weather/event context and market rules</w:t>
            </w:r>
          </w:p>
        </w:tc>
      </w:tr>
      <w:tr>
        <w:trPr>
          <w:cantSplit/>
        </w:trPr>
        <w:tc>
          <w:tcPr>
            <w:tcW w:type="dxa" w:w="1800"/>
            <w:tcMar>
              <w:top w:w="90" w:type="dxa"/>
              <w:start w:w="100" w:type="dxa"/>
              <w:bottom w:w="90" w:type="dxa"/>
              <w:end w:w="100" w:type="dxa"/>
            </w:tcMar>
            <w:vAlign w:val="top"/>
          </w:tcPr>
          <w:p>
            <w:r>
              <w:rPr>
                <w:rFonts w:ascii="Liberation Sans" w:hAnsi="Liberation Sans"/>
                <w:color w:val="171A3A"/>
                <w:sz w:val="17"/>
              </w:rPr>
              <w:t>Social</w:t>
            </w:r>
          </w:p>
        </w:tc>
        <w:tc>
          <w:tcPr>
            <w:tcW w:type="dxa" w:w="7343"/>
            <w:tcMar>
              <w:top w:w="90" w:type="dxa"/>
              <w:start w:w="100" w:type="dxa"/>
              <w:bottom w:w="90" w:type="dxa"/>
              <w:end w:w="100" w:type="dxa"/>
            </w:tcMar>
            <w:vAlign w:val="top"/>
          </w:tcPr>
          <w:p>
            <w:r>
              <w:rPr>
                <w:rFonts w:ascii="Liberation Sans" w:hAnsi="Liberation Sans"/>
                <w:color w:val="171A3A"/>
                <w:sz w:val="17"/>
              </w:rPr>
              <w:t>Chat, reactions, prediction streaks and room leaderboard</w:t>
            </w:r>
          </w:p>
        </w:tc>
      </w:tr>
      <w:tr>
        <w:trPr>
          <w:cantSplit/>
        </w:trPr>
        <w:tc>
          <w:tcPr>
            <w:tcW w:type="dxa" w:w="1800"/>
            <w:tcMar>
              <w:top w:w="90" w:type="dxa"/>
              <w:start w:w="100" w:type="dxa"/>
              <w:bottom w:w="90" w:type="dxa"/>
              <w:end w:w="100" w:type="dxa"/>
            </w:tcMar>
            <w:vAlign w:val="top"/>
            <w:shd w:fill="F8F9FC"/>
          </w:tcPr>
          <w:p>
            <w:r>
              <w:rPr>
                <w:rFonts w:ascii="Liberation Sans" w:hAnsi="Liberation Sans"/>
                <w:color w:val="171A3A"/>
                <w:sz w:val="17"/>
              </w:rPr>
              <w:t>Trust</w:t>
            </w:r>
          </w:p>
        </w:tc>
        <w:tc>
          <w:tcPr>
            <w:tcW w:type="dxa" w:w="7343"/>
            <w:tcMar>
              <w:top w:w="90" w:type="dxa"/>
              <w:start w:w="100" w:type="dxa"/>
              <w:bottom w:w="90" w:type="dxa"/>
              <w:end w:w="100" w:type="dxa"/>
            </w:tcMar>
            <w:vAlign w:val="top"/>
            <w:shd w:fill="F8F9FC"/>
          </w:tcPr>
          <w:p>
            <w:r>
              <w:rPr>
                <w:rFonts w:ascii="Liberation Sans" w:hAnsi="Liberation Sans"/>
                <w:color w:val="171A3A"/>
                <w:sz w:val="17"/>
              </w:rPr>
              <w:t>Observer status, evidence policy and link to the final Proof-of-Observation page</w:t>
            </w:r>
          </w:p>
        </w:tc>
      </w:tr>
    </w:tbl>
    <w:p>
      <w:pPr>
        <w:spacing w:after="0"/>
      </w:pPr>
    </w:p>
    <w:p>
      <w:pPr>
        <w:pStyle w:val="Heading2"/>
        <w:keepNext/>
      </w:pPr>
      <w:r>
        <w:t>3.3 Market formats</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1800"/>
            <w:shd w:fill="171A3A"/>
            <w:tcMar>
              <w:top w:w="100" w:type="dxa"/>
              <w:start w:w="100" w:type="dxa"/>
              <w:bottom w:w="100" w:type="dxa"/>
              <w:end w:w="100" w:type="dxa"/>
            </w:tcMar>
            <w:vAlign w:val="center"/>
          </w:tcPr>
          <w:p>
            <w:pPr>
              <w:jc w:val="center"/>
            </w:pPr>
            <w:r>
              <w:rPr>
                <w:rFonts w:ascii="Liberation Sans" w:hAnsi="Liberation Sans"/>
                <w:b/>
                <w:color w:val="FFFFFF"/>
                <w:sz w:val="16"/>
              </w:rPr>
              <w:t>Format</w:t>
            </w:r>
          </w:p>
        </w:tc>
        <w:tc>
          <w:tcPr>
            <w:tcW w:type="dxa" w:w="4464"/>
            <w:shd w:fill="171A3A"/>
            <w:tcMar>
              <w:top w:w="100" w:type="dxa"/>
              <w:start w:w="100" w:type="dxa"/>
              <w:bottom w:w="100" w:type="dxa"/>
              <w:end w:w="100" w:type="dxa"/>
            </w:tcMar>
            <w:vAlign w:val="center"/>
          </w:tcPr>
          <w:p>
            <w:pPr>
              <w:jc w:val="center"/>
            </w:pPr>
            <w:r>
              <w:rPr>
                <w:rFonts w:ascii="Liberation Sans" w:hAnsi="Liberation Sans"/>
                <w:b/>
                <w:color w:val="FFFFFF"/>
                <w:sz w:val="16"/>
              </w:rPr>
              <w:t>Example</w:t>
            </w:r>
          </w:p>
        </w:tc>
        <w:tc>
          <w:tcPr>
            <w:tcW w:type="dxa" w:w="2880"/>
            <w:shd w:fill="171A3A"/>
            <w:tcMar>
              <w:top w:w="100" w:type="dxa"/>
              <w:start w:w="100" w:type="dxa"/>
              <w:bottom w:w="100" w:type="dxa"/>
              <w:end w:w="100" w:type="dxa"/>
            </w:tcMar>
            <w:vAlign w:val="center"/>
          </w:tcPr>
          <w:p>
            <w:pPr>
              <w:jc w:val="center"/>
            </w:pPr>
            <w:r>
              <w:rPr>
                <w:rFonts w:ascii="Liberation Sans" w:hAnsi="Liberation Sans"/>
                <w:b/>
                <w:color w:val="FFFFFF"/>
                <w:sz w:val="16"/>
              </w:rPr>
              <w:t>Best use</w:t>
            </w:r>
          </w:p>
        </w:tc>
      </w:tr>
      <w:tr>
        <w:trPr>
          <w:cantSplit/>
        </w:trPr>
        <w:tc>
          <w:tcPr>
            <w:tcW w:type="dxa" w:w="1800"/>
            <w:tcMar>
              <w:top w:w="90" w:type="dxa"/>
              <w:start w:w="100" w:type="dxa"/>
              <w:bottom w:w="90" w:type="dxa"/>
              <w:end w:w="100" w:type="dxa"/>
            </w:tcMar>
            <w:vAlign w:val="top"/>
          </w:tcPr>
          <w:p>
            <w:r>
              <w:rPr>
                <w:rFonts w:ascii="Liberation Sans" w:hAnsi="Liberation Sans"/>
                <w:color w:val="171A3A"/>
                <w:sz w:val="16"/>
              </w:rPr>
              <w:t>Binary threshold</w:t>
            </w:r>
          </w:p>
        </w:tc>
        <w:tc>
          <w:tcPr>
            <w:tcW w:type="dxa" w:w="4464"/>
            <w:tcMar>
              <w:top w:w="90" w:type="dxa"/>
              <w:start w:w="100" w:type="dxa"/>
              <w:bottom w:w="90" w:type="dxa"/>
              <w:end w:w="100" w:type="dxa"/>
            </w:tcMar>
            <w:vAlign w:val="top"/>
          </w:tcPr>
          <w:p>
            <w:r>
              <w:rPr>
                <w:rFonts w:ascii="Liberation Sans" w:hAnsi="Liberation Sans"/>
                <w:color w:val="171A3A"/>
                <w:sz w:val="16"/>
              </w:rPr>
              <w:t>Will more than 180 vehicles pass in the next 10 minutes?</w:t>
            </w:r>
          </w:p>
        </w:tc>
        <w:tc>
          <w:tcPr>
            <w:tcW w:type="dxa" w:w="2880"/>
            <w:tcMar>
              <w:top w:w="90" w:type="dxa"/>
              <w:start w:w="100" w:type="dxa"/>
              <w:bottom w:w="90" w:type="dxa"/>
              <w:end w:w="100" w:type="dxa"/>
            </w:tcMar>
            <w:vAlign w:val="top"/>
          </w:tcPr>
          <w:p>
            <w:r>
              <w:rPr>
                <w:rFonts w:ascii="Liberation Sans" w:hAnsi="Liberation Sans"/>
                <w:color w:val="171A3A"/>
                <w:sz w:val="16"/>
              </w:rPr>
              <w:t>Fast, understandable participation</w:t>
            </w:r>
          </w:p>
        </w:tc>
      </w:tr>
      <w:tr>
        <w:trPr>
          <w:cantSplit/>
        </w:trPr>
        <w:tc>
          <w:tcPr>
            <w:tcW w:type="dxa" w:w="1800"/>
            <w:tcMar>
              <w:top w:w="90" w:type="dxa"/>
              <w:start w:w="100" w:type="dxa"/>
              <w:bottom w:w="90" w:type="dxa"/>
              <w:end w:w="100" w:type="dxa"/>
            </w:tcMar>
            <w:vAlign w:val="top"/>
            <w:shd w:fill="F8F9FC"/>
          </w:tcPr>
          <w:p>
            <w:r>
              <w:rPr>
                <w:rFonts w:ascii="Liberation Sans" w:hAnsi="Liberation Sans"/>
                <w:color w:val="171A3A"/>
                <w:sz w:val="16"/>
              </w:rPr>
              <w:t>Range</w:t>
            </w:r>
          </w:p>
        </w:tc>
        <w:tc>
          <w:tcPr>
            <w:tcW w:type="dxa" w:w="4464"/>
            <w:tcMar>
              <w:top w:w="90" w:type="dxa"/>
              <w:start w:w="100" w:type="dxa"/>
              <w:bottom w:w="90" w:type="dxa"/>
              <w:end w:w="100" w:type="dxa"/>
            </w:tcMar>
            <w:vAlign w:val="top"/>
            <w:shd w:fill="F8F9FC"/>
          </w:tcPr>
          <w:p>
            <w:r>
              <w:rPr>
                <w:rFonts w:ascii="Liberation Sans" w:hAnsi="Liberation Sans"/>
                <w:color w:val="171A3A"/>
                <w:sz w:val="16"/>
              </w:rPr>
              <w:t>Below 150 / 150–175 / 176–200 / above 200</w:t>
            </w:r>
          </w:p>
        </w:tc>
        <w:tc>
          <w:tcPr>
            <w:tcW w:type="dxa" w:w="2880"/>
            <w:tcMar>
              <w:top w:w="90" w:type="dxa"/>
              <w:start w:w="100" w:type="dxa"/>
              <w:bottom w:w="90" w:type="dxa"/>
              <w:end w:w="100" w:type="dxa"/>
            </w:tcMar>
            <w:vAlign w:val="top"/>
            <w:shd w:fill="F8F9FC"/>
          </w:tcPr>
          <w:p>
            <w:r>
              <w:rPr>
                <w:rFonts w:ascii="Liberation Sans" w:hAnsi="Liberation Sans"/>
                <w:color w:val="171A3A"/>
                <w:sz w:val="16"/>
              </w:rPr>
              <w:t>Natural multi-outcome market</w:t>
            </w:r>
          </w:p>
        </w:tc>
      </w:tr>
      <w:tr>
        <w:trPr>
          <w:cantSplit/>
        </w:trPr>
        <w:tc>
          <w:tcPr>
            <w:tcW w:type="dxa" w:w="1800"/>
            <w:tcMar>
              <w:top w:w="90" w:type="dxa"/>
              <w:start w:w="100" w:type="dxa"/>
              <w:bottom w:w="90" w:type="dxa"/>
              <w:end w:w="100" w:type="dxa"/>
            </w:tcMar>
            <w:vAlign w:val="top"/>
          </w:tcPr>
          <w:p>
            <w:r>
              <w:rPr>
                <w:rFonts w:ascii="Liberation Sans" w:hAnsi="Liberation Sans"/>
                <w:color w:val="171A3A"/>
                <w:sz w:val="16"/>
              </w:rPr>
              <w:t>Head-to-head</w:t>
            </w:r>
          </w:p>
        </w:tc>
        <w:tc>
          <w:tcPr>
            <w:tcW w:type="dxa" w:w="4464"/>
            <w:tcMar>
              <w:top w:w="90" w:type="dxa"/>
              <w:start w:w="100" w:type="dxa"/>
              <w:bottom w:w="90" w:type="dxa"/>
              <w:end w:w="100" w:type="dxa"/>
            </w:tcMar>
            <w:vAlign w:val="top"/>
          </w:tcPr>
          <w:p>
            <w:r>
              <w:rPr>
                <w:rFonts w:ascii="Liberation Sans" w:hAnsi="Liberation Sans"/>
                <w:color w:val="171A3A"/>
                <w:sz w:val="16"/>
              </w:rPr>
              <w:t>Which gate receives more entries?</w:t>
            </w:r>
          </w:p>
        </w:tc>
        <w:tc>
          <w:tcPr>
            <w:tcW w:type="dxa" w:w="2880"/>
            <w:tcMar>
              <w:top w:w="90" w:type="dxa"/>
              <w:start w:w="100" w:type="dxa"/>
              <w:bottom w:w="90" w:type="dxa"/>
              <w:end w:w="100" w:type="dxa"/>
            </w:tcMar>
            <w:vAlign w:val="top"/>
          </w:tcPr>
          <w:p>
            <w:r>
              <w:rPr>
                <w:rFonts w:ascii="Liberation Sans" w:hAnsi="Liberation Sans"/>
                <w:color w:val="171A3A"/>
                <w:sz w:val="16"/>
              </w:rPr>
              <w:t>Visually entertaining comparison</w:t>
            </w:r>
          </w:p>
        </w:tc>
      </w:tr>
      <w:tr>
        <w:trPr>
          <w:cantSplit/>
        </w:trPr>
        <w:tc>
          <w:tcPr>
            <w:tcW w:type="dxa" w:w="1800"/>
            <w:tcMar>
              <w:top w:w="90" w:type="dxa"/>
              <w:start w:w="100" w:type="dxa"/>
              <w:bottom w:w="90" w:type="dxa"/>
              <w:end w:w="100" w:type="dxa"/>
            </w:tcMar>
            <w:vAlign w:val="top"/>
            <w:shd w:fill="F8F9FC"/>
          </w:tcPr>
          <w:p>
            <w:r>
              <w:rPr>
                <w:rFonts w:ascii="Liberation Sans" w:hAnsi="Liberation Sans"/>
                <w:color w:val="171A3A"/>
                <w:sz w:val="16"/>
              </w:rPr>
              <w:t>First-to-happen</w:t>
            </w:r>
          </w:p>
        </w:tc>
        <w:tc>
          <w:tcPr>
            <w:tcW w:type="dxa" w:w="4464"/>
            <w:tcMar>
              <w:top w:w="90" w:type="dxa"/>
              <w:start w:w="100" w:type="dxa"/>
              <w:bottom w:w="90" w:type="dxa"/>
              <w:end w:w="100" w:type="dxa"/>
            </w:tcMar>
            <w:vAlign w:val="top"/>
            <w:shd w:fill="F8F9FC"/>
          </w:tcPr>
          <w:p>
            <w:r>
              <w:rPr>
                <w:rFonts w:ascii="Liberation Sans" w:hAnsi="Liberation Sans"/>
                <w:color w:val="171A3A"/>
                <w:sz w:val="16"/>
              </w:rPr>
              <w:t>Parking fills, rain begins or neither</w:t>
            </w:r>
          </w:p>
        </w:tc>
        <w:tc>
          <w:tcPr>
            <w:tcW w:type="dxa" w:w="2880"/>
            <w:tcMar>
              <w:top w:w="90" w:type="dxa"/>
              <w:start w:w="100" w:type="dxa"/>
              <w:bottom w:w="90" w:type="dxa"/>
              <w:end w:w="100" w:type="dxa"/>
            </w:tcMar>
            <w:vAlign w:val="top"/>
            <w:shd w:fill="F8F9FC"/>
          </w:tcPr>
          <w:p>
            <w:r>
              <w:rPr>
                <w:rFonts w:ascii="Liberation Sans" w:hAnsi="Liberation Sans"/>
                <w:color w:val="171A3A"/>
                <w:sz w:val="16"/>
              </w:rPr>
              <w:t>Event-driven rooms</w:t>
            </w:r>
          </w:p>
        </w:tc>
      </w:tr>
      <w:tr>
        <w:trPr>
          <w:cantSplit/>
        </w:trPr>
        <w:tc>
          <w:tcPr>
            <w:tcW w:type="dxa" w:w="1800"/>
            <w:tcMar>
              <w:top w:w="90" w:type="dxa"/>
              <w:start w:w="100" w:type="dxa"/>
              <w:bottom w:w="90" w:type="dxa"/>
              <w:end w:w="100" w:type="dxa"/>
            </w:tcMar>
            <w:vAlign w:val="top"/>
          </w:tcPr>
          <w:p>
            <w:r>
              <w:rPr>
                <w:rFonts w:ascii="Liberation Sans" w:hAnsi="Liberation Sans"/>
                <w:color w:val="171A3A"/>
                <w:sz w:val="16"/>
              </w:rPr>
              <w:t>Peak-time</w:t>
            </w:r>
          </w:p>
        </w:tc>
        <w:tc>
          <w:tcPr>
            <w:tcW w:type="dxa" w:w="4464"/>
            <w:tcMar>
              <w:top w:w="90" w:type="dxa"/>
              <w:start w:w="100" w:type="dxa"/>
              <w:bottom w:w="90" w:type="dxa"/>
              <w:end w:w="100" w:type="dxa"/>
            </w:tcMar>
            <w:vAlign w:val="top"/>
          </w:tcPr>
          <w:p>
            <w:r>
              <w:rPr>
                <w:rFonts w:ascii="Liberation Sans" w:hAnsi="Liberation Sans"/>
                <w:color w:val="171A3A"/>
                <w:sz w:val="16"/>
              </w:rPr>
              <w:t>Which five-minute interval will be busiest?</w:t>
            </w:r>
          </w:p>
        </w:tc>
        <w:tc>
          <w:tcPr>
            <w:tcW w:type="dxa" w:w="2880"/>
            <w:tcMar>
              <w:top w:w="90" w:type="dxa"/>
              <w:start w:w="100" w:type="dxa"/>
              <w:bottom w:w="90" w:type="dxa"/>
              <w:end w:w="100" w:type="dxa"/>
            </w:tcMar>
            <w:vAlign w:val="top"/>
          </w:tcPr>
          <w:p>
            <w:r>
              <w:rPr>
                <w:rFonts w:ascii="Liberation Sans" w:hAnsi="Liberation Sans"/>
                <w:color w:val="171A3A"/>
                <w:sz w:val="16"/>
              </w:rPr>
              <w:t>Longer live sessions</w:t>
            </w:r>
          </w:p>
        </w:tc>
      </w:tr>
      <w:tr>
        <w:trPr>
          <w:cantSplit/>
        </w:trPr>
        <w:tc>
          <w:tcPr>
            <w:tcW w:type="dxa" w:w="1800"/>
            <w:tcMar>
              <w:top w:w="90" w:type="dxa"/>
              <w:start w:w="100" w:type="dxa"/>
              <w:bottom w:w="90" w:type="dxa"/>
              <w:end w:w="100" w:type="dxa"/>
            </w:tcMar>
            <w:vAlign w:val="top"/>
            <w:shd w:fill="F8F9FC"/>
          </w:tcPr>
          <w:p>
            <w:r>
              <w:rPr>
                <w:rFonts w:ascii="Liberation Sans" w:hAnsi="Liberation Sans"/>
                <w:color w:val="171A3A"/>
                <w:sz w:val="16"/>
              </w:rPr>
              <w:t>Exact forecast</w:t>
            </w:r>
          </w:p>
        </w:tc>
        <w:tc>
          <w:tcPr>
            <w:tcW w:type="dxa" w:w="4464"/>
            <w:tcMar>
              <w:top w:w="90" w:type="dxa"/>
              <w:start w:w="100" w:type="dxa"/>
              <w:bottom w:w="90" w:type="dxa"/>
              <w:end w:w="100" w:type="dxa"/>
            </w:tcMar>
            <w:vAlign w:val="top"/>
            <w:shd w:fill="F8F9FC"/>
          </w:tcPr>
          <w:p>
            <w:r>
              <w:rPr>
                <w:rFonts w:ascii="Liberation Sans" w:hAnsi="Liberation Sans"/>
                <w:color w:val="171A3A"/>
                <w:sz w:val="16"/>
              </w:rPr>
              <w:t>Predict the final count</w:t>
            </w:r>
          </w:p>
        </w:tc>
        <w:tc>
          <w:tcPr>
            <w:tcW w:type="dxa" w:w="2880"/>
            <w:tcMar>
              <w:top w:w="90" w:type="dxa"/>
              <w:start w:w="100" w:type="dxa"/>
              <w:bottom w:w="90" w:type="dxa"/>
              <w:end w:w="100" w:type="dxa"/>
            </w:tcMar>
            <w:vAlign w:val="top"/>
            <w:shd w:fill="F8F9FC"/>
          </w:tcPr>
          <w:p>
            <w:r>
              <w:rPr>
                <w:rFonts w:ascii="Liberation Sans" w:hAnsi="Liberation Sans"/>
                <w:color w:val="171A3A"/>
                <w:sz w:val="16"/>
              </w:rPr>
              <w:t>Leaderboards and agent competitions, not the main money market</w:t>
            </w:r>
          </w:p>
        </w:tc>
      </w:tr>
    </w:tbl>
    <w:p>
      <w:pPr>
        <w:spacing w:after="0"/>
      </w:pPr>
    </w:p>
    <w:p>
      <w:pPr>
        <w:pStyle w:val="Heading2"/>
        <w:keepNext/>
      </w:pPr>
      <w:r>
        <w:t>3.4 Engagement without dark patterns</w:t>
      </w:r>
    </w:p>
    <w:p>
      <w:pPr>
        <w:spacing w:after="140" w:line="269" w:lineRule="auto"/>
      </w:pPr>
      <w:r>
        <w:rPr>
          <w:rFonts w:ascii="Liberation Sans" w:hAnsi="Liberation Sans"/>
        </w:rPr>
        <w:t>Scry can be compelling without encouraging compulsive behavior. Use transparent odds, no misleading “guaranteed” language, visible limits, age gating, cool-off controls, loss and time summaries, and a clear distinction between free forecasting competitions and monetary markets. Reputation, accuracy and location expertise should matter as much as profit.</w:t>
      </w:r>
    </w:p>
    <w:p>
      <w:pPr>
        <w:pStyle w:val="Heading1"/>
        <w:keepNext/>
      </w:pPr>
      <w:r>
        <w:t>4. Launch stream strategy</w:t>
      </w:r>
    </w:p>
    <w:p>
      <w:pPr>
        <w:spacing w:after="140" w:line="269" w:lineRule="auto"/>
      </w:pPr>
      <w:r>
        <w:rPr>
          <w:rFonts w:ascii="Liberation Sans" w:hAnsi="Liberation Sans"/>
        </w:rPr>
        <w:t>The launch target is 8–15 high-quality streams across a small number of categories. Quality is defined by permission, stable framing, repeatable observations, adequate night performance, low occlusion, strong uptime and an operational reason for predicting the event.</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1584"/>
            <w:shd w:fill="171A3A"/>
            <w:tcMar>
              <w:top w:w="100" w:type="dxa"/>
              <w:start w:w="100" w:type="dxa"/>
              <w:bottom w:w="100" w:type="dxa"/>
              <w:end w:w="100" w:type="dxa"/>
            </w:tcMar>
            <w:vAlign w:val="center"/>
          </w:tcPr>
          <w:p>
            <w:pPr>
              <w:jc w:val="center"/>
            </w:pPr>
            <w:r>
              <w:rPr>
                <w:rFonts w:ascii="Liberation Sans" w:hAnsi="Liberation Sans"/>
                <w:b/>
                <w:color w:val="FFFFFF"/>
                <w:sz w:val="16"/>
              </w:rPr>
              <w:t>Category</w:t>
            </w:r>
          </w:p>
        </w:tc>
        <w:tc>
          <w:tcPr>
            <w:tcW w:type="dxa" w:w="3671"/>
            <w:shd w:fill="171A3A"/>
            <w:tcMar>
              <w:top w:w="100" w:type="dxa"/>
              <w:start w:w="100" w:type="dxa"/>
              <w:bottom w:w="100" w:type="dxa"/>
              <w:end w:w="100" w:type="dxa"/>
            </w:tcMar>
            <w:vAlign w:val="center"/>
          </w:tcPr>
          <w:p>
            <w:pPr>
              <w:jc w:val="center"/>
            </w:pPr>
            <w:r>
              <w:rPr>
                <w:rFonts w:ascii="Liberation Sans" w:hAnsi="Liberation Sans"/>
                <w:b/>
                <w:color w:val="FFFFFF"/>
                <w:sz w:val="16"/>
              </w:rPr>
              <w:t>Strong initial streams</w:t>
            </w:r>
          </w:p>
        </w:tc>
        <w:tc>
          <w:tcPr>
            <w:tcW w:type="dxa" w:w="3960"/>
            <w:shd w:fill="171A3A"/>
            <w:tcMar>
              <w:top w:w="100" w:type="dxa"/>
              <w:start w:w="100" w:type="dxa"/>
              <w:bottom w:w="100" w:type="dxa"/>
              <w:end w:w="100" w:type="dxa"/>
            </w:tcMar>
            <w:vAlign w:val="center"/>
          </w:tcPr>
          <w:p>
            <w:pPr>
              <w:jc w:val="center"/>
            </w:pPr>
            <w:r>
              <w:rPr>
                <w:rFonts w:ascii="Liberation Sans" w:hAnsi="Liberation Sans"/>
                <w:b/>
                <w:color w:val="FFFFFF"/>
                <w:sz w:val="16"/>
              </w:rPr>
              <w:t>Example market</w:t>
            </w:r>
          </w:p>
        </w:tc>
      </w:tr>
      <w:tr>
        <w:trPr>
          <w:cantSplit/>
        </w:trPr>
        <w:tc>
          <w:tcPr>
            <w:tcW w:type="dxa" w:w="1584"/>
            <w:tcMar>
              <w:top w:w="90" w:type="dxa"/>
              <w:start w:w="100" w:type="dxa"/>
              <w:bottom w:w="90" w:type="dxa"/>
              <w:end w:w="100" w:type="dxa"/>
            </w:tcMar>
            <w:vAlign w:val="top"/>
          </w:tcPr>
          <w:p>
            <w:r>
              <w:rPr>
                <w:rFonts w:ascii="Liberation Sans" w:hAnsi="Liberation Sans"/>
                <w:color w:val="171A3A"/>
                <w:sz w:val="16"/>
              </w:rPr>
              <w:t>Traffic</w:t>
            </w:r>
          </w:p>
        </w:tc>
        <w:tc>
          <w:tcPr>
            <w:tcW w:type="dxa" w:w="3671"/>
            <w:tcMar>
              <w:top w:w="90" w:type="dxa"/>
              <w:start w:w="100" w:type="dxa"/>
              <w:bottom w:w="90" w:type="dxa"/>
              <w:end w:w="100" w:type="dxa"/>
            </w:tcMar>
            <w:vAlign w:val="top"/>
          </w:tcPr>
          <w:p>
            <w:r>
              <w:rPr>
                <w:rFonts w:ascii="Liberation Sans" w:hAnsi="Liberation Sans"/>
                <w:color w:val="171A3A"/>
                <w:sz w:val="16"/>
              </w:rPr>
              <w:t>Fixed intersections, campus or tech-park gates, event approach roads</w:t>
            </w:r>
          </w:p>
        </w:tc>
        <w:tc>
          <w:tcPr>
            <w:tcW w:type="dxa" w:w="3960"/>
            <w:tcMar>
              <w:top w:w="90" w:type="dxa"/>
              <w:start w:w="100" w:type="dxa"/>
              <w:bottom w:w="90" w:type="dxa"/>
              <w:end w:w="100" w:type="dxa"/>
            </w:tcMar>
            <w:vAlign w:val="top"/>
          </w:tcPr>
          <w:p>
            <w:r>
              <w:rPr>
                <w:rFonts w:ascii="Liberation Sans" w:hAnsi="Liberation Sans"/>
                <w:color w:val="171A3A"/>
                <w:sz w:val="16"/>
              </w:rPr>
              <w:t>Will northbound crossings exceed 180 from 19:20–19:30?</w:t>
            </w:r>
          </w:p>
        </w:tc>
      </w:tr>
      <w:tr>
        <w:trPr>
          <w:cantSplit/>
        </w:trPr>
        <w:tc>
          <w:tcPr>
            <w:tcW w:type="dxa" w:w="1584"/>
            <w:tcMar>
              <w:top w:w="90" w:type="dxa"/>
              <w:start w:w="100" w:type="dxa"/>
              <w:bottom w:w="90" w:type="dxa"/>
              <w:end w:w="100" w:type="dxa"/>
            </w:tcMar>
            <w:vAlign w:val="top"/>
            <w:shd w:fill="F8F9FC"/>
          </w:tcPr>
          <w:p>
            <w:r>
              <w:rPr>
                <w:rFonts w:ascii="Liberation Sans" w:hAnsi="Liberation Sans"/>
                <w:color w:val="171A3A"/>
                <w:sz w:val="16"/>
              </w:rPr>
              <w:t>Parking</w:t>
            </w:r>
          </w:p>
        </w:tc>
        <w:tc>
          <w:tcPr>
            <w:tcW w:type="dxa" w:w="3671"/>
            <w:tcMar>
              <w:top w:w="90" w:type="dxa"/>
              <w:start w:w="100" w:type="dxa"/>
              <w:bottom w:w="90" w:type="dxa"/>
              <w:end w:w="100" w:type="dxa"/>
            </w:tcMar>
            <w:vAlign w:val="top"/>
            <w:shd w:fill="F8F9FC"/>
          </w:tcPr>
          <w:p>
            <w:r>
              <w:rPr>
                <w:rFonts w:ascii="Liberation Sans" w:hAnsi="Liberation Sans"/>
                <w:color w:val="171A3A"/>
                <w:sz w:val="16"/>
              </w:rPr>
              <w:t>Private lots, mall lots, EV-charging areas</w:t>
            </w:r>
          </w:p>
        </w:tc>
        <w:tc>
          <w:tcPr>
            <w:tcW w:type="dxa" w:w="3960"/>
            <w:tcMar>
              <w:top w:w="90" w:type="dxa"/>
              <w:start w:w="100" w:type="dxa"/>
              <w:bottom w:w="90" w:type="dxa"/>
              <w:end w:w="100" w:type="dxa"/>
            </w:tcMar>
            <w:vAlign w:val="top"/>
            <w:shd w:fill="F8F9FC"/>
          </w:tcPr>
          <w:p>
            <w:r>
              <w:rPr>
                <w:rFonts w:ascii="Liberation Sans" w:hAnsi="Liberation Sans"/>
                <w:color w:val="171A3A"/>
                <w:sz w:val="16"/>
              </w:rPr>
              <w:t>Will occupancy exceed 85% within 30 minutes?</w:t>
            </w:r>
          </w:p>
        </w:tc>
      </w:tr>
      <w:tr>
        <w:trPr>
          <w:cantSplit/>
        </w:trPr>
        <w:tc>
          <w:tcPr>
            <w:tcW w:type="dxa" w:w="1584"/>
            <w:tcMar>
              <w:top w:w="90" w:type="dxa"/>
              <w:start w:w="100" w:type="dxa"/>
              <w:bottom w:w="90" w:type="dxa"/>
              <w:end w:w="100" w:type="dxa"/>
            </w:tcMar>
            <w:vAlign w:val="top"/>
          </w:tcPr>
          <w:p>
            <w:r>
              <w:rPr>
                <w:rFonts w:ascii="Liberation Sans" w:hAnsi="Liberation Sans"/>
                <w:color w:val="171A3A"/>
                <w:sz w:val="16"/>
              </w:rPr>
              <w:t>Footfall</w:t>
            </w:r>
          </w:p>
        </w:tc>
        <w:tc>
          <w:tcPr>
            <w:tcW w:type="dxa" w:w="3671"/>
            <w:tcMar>
              <w:top w:w="90" w:type="dxa"/>
              <w:start w:w="100" w:type="dxa"/>
              <w:bottom w:w="90" w:type="dxa"/>
              <w:end w:w="100" w:type="dxa"/>
            </w:tcMar>
            <w:vAlign w:val="top"/>
          </w:tcPr>
          <w:p>
            <w:r>
              <w:rPr>
                <w:rFonts w:ascii="Liberation Sans" w:hAnsi="Liberation Sans"/>
                <w:color w:val="171A3A"/>
                <w:sz w:val="16"/>
              </w:rPr>
              <w:t>Mall or venue entrances, food courts, event gates</w:t>
            </w:r>
          </w:p>
        </w:tc>
        <w:tc>
          <w:tcPr>
            <w:tcW w:type="dxa" w:w="3960"/>
            <w:tcMar>
              <w:top w:w="90" w:type="dxa"/>
              <w:start w:w="100" w:type="dxa"/>
              <w:bottom w:w="90" w:type="dxa"/>
              <w:end w:w="100" w:type="dxa"/>
            </w:tcMar>
            <w:vAlign w:val="top"/>
          </w:tcPr>
          <w:p>
            <w:r>
              <w:rPr>
                <w:rFonts w:ascii="Liberation Sans" w:hAnsi="Liberation Sans"/>
                <w:color w:val="171A3A"/>
                <w:sz w:val="16"/>
              </w:rPr>
              <w:t>Will entry count exceed 400 in the next 20 minutes?</w:t>
            </w:r>
          </w:p>
        </w:tc>
      </w:tr>
      <w:tr>
        <w:trPr>
          <w:cantSplit/>
        </w:trPr>
        <w:tc>
          <w:tcPr>
            <w:tcW w:type="dxa" w:w="1584"/>
            <w:tcMar>
              <w:top w:w="90" w:type="dxa"/>
              <w:start w:w="100" w:type="dxa"/>
              <w:bottom w:w="90" w:type="dxa"/>
              <w:end w:w="100" w:type="dxa"/>
            </w:tcMar>
            <w:vAlign w:val="top"/>
            <w:shd w:fill="F8F9FC"/>
          </w:tcPr>
          <w:p>
            <w:r>
              <w:rPr>
                <w:rFonts w:ascii="Liberation Sans" w:hAnsi="Liberation Sans"/>
                <w:color w:val="171A3A"/>
                <w:sz w:val="16"/>
              </w:rPr>
              <w:t>Queues</w:t>
            </w:r>
          </w:p>
        </w:tc>
        <w:tc>
          <w:tcPr>
            <w:tcW w:type="dxa" w:w="3671"/>
            <w:tcMar>
              <w:top w:w="90" w:type="dxa"/>
              <w:start w:w="100" w:type="dxa"/>
              <w:bottom w:w="90" w:type="dxa"/>
              <w:end w:w="100" w:type="dxa"/>
            </w:tcMar>
            <w:vAlign w:val="top"/>
            <w:shd w:fill="F8F9FC"/>
          </w:tcPr>
          <w:p>
            <w:r>
              <w:rPr>
                <w:rFonts w:ascii="Liberation Sans" w:hAnsi="Liberation Sans"/>
                <w:color w:val="171A3A"/>
                <w:sz w:val="16"/>
              </w:rPr>
              <w:t>Cafeteria, ticketing or authorized service lines</w:t>
            </w:r>
          </w:p>
        </w:tc>
        <w:tc>
          <w:tcPr>
            <w:tcW w:type="dxa" w:w="3960"/>
            <w:tcMar>
              <w:top w:w="90" w:type="dxa"/>
              <w:start w:w="100" w:type="dxa"/>
              <w:bottom w:w="90" w:type="dxa"/>
              <w:end w:w="100" w:type="dxa"/>
            </w:tcMar>
            <w:vAlign w:val="top"/>
            <w:shd w:fill="F8F9FC"/>
          </w:tcPr>
          <w:p>
            <w:r>
              <w:rPr>
                <w:rFonts w:ascii="Liberation Sans" w:hAnsi="Liberation Sans"/>
                <w:color w:val="171A3A"/>
                <w:sz w:val="16"/>
              </w:rPr>
              <w:t>Will the queue exceed 25 people at 13:00?</w:t>
            </w:r>
          </w:p>
        </w:tc>
      </w:tr>
      <w:tr>
        <w:trPr>
          <w:cantSplit/>
        </w:trPr>
        <w:tc>
          <w:tcPr>
            <w:tcW w:type="dxa" w:w="1584"/>
            <w:tcMar>
              <w:top w:w="90" w:type="dxa"/>
              <w:start w:w="100" w:type="dxa"/>
              <w:bottom w:w="90" w:type="dxa"/>
              <w:end w:w="100" w:type="dxa"/>
            </w:tcMar>
            <w:vAlign w:val="top"/>
          </w:tcPr>
          <w:p>
            <w:r>
              <w:rPr>
                <w:rFonts w:ascii="Liberation Sans" w:hAnsi="Liberation Sans"/>
                <w:color w:val="171A3A"/>
                <w:sz w:val="16"/>
              </w:rPr>
              <w:t>Mobility</w:t>
            </w:r>
          </w:p>
        </w:tc>
        <w:tc>
          <w:tcPr>
            <w:tcW w:type="dxa" w:w="3671"/>
            <w:tcMar>
              <w:top w:w="90" w:type="dxa"/>
              <w:start w:w="100" w:type="dxa"/>
              <w:bottom w:w="90" w:type="dxa"/>
              <w:end w:w="100" w:type="dxa"/>
            </w:tcMar>
            <w:vAlign w:val="top"/>
          </w:tcPr>
          <w:p>
            <w:r>
              <w:rPr>
                <w:rFonts w:ascii="Liberation Sans" w:hAnsi="Liberation Sans"/>
                <w:color w:val="171A3A"/>
                <w:sz w:val="16"/>
              </w:rPr>
              <w:t>Campus shuttles or private fleets</w:t>
            </w:r>
          </w:p>
        </w:tc>
        <w:tc>
          <w:tcPr>
            <w:tcW w:type="dxa" w:w="3960"/>
            <w:tcMar>
              <w:top w:w="90" w:type="dxa"/>
              <w:start w:w="100" w:type="dxa"/>
              <w:bottom w:w="90" w:type="dxa"/>
              <w:end w:w="100" w:type="dxa"/>
            </w:tcMar>
            <w:vAlign w:val="top"/>
          </w:tcPr>
          <w:p>
            <w:r>
              <w:rPr>
                <w:rFonts w:ascii="Liberation Sans" w:hAnsi="Liberation Sans"/>
                <w:color w:val="171A3A"/>
                <w:sz w:val="16"/>
              </w:rPr>
              <w:t>Will shuttle A arrive before shuttle B?</w:t>
            </w:r>
          </w:p>
        </w:tc>
      </w:tr>
      <w:tr>
        <w:trPr>
          <w:cantSplit/>
        </w:trPr>
        <w:tc>
          <w:tcPr>
            <w:tcW w:type="dxa" w:w="1584"/>
            <w:tcMar>
              <w:top w:w="90" w:type="dxa"/>
              <w:start w:w="100" w:type="dxa"/>
              <w:bottom w:w="90" w:type="dxa"/>
              <w:end w:w="100" w:type="dxa"/>
            </w:tcMar>
            <w:vAlign w:val="top"/>
            <w:shd w:fill="F8F9FC"/>
          </w:tcPr>
          <w:p>
            <w:r>
              <w:rPr>
                <w:rFonts w:ascii="Liberation Sans" w:hAnsi="Liberation Sans"/>
                <w:color w:val="171A3A"/>
                <w:sz w:val="16"/>
              </w:rPr>
              <w:t>Operations</w:t>
            </w:r>
          </w:p>
        </w:tc>
        <w:tc>
          <w:tcPr>
            <w:tcW w:type="dxa" w:w="3671"/>
            <w:tcMar>
              <w:top w:w="90" w:type="dxa"/>
              <w:start w:w="100" w:type="dxa"/>
              <w:bottom w:w="90" w:type="dxa"/>
              <w:end w:w="100" w:type="dxa"/>
            </w:tcMar>
            <w:vAlign w:val="top"/>
            <w:shd w:fill="F8F9FC"/>
          </w:tcPr>
          <w:p>
            <w:r>
              <w:rPr>
                <w:rFonts w:ascii="Liberation Sans" w:hAnsi="Liberation Sans"/>
                <w:color w:val="171A3A"/>
                <w:sz w:val="16"/>
              </w:rPr>
              <w:t>Warehouse lanes or package counters</w:t>
            </w:r>
          </w:p>
        </w:tc>
        <w:tc>
          <w:tcPr>
            <w:tcW w:type="dxa" w:w="3960"/>
            <w:tcMar>
              <w:top w:w="90" w:type="dxa"/>
              <w:start w:w="100" w:type="dxa"/>
              <w:bottom w:w="90" w:type="dxa"/>
              <w:end w:w="100" w:type="dxa"/>
            </w:tcMar>
            <w:vAlign w:val="top"/>
            <w:shd w:fill="F8F9FC"/>
          </w:tcPr>
          <w:p>
            <w:r>
              <w:rPr>
                <w:rFonts w:ascii="Liberation Sans" w:hAnsi="Liberation Sans"/>
                <w:color w:val="171A3A"/>
                <w:sz w:val="16"/>
              </w:rPr>
              <w:t>Will throughput fall below the hourly target?</w:t>
            </w:r>
          </w:p>
        </w:tc>
      </w:tr>
    </w:tbl>
    <w:p>
      <w:pPr>
        <w:spacing w:after="0"/>
      </w:pPr>
    </w:p>
    <w:p>
      <w:pPr>
        <w:pStyle w:val="Heading2"/>
        <w:keepNext/>
      </w:pPr>
      <w:r>
        <w:t>4.1 Stream acceptance gate</w:t>
      </w:r>
    </w:p>
    <w:p>
      <w:pPr>
        <w:pStyle w:val="ListBullet"/>
        <w:spacing w:after="60"/>
      </w:pPr>
      <w:r>
        <w:rPr>
          <w:rFonts w:ascii="Liberation Sans" w:hAnsi="Liberation Sans"/>
        </w:rPr>
        <w:t>Written permission to process and, where applicable, publish an anonymized feed.</w:t>
      </w:r>
    </w:p>
    <w:p>
      <w:pPr>
        <w:pStyle w:val="ListBullet"/>
        <w:spacing w:after="60"/>
      </w:pPr>
      <w:r>
        <w:rPr>
          <w:rFonts w:ascii="Liberation Sans" w:hAnsi="Liberation Sans"/>
        </w:rPr>
        <w:t>Fixed observation geometry with a defined counting line or region.</w:t>
      </w:r>
    </w:p>
    <w:p>
      <w:pPr>
        <w:pStyle w:val="ListBullet"/>
        <w:spacing w:after="60"/>
      </w:pPr>
      <w:r>
        <w:rPr>
          <w:rFonts w:ascii="Liberation Sans" w:hAnsi="Liberation Sans"/>
        </w:rPr>
        <w:t>Validated detector/tracker accuracy under daylight, night, rain and crowding conditions relevant to the site.</w:t>
      </w:r>
    </w:p>
    <w:p>
      <w:pPr>
        <w:pStyle w:val="ListBullet"/>
        <w:spacing w:after="60"/>
      </w:pPr>
      <w:r>
        <w:rPr>
          <w:rFonts w:ascii="Liberation Sans" w:hAnsi="Liberation Sans"/>
        </w:rPr>
        <w:t>Synchronized timestamps, stream-health telemetry and automatic detection of freeze, obstruction or looped video.</w:t>
      </w:r>
    </w:p>
    <w:p>
      <w:pPr>
        <w:pStyle w:val="ListBullet"/>
        <w:spacing w:after="60"/>
      </w:pPr>
      <w:r>
        <w:rPr>
          <w:rFonts w:ascii="Liberation Sans" w:hAnsi="Liberation Sans"/>
        </w:rPr>
        <w:t>A secondary evidence source for material markets: second model, barrier logs, another camera or manual sample audits.</w:t>
      </w:r>
    </w:p>
    <w:p>
      <w:pPr>
        <w:pStyle w:val="ListBullet"/>
        <w:spacing w:after="60"/>
      </w:pPr>
      <w:r>
        <w:rPr>
          <w:rFonts w:ascii="Liberation Sans" w:hAnsi="Liberation Sans"/>
        </w:rPr>
        <w:t>A market cadence that does not overwhelm liquidity; usually one open, one observing and one upcoming market per stream.</w:t>
      </w:r>
    </w:p>
    <w:p>
      <w:pPr>
        <w:pStyle w:val="Heading2"/>
        <w:keepNext/>
      </w:pPr>
      <w:r>
        <w:t>4.2 Content curation</w:t>
      </w:r>
    </w:p>
    <w:p>
      <w:pPr>
        <w:spacing w:after="140" w:line="269" w:lineRule="auto"/>
      </w:pPr>
      <w:r>
        <w:rPr>
          <w:rFonts w:ascii="Liberation Sans" w:hAnsi="Liberation Sans"/>
        </w:rPr>
        <w:t>Scry should not automatically publish every mathematically possible question. A market-generation service proposes thresholds from historical distributions, but an operations rule engine rejects markets that are too obvious, too noisy, difficult to resolve, privacy-sensitive or operationally meaningless. Curated uncertainty is a product feature.</w:t>
      </w:r>
    </w:p>
    <w:p>
      <w:pPr>
        <w:pStyle w:val="Heading1"/>
        <w:keepNext/>
      </w:pPr>
      <w:r>
        <w:t>5. Market design and liquidity</w:t>
      </w:r>
    </w:p>
    <w:p>
      <w:pPr>
        <w:pStyle w:val="Heading2"/>
        <w:keepNext/>
      </w:pPr>
      <w:r>
        <w:t>5.1 Recommended V1 mechanism</w:t>
      </w:r>
    </w:p>
    <w:tbl>
      <w:tblPr>
        <w:tblW w:type="auto" w:w="0"/>
        <w:jc w:val="center"/>
        <w:tblLayout w:type="fixed"/>
        <w:tblLook w:firstColumn="1" w:firstRow="1" w:lastColumn="0" w:lastRow="0" w:noHBand="0" w:noVBand="1" w:val="04A0"/>
      </w:tblPr>
      <w:tblGrid>
        <w:gridCol w:w="230"/>
        <w:gridCol w:w="9576"/>
      </w:tblGrid>
      <w:tr>
        <w:tc>
          <w:tcPr>
            <w:tcW w:type="dxa" w:w="4917"/>
            <w:shd w:fill="6C5CE7"/>
            <w:tcMar>
              <w:top w:w="140" w:type="dxa"/>
              <w:start w:w="150" w:type="dxa"/>
              <w:bottom w:w="140" w:type="dxa"/>
              <w:end w:w="150" w:type="dxa"/>
            </w:tcMar>
            <w:vAlign w:val="center"/>
          </w:tcPr>
          <w:p/>
        </w:tc>
        <w:tc>
          <w:tcPr>
            <w:tcW w:type="dxa" w:w="4917"/>
            <w:shd w:fill="F3F2FF"/>
            <w:tcMar>
              <w:top w:w="140" w:type="dxa"/>
              <w:start w:w="150" w:type="dxa"/>
              <w:bottom w:w="140" w:type="dxa"/>
              <w:end w:w="150" w:type="dxa"/>
            </w:tcMar>
            <w:vAlign w:val="center"/>
          </w:tcPr>
          <w:p>
            <w:r>
              <w:rPr>
                <w:rFonts w:ascii="Liberation Sans" w:hAnsi="Liberation Sans"/>
                <w:b/>
                <w:color w:val="171A3A"/>
                <w:sz w:val="21"/>
              </w:rPr>
              <w:t xml:space="preserve">Recommendation  </w:t>
            </w:r>
            <w:r>
              <w:rPr>
                <w:rFonts w:ascii="Liberation Sans" w:hAnsi="Liberation Sans"/>
                <w:color w:val="171A3A"/>
                <w:sz w:val="21"/>
              </w:rPr>
              <w:t>Use permissioned, pooled multi-outcome markets on Base. Participants deposit native USDC into an outcome pool before lock. The pool totals create a live implied probability, and the distributable pool is paid pro rata to the winning outcome after finalization.</w:t>
            </w:r>
          </w:p>
        </w:tc>
      </w:tr>
    </w:tbl>
    <w:p>
      <w:pPr>
        <w:spacing w:after="0"/>
      </w:pPr>
    </w:p>
    <w:p>
      <w:pPr>
        <w:spacing w:after="140" w:line="269" w:lineRule="auto"/>
      </w:pPr>
      <w:r>
        <w:rPr>
          <w:rFonts w:ascii="Liberation Sans" w:hAnsi="Liberation Sans"/>
        </w:rPr>
        <w:t>This parimutuel design is less complex than a CLOB, does not require a counterparty for each order and works across multiple small local markets. It also avoids exposing the founding team to an unlimited AMM inventory position. Scry or sponsors can add guaranteed reward pools to make early markets attractive.</w:t>
      </w:r>
    </w:p>
    <w:p>
      <w:pPr>
        <w:pStyle w:val="Heading2"/>
        <w:keepNext/>
      </w:pPr>
      <w:r>
        <w:t>5.2 Why not a CLOB first</w:t>
      </w:r>
    </w:p>
    <w:p>
      <w:pPr>
        <w:spacing w:after="140" w:line="269" w:lineRule="auto"/>
      </w:pPr>
      <w:r>
        <w:rPr>
          <w:rFonts w:ascii="Liberation Sans" w:hAnsi="Liberation Sans"/>
        </w:rPr>
        <w:t>Polymarket uses a hybrid CLOB with off-chain EIP-712 orders and on-chain settlement on Polygon. That architecture is proven, fast and non-custodial, but it depends on market makers, order management and concentrated liquidity. Scry should borrow the hybrid principle later, after it knows which streams repeatedly attract volume.</w:t>
      </w:r>
      <w:r>
        <w:rPr>
          <w:rFonts w:ascii="Liberation Sans" w:hAnsi="Liberation Sans"/>
          <w:color w:val="6C5CE7"/>
          <w:sz w:val="16"/>
          <w:vertAlign w:val="superscript"/>
        </w:rPr>
        <w:t xml:space="preserve"> [4]</w:t>
      </w:r>
    </w:p>
    <w:p>
      <w:pPr>
        <w:pStyle w:val="Heading2"/>
        <w:keepNext/>
      </w:pPr>
      <w:r>
        <w:t>5.3 Market timeline</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1800"/>
            <w:shd w:fill="171A3A"/>
            <w:tcMar>
              <w:top w:w="100" w:type="dxa"/>
              <w:start w:w="100" w:type="dxa"/>
              <w:bottom w:w="100" w:type="dxa"/>
              <w:end w:w="100" w:type="dxa"/>
            </w:tcMar>
            <w:vAlign w:val="center"/>
          </w:tcPr>
          <w:p>
            <w:pPr>
              <w:jc w:val="center"/>
            </w:pPr>
            <w:r>
              <w:rPr>
                <w:rFonts w:ascii="Liberation Sans" w:hAnsi="Liberation Sans"/>
                <w:b/>
                <w:color w:val="FFFFFF"/>
                <w:sz w:val="16"/>
              </w:rPr>
              <w:t>State</w:t>
            </w:r>
          </w:p>
        </w:tc>
        <w:tc>
          <w:tcPr>
            <w:tcW w:type="dxa" w:w="1800"/>
            <w:shd w:fill="171A3A"/>
            <w:tcMar>
              <w:top w:w="100" w:type="dxa"/>
              <w:start w:w="100" w:type="dxa"/>
              <w:bottom w:w="100" w:type="dxa"/>
              <w:end w:w="100" w:type="dxa"/>
            </w:tcMar>
            <w:vAlign w:val="center"/>
          </w:tcPr>
          <w:p>
            <w:pPr>
              <w:jc w:val="center"/>
            </w:pPr>
            <w:r>
              <w:rPr>
                <w:rFonts w:ascii="Liberation Sans" w:hAnsi="Liberation Sans"/>
                <w:b/>
                <w:color w:val="FFFFFF"/>
                <w:sz w:val="16"/>
              </w:rPr>
              <w:t>Illustrative time</w:t>
            </w:r>
          </w:p>
        </w:tc>
        <w:tc>
          <w:tcPr>
            <w:tcW w:type="dxa" w:w="5688"/>
            <w:shd w:fill="171A3A"/>
            <w:tcMar>
              <w:top w:w="100" w:type="dxa"/>
              <w:start w:w="100" w:type="dxa"/>
              <w:bottom w:w="100" w:type="dxa"/>
              <w:end w:w="100" w:type="dxa"/>
            </w:tcMar>
            <w:vAlign w:val="center"/>
          </w:tcPr>
          <w:p>
            <w:pPr>
              <w:jc w:val="center"/>
            </w:pPr>
            <w:r>
              <w:rPr>
                <w:rFonts w:ascii="Liberation Sans" w:hAnsi="Liberation Sans"/>
                <w:b/>
                <w:color w:val="FFFFFF"/>
                <w:sz w:val="16"/>
              </w:rPr>
              <w:t>Allowed actions</w:t>
            </w:r>
          </w:p>
        </w:tc>
      </w:tr>
      <w:tr>
        <w:trPr>
          <w:cantSplit/>
        </w:trPr>
        <w:tc>
          <w:tcPr>
            <w:tcW w:type="dxa" w:w="1800"/>
            <w:tcMar>
              <w:top w:w="90" w:type="dxa"/>
              <w:start w:w="100" w:type="dxa"/>
              <w:bottom w:w="90" w:type="dxa"/>
              <w:end w:w="100" w:type="dxa"/>
            </w:tcMar>
            <w:vAlign w:val="top"/>
          </w:tcPr>
          <w:p>
            <w:r>
              <w:rPr>
                <w:rFonts w:ascii="Liberation Sans" w:hAnsi="Liberation Sans"/>
                <w:color w:val="171A3A"/>
                <w:sz w:val="16"/>
              </w:rPr>
              <w:t>Scheduled</w:t>
            </w:r>
          </w:p>
        </w:tc>
        <w:tc>
          <w:tcPr>
            <w:tcW w:type="dxa" w:w="1800"/>
            <w:tcMar>
              <w:top w:w="90" w:type="dxa"/>
              <w:start w:w="100" w:type="dxa"/>
              <w:bottom w:w="90" w:type="dxa"/>
              <w:end w:w="100" w:type="dxa"/>
            </w:tcMar>
            <w:vAlign w:val="top"/>
          </w:tcPr>
          <w:p>
            <w:r>
              <w:rPr>
                <w:rFonts w:ascii="Liberation Sans" w:hAnsi="Liberation Sans"/>
                <w:color w:val="171A3A"/>
                <w:sz w:val="16"/>
              </w:rPr>
              <w:t>Before 19:00</w:t>
            </w:r>
          </w:p>
        </w:tc>
        <w:tc>
          <w:tcPr>
            <w:tcW w:type="dxa" w:w="5688"/>
            <w:tcMar>
              <w:top w:w="90" w:type="dxa"/>
              <w:start w:w="100" w:type="dxa"/>
              <w:bottom w:w="90" w:type="dxa"/>
              <w:end w:w="100" w:type="dxa"/>
            </w:tcMar>
            <w:vAlign w:val="top"/>
          </w:tcPr>
          <w:p>
            <w:r>
              <w:rPr>
                <w:rFonts w:ascii="Liberation Sans" w:hAnsi="Liberation Sans"/>
                <w:color w:val="171A3A"/>
                <w:sz w:val="16"/>
              </w:rPr>
              <w:t>View rules and set reminders</w:t>
            </w:r>
          </w:p>
        </w:tc>
      </w:tr>
      <w:tr>
        <w:trPr>
          <w:cantSplit/>
        </w:trPr>
        <w:tc>
          <w:tcPr>
            <w:tcW w:type="dxa" w:w="1800"/>
            <w:tcMar>
              <w:top w:w="90" w:type="dxa"/>
              <w:start w:w="100" w:type="dxa"/>
              <w:bottom w:w="90" w:type="dxa"/>
              <w:end w:w="100" w:type="dxa"/>
            </w:tcMar>
            <w:vAlign w:val="top"/>
            <w:shd w:fill="F8F9FC"/>
          </w:tcPr>
          <w:p>
            <w:r>
              <w:rPr>
                <w:rFonts w:ascii="Liberation Sans" w:hAnsi="Liberation Sans"/>
                <w:color w:val="171A3A"/>
                <w:sz w:val="16"/>
              </w:rPr>
              <w:t>Open</w:t>
            </w:r>
          </w:p>
        </w:tc>
        <w:tc>
          <w:tcPr>
            <w:tcW w:type="dxa" w:w="1800"/>
            <w:tcMar>
              <w:top w:w="90" w:type="dxa"/>
              <w:start w:w="100" w:type="dxa"/>
              <w:bottom w:w="90" w:type="dxa"/>
              <w:end w:w="100" w:type="dxa"/>
            </w:tcMar>
            <w:vAlign w:val="top"/>
            <w:shd w:fill="F8F9FC"/>
          </w:tcPr>
          <w:p>
            <w:r>
              <w:rPr>
                <w:rFonts w:ascii="Liberation Sans" w:hAnsi="Liberation Sans"/>
                <w:color w:val="171A3A"/>
                <w:sz w:val="16"/>
              </w:rPr>
              <w:t>19:00–19:05</w:t>
            </w:r>
          </w:p>
        </w:tc>
        <w:tc>
          <w:tcPr>
            <w:tcW w:type="dxa" w:w="5688"/>
            <w:tcMar>
              <w:top w:w="90" w:type="dxa"/>
              <w:start w:w="100" w:type="dxa"/>
              <w:bottom w:w="90" w:type="dxa"/>
              <w:end w:w="100" w:type="dxa"/>
            </w:tcMar>
            <w:vAlign w:val="top"/>
            <w:shd w:fill="F8F9FC"/>
          </w:tcPr>
          <w:p>
            <w:r>
              <w:rPr>
                <w:rFonts w:ascii="Liberation Sans" w:hAnsi="Liberation Sans"/>
                <w:color w:val="171A3A"/>
                <w:sz w:val="16"/>
              </w:rPr>
              <w:t>Deposit into an outcome; probabilities update live</w:t>
            </w:r>
          </w:p>
        </w:tc>
      </w:tr>
      <w:tr>
        <w:trPr>
          <w:cantSplit/>
        </w:trPr>
        <w:tc>
          <w:tcPr>
            <w:tcW w:type="dxa" w:w="1800"/>
            <w:tcMar>
              <w:top w:w="90" w:type="dxa"/>
              <w:start w:w="100" w:type="dxa"/>
              <w:bottom w:w="90" w:type="dxa"/>
              <w:end w:w="100" w:type="dxa"/>
            </w:tcMar>
            <w:vAlign w:val="top"/>
          </w:tcPr>
          <w:p>
            <w:r>
              <w:rPr>
                <w:rFonts w:ascii="Liberation Sans" w:hAnsi="Liberation Sans"/>
                <w:color w:val="171A3A"/>
                <w:sz w:val="16"/>
              </w:rPr>
              <w:t>Locked</w:t>
            </w:r>
          </w:p>
        </w:tc>
        <w:tc>
          <w:tcPr>
            <w:tcW w:type="dxa" w:w="1800"/>
            <w:tcMar>
              <w:top w:w="90" w:type="dxa"/>
              <w:start w:w="100" w:type="dxa"/>
              <w:bottom w:w="90" w:type="dxa"/>
              <w:end w:w="100" w:type="dxa"/>
            </w:tcMar>
            <w:vAlign w:val="top"/>
          </w:tcPr>
          <w:p>
            <w:r>
              <w:rPr>
                <w:rFonts w:ascii="Liberation Sans" w:hAnsi="Liberation Sans"/>
                <w:color w:val="171A3A"/>
                <w:sz w:val="16"/>
              </w:rPr>
              <w:t>At 19:05</w:t>
            </w:r>
          </w:p>
        </w:tc>
        <w:tc>
          <w:tcPr>
            <w:tcW w:type="dxa" w:w="5688"/>
            <w:tcMar>
              <w:top w:w="90" w:type="dxa"/>
              <w:start w:w="100" w:type="dxa"/>
              <w:bottom w:w="90" w:type="dxa"/>
              <w:end w:w="100" w:type="dxa"/>
            </w:tcMar>
            <w:vAlign w:val="top"/>
          </w:tcPr>
          <w:p>
            <w:r>
              <w:rPr>
                <w:rFonts w:ascii="Liberation Sans" w:hAnsi="Liberation Sans"/>
                <w:color w:val="171A3A"/>
                <w:sz w:val="16"/>
              </w:rPr>
              <w:t>No new positions or changes</w:t>
            </w:r>
          </w:p>
        </w:tc>
      </w:tr>
      <w:tr>
        <w:trPr>
          <w:cantSplit/>
        </w:trPr>
        <w:tc>
          <w:tcPr>
            <w:tcW w:type="dxa" w:w="1800"/>
            <w:tcMar>
              <w:top w:w="90" w:type="dxa"/>
              <w:start w:w="100" w:type="dxa"/>
              <w:bottom w:w="90" w:type="dxa"/>
              <w:end w:w="100" w:type="dxa"/>
            </w:tcMar>
            <w:vAlign w:val="top"/>
            <w:shd w:fill="F8F9FC"/>
          </w:tcPr>
          <w:p>
            <w:r>
              <w:rPr>
                <w:rFonts w:ascii="Liberation Sans" w:hAnsi="Liberation Sans"/>
                <w:color w:val="171A3A"/>
                <w:sz w:val="16"/>
              </w:rPr>
              <w:t>Observing</w:t>
            </w:r>
          </w:p>
        </w:tc>
        <w:tc>
          <w:tcPr>
            <w:tcW w:type="dxa" w:w="1800"/>
            <w:tcMar>
              <w:top w:w="90" w:type="dxa"/>
              <w:start w:w="100" w:type="dxa"/>
              <w:bottom w:w="90" w:type="dxa"/>
              <w:end w:w="100" w:type="dxa"/>
            </w:tcMar>
            <w:vAlign w:val="top"/>
            <w:shd w:fill="F8F9FC"/>
          </w:tcPr>
          <w:p>
            <w:r>
              <w:rPr>
                <w:rFonts w:ascii="Liberation Sans" w:hAnsi="Liberation Sans"/>
                <w:color w:val="171A3A"/>
                <w:sz w:val="16"/>
              </w:rPr>
              <w:t>19:05–19:15</w:t>
            </w:r>
          </w:p>
        </w:tc>
        <w:tc>
          <w:tcPr>
            <w:tcW w:type="dxa" w:w="5688"/>
            <w:tcMar>
              <w:top w:w="90" w:type="dxa"/>
              <w:start w:w="100" w:type="dxa"/>
              <w:bottom w:w="90" w:type="dxa"/>
              <w:end w:w="100" w:type="dxa"/>
            </w:tcMar>
            <w:vAlign w:val="top"/>
            <w:shd w:fill="F8F9FC"/>
          </w:tcPr>
          <w:p>
            <w:r>
              <w:rPr>
                <w:rFonts w:ascii="Liberation Sans" w:hAnsi="Liberation Sans"/>
                <w:color w:val="171A3A"/>
                <w:sz w:val="16"/>
              </w:rPr>
              <w:t>Watch event unfold; counts update off-chain</w:t>
            </w:r>
          </w:p>
        </w:tc>
      </w:tr>
      <w:tr>
        <w:trPr>
          <w:cantSplit/>
        </w:trPr>
        <w:tc>
          <w:tcPr>
            <w:tcW w:type="dxa" w:w="1800"/>
            <w:tcMar>
              <w:top w:w="90" w:type="dxa"/>
              <w:start w:w="100" w:type="dxa"/>
              <w:bottom w:w="90" w:type="dxa"/>
              <w:end w:w="100" w:type="dxa"/>
            </w:tcMar>
            <w:vAlign w:val="top"/>
          </w:tcPr>
          <w:p>
            <w:r>
              <w:rPr>
                <w:rFonts w:ascii="Liberation Sans" w:hAnsi="Liberation Sans"/>
                <w:color w:val="171A3A"/>
                <w:sz w:val="16"/>
              </w:rPr>
              <w:t>Result proposed</w:t>
            </w:r>
          </w:p>
        </w:tc>
        <w:tc>
          <w:tcPr>
            <w:tcW w:type="dxa" w:w="1800"/>
            <w:tcMar>
              <w:top w:w="90" w:type="dxa"/>
              <w:start w:w="100" w:type="dxa"/>
              <w:bottom w:w="90" w:type="dxa"/>
              <w:end w:w="100" w:type="dxa"/>
            </w:tcMar>
            <w:vAlign w:val="top"/>
          </w:tcPr>
          <w:p>
            <w:r>
              <w:rPr>
                <w:rFonts w:ascii="Liberation Sans" w:hAnsi="Liberation Sans"/>
                <w:color w:val="171A3A"/>
                <w:sz w:val="16"/>
              </w:rPr>
              <w:t>Around 19:16</w:t>
            </w:r>
          </w:p>
        </w:tc>
        <w:tc>
          <w:tcPr>
            <w:tcW w:type="dxa" w:w="5688"/>
            <w:tcMar>
              <w:top w:w="90" w:type="dxa"/>
              <w:start w:w="100" w:type="dxa"/>
              <w:bottom w:w="90" w:type="dxa"/>
              <w:end w:w="100" w:type="dxa"/>
            </w:tcMar>
            <w:vAlign w:val="top"/>
          </w:tcPr>
          <w:p>
            <w:r>
              <w:rPr>
                <w:rFonts w:ascii="Liberation Sans" w:hAnsi="Liberation Sans"/>
                <w:color w:val="171A3A"/>
                <w:sz w:val="16"/>
              </w:rPr>
              <w:t>Evidence root and observer signatures posted</w:t>
            </w:r>
          </w:p>
        </w:tc>
      </w:tr>
      <w:tr>
        <w:trPr>
          <w:cantSplit/>
        </w:trPr>
        <w:tc>
          <w:tcPr>
            <w:tcW w:type="dxa" w:w="1800"/>
            <w:tcMar>
              <w:top w:w="90" w:type="dxa"/>
              <w:start w:w="100" w:type="dxa"/>
              <w:bottom w:w="90" w:type="dxa"/>
              <w:end w:w="100" w:type="dxa"/>
            </w:tcMar>
            <w:vAlign w:val="top"/>
            <w:shd w:fill="F8F9FC"/>
          </w:tcPr>
          <w:p>
            <w:r>
              <w:rPr>
                <w:rFonts w:ascii="Liberation Sans" w:hAnsi="Liberation Sans"/>
                <w:color w:val="171A3A"/>
                <w:sz w:val="16"/>
              </w:rPr>
              <w:t>Challenge window</w:t>
            </w:r>
          </w:p>
        </w:tc>
        <w:tc>
          <w:tcPr>
            <w:tcW w:type="dxa" w:w="1800"/>
            <w:tcMar>
              <w:top w:w="90" w:type="dxa"/>
              <w:start w:w="100" w:type="dxa"/>
              <w:bottom w:w="90" w:type="dxa"/>
              <w:end w:w="100" w:type="dxa"/>
            </w:tcMar>
            <w:vAlign w:val="top"/>
            <w:shd w:fill="F8F9FC"/>
          </w:tcPr>
          <w:p>
            <w:r>
              <w:rPr>
                <w:rFonts w:ascii="Liberation Sans" w:hAnsi="Liberation Sans"/>
                <w:color w:val="171A3A"/>
                <w:sz w:val="16"/>
              </w:rPr>
              <w:t>5–15 minutes</w:t>
            </w:r>
          </w:p>
        </w:tc>
        <w:tc>
          <w:tcPr>
            <w:tcW w:type="dxa" w:w="5688"/>
            <w:tcMar>
              <w:top w:w="90" w:type="dxa"/>
              <w:start w:w="100" w:type="dxa"/>
              <w:bottom w:w="90" w:type="dxa"/>
              <w:end w:w="100" w:type="dxa"/>
            </w:tcMar>
            <w:vAlign w:val="top"/>
            <w:shd w:fill="F8F9FC"/>
          </w:tcPr>
          <w:p>
            <w:r>
              <w:rPr>
                <w:rFonts w:ascii="Liberation Sans" w:hAnsi="Liberation Sans"/>
                <w:color w:val="171A3A"/>
                <w:sz w:val="16"/>
              </w:rPr>
              <w:t>Authorized challenge with bond and reason code</w:t>
            </w:r>
          </w:p>
        </w:tc>
      </w:tr>
      <w:tr>
        <w:trPr>
          <w:cantSplit/>
        </w:trPr>
        <w:tc>
          <w:tcPr>
            <w:tcW w:type="dxa" w:w="1800"/>
            <w:tcMar>
              <w:top w:w="90" w:type="dxa"/>
              <w:start w:w="100" w:type="dxa"/>
              <w:bottom w:w="90" w:type="dxa"/>
              <w:end w:w="100" w:type="dxa"/>
            </w:tcMar>
            <w:vAlign w:val="top"/>
          </w:tcPr>
          <w:p>
            <w:r>
              <w:rPr>
                <w:rFonts w:ascii="Liberation Sans" w:hAnsi="Liberation Sans"/>
                <w:color w:val="171A3A"/>
                <w:sz w:val="16"/>
              </w:rPr>
              <w:t>Resolved</w:t>
            </w:r>
          </w:p>
        </w:tc>
        <w:tc>
          <w:tcPr>
            <w:tcW w:type="dxa" w:w="1800"/>
            <w:tcMar>
              <w:top w:w="90" w:type="dxa"/>
              <w:start w:w="100" w:type="dxa"/>
              <w:bottom w:w="90" w:type="dxa"/>
              <w:end w:w="100" w:type="dxa"/>
            </w:tcMar>
            <w:vAlign w:val="top"/>
          </w:tcPr>
          <w:p>
            <w:r>
              <w:rPr>
                <w:rFonts w:ascii="Liberation Sans" w:hAnsi="Liberation Sans"/>
                <w:color w:val="171A3A"/>
                <w:sz w:val="16"/>
              </w:rPr>
              <w:t>After window</w:t>
            </w:r>
          </w:p>
        </w:tc>
        <w:tc>
          <w:tcPr>
            <w:tcW w:type="dxa" w:w="5688"/>
            <w:tcMar>
              <w:top w:w="90" w:type="dxa"/>
              <w:start w:w="100" w:type="dxa"/>
              <w:bottom w:w="90" w:type="dxa"/>
              <w:end w:w="100" w:type="dxa"/>
            </w:tcMar>
            <w:vAlign w:val="top"/>
          </w:tcPr>
          <w:p>
            <w:r>
              <w:rPr>
                <w:rFonts w:ascii="Liberation Sans" w:hAnsi="Liberation Sans"/>
                <w:color w:val="171A3A"/>
                <w:sz w:val="16"/>
              </w:rPr>
              <w:t>Winning claims open</w:t>
            </w:r>
          </w:p>
        </w:tc>
      </w:tr>
      <w:tr>
        <w:trPr>
          <w:cantSplit/>
        </w:trPr>
        <w:tc>
          <w:tcPr>
            <w:tcW w:type="dxa" w:w="1800"/>
            <w:tcMar>
              <w:top w:w="90" w:type="dxa"/>
              <w:start w:w="100" w:type="dxa"/>
              <w:bottom w:w="90" w:type="dxa"/>
              <w:end w:w="100" w:type="dxa"/>
            </w:tcMar>
            <w:vAlign w:val="top"/>
            <w:shd w:fill="F8F9FC"/>
          </w:tcPr>
          <w:p>
            <w:r>
              <w:rPr>
                <w:rFonts w:ascii="Liberation Sans" w:hAnsi="Liberation Sans"/>
                <w:color w:val="171A3A"/>
                <w:sz w:val="16"/>
              </w:rPr>
              <w:t>Invalid</w:t>
            </w:r>
          </w:p>
        </w:tc>
        <w:tc>
          <w:tcPr>
            <w:tcW w:type="dxa" w:w="1800"/>
            <w:tcMar>
              <w:top w:w="90" w:type="dxa"/>
              <w:start w:w="100" w:type="dxa"/>
              <w:bottom w:w="90" w:type="dxa"/>
              <w:end w:w="100" w:type="dxa"/>
            </w:tcMar>
            <w:vAlign w:val="top"/>
            <w:shd w:fill="F8F9FC"/>
          </w:tcPr>
          <w:p>
            <w:r>
              <w:rPr>
                <w:rFonts w:ascii="Liberation Sans" w:hAnsi="Liberation Sans"/>
                <w:color w:val="171A3A"/>
                <w:sz w:val="16"/>
              </w:rPr>
              <w:t>Any failed observation</w:t>
            </w:r>
          </w:p>
        </w:tc>
        <w:tc>
          <w:tcPr>
            <w:tcW w:type="dxa" w:w="5688"/>
            <w:tcMar>
              <w:top w:w="90" w:type="dxa"/>
              <w:start w:w="100" w:type="dxa"/>
              <w:bottom w:w="90" w:type="dxa"/>
              <w:end w:w="100" w:type="dxa"/>
            </w:tcMar>
            <w:vAlign w:val="top"/>
            <w:shd w:fill="F8F9FC"/>
          </w:tcPr>
          <w:p>
            <w:r>
              <w:rPr>
                <w:rFonts w:ascii="Liberation Sans" w:hAnsi="Liberation Sans"/>
                <w:color w:val="171A3A"/>
                <w:sz w:val="16"/>
              </w:rPr>
              <w:t>All principal refunded</w:t>
            </w:r>
          </w:p>
        </w:tc>
      </w:tr>
    </w:tbl>
    <w:p>
      <w:pPr>
        <w:spacing w:after="0"/>
      </w:pPr>
    </w:p>
    <w:p>
      <w:pPr>
        <w:pStyle w:val="Heading2"/>
        <w:keepNext/>
      </w:pPr>
      <w:r>
        <w:t>5.4 Probability display</w:t>
      </w:r>
    </w:p>
    <w:p>
      <w:pPr>
        <w:spacing w:after="140" w:line="269" w:lineRule="auto"/>
      </w:pPr>
      <w:r>
        <w:rPr>
          <w:rFonts w:ascii="Liberation Sans" w:hAnsi="Liberation Sans"/>
        </w:rPr>
        <w:t>For a pooled market, display implied probability as the share of effective pool value on each outcome, with clear labeling that it is market-implied rather than an objective probability. Keep three signals separate: market probability, Scry AI forecast and calibrated top-forecaster consensus. Their disagreement is part of the entertainment and information value.</w:t>
      </w:r>
    </w:p>
    <w:p>
      <w:pPr>
        <w:pStyle w:val="Heading2"/>
        <w:keepNext/>
      </w:pPr>
      <w:r>
        <w:t>5.5 Later market evolution</w:t>
      </w:r>
    </w:p>
    <w:p>
      <w:pPr>
        <w:pStyle w:val="ListBullet"/>
        <w:spacing w:after="60"/>
      </w:pPr>
      <w:r>
        <w:rPr>
          <w:rFonts w:ascii="Liberation Sans" w:hAnsi="Liberation Sans"/>
        </w:rPr>
        <w:t>V1.5: allow outcome-position transfers before lock if legal and liquidity design permit.</w:t>
      </w:r>
    </w:p>
    <w:p>
      <w:pPr>
        <w:pStyle w:val="ListBullet"/>
        <w:spacing w:after="60"/>
      </w:pPr>
      <w:r>
        <w:rPr>
          <w:rFonts w:ascii="Liberation Sans" w:hAnsi="Liberation Sans"/>
        </w:rPr>
        <w:t>V2: add an FPMM for selected high-demand multi-outcome markets with transparent protocol-seeded liquidity.</w:t>
      </w:r>
    </w:p>
    <w:p>
      <w:pPr>
        <w:pStyle w:val="ListBullet"/>
        <w:spacing w:after="60"/>
      </w:pPr>
      <w:r>
        <w:rPr>
          <w:rFonts w:ascii="Liberation Sans" w:hAnsi="Liberation Sans"/>
        </w:rPr>
        <w:t>V3: add a Polymarket-style off-chain signed order book with on-chain settlement for the most liquid markets.</w:t>
      </w:r>
    </w:p>
    <w:p>
      <w:pPr>
        <w:pStyle w:val="ListBullet"/>
        <w:spacing w:after="60"/>
      </w:pPr>
      <w:r>
        <w:rPr>
          <w:rFonts w:ascii="Liberation Sans" w:hAnsi="Liberation Sans"/>
        </w:rPr>
        <w:t>Keep the settlement and observation interfaces stable so market mechanisms can evolve independently.</w:t>
      </w:r>
    </w:p>
    <w:p>
      <w:pPr>
        <w:pStyle w:val="Heading1"/>
        <w:keepNext/>
      </w:pPr>
      <w:r>
        <w:t>6. Proof of Observation</w:t>
      </w:r>
    </w:p>
    <w:p>
      <w:pPr>
        <w:spacing w:after="140" w:line="269" w:lineRule="auto"/>
      </w:pPr>
      <w:r>
        <w:rPr>
          <w:rFonts w:ascii="Liberation Sans" w:hAnsi="Liberation Sans"/>
        </w:rPr>
        <w:t>Proof of Observation is Scry’s trust layer. It converts a private, high-bandwidth sensor stream into a compact, auditable on-chain statement: the sensor, observation window, measured value, winning outcome, stream-health statistics, model versions and cryptographic commitment to the evidence bundle.</w:t>
      </w:r>
    </w:p>
    <w:p>
      <w:pPr>
        <w:pStyle w:val="Heading2"/>
        <w:keepNext/>
      </w:pPr>
      <w:r>
        <w:t>6.1 Independent observer model</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2015"/>
            <w:shd w:fill="171A3A"/>
            <w:tcMar>
              <w:top w:w="100" w:type="dxa"/>
              <w:start w:w="100" w:type="dxa"/>
              <w:bottom w:w="100" w:type="dxa"/>
              <w:end w:w="100" w:type="dxa"/>
            </w:tcMar>
            <w:vAlign w:val="center"/>
          </w:tcPr>
          <w:p>
            <w:pPr>
              <w:jc w:val="center"/>
            </w:pPr>
            <w:r>
              <w:rPr>
                <w:rFonts w:ascii="Liberation Sans" w:hAnsi="Liberation Sans"/>
                <w:b/>
                <w:color w:val="FFFFFF"/>
                <w:sz w:val="16"/>
              </w:rPr>
              <w:t>Observer</w:t>
            </w:r>
          </w:p>
        </w:tc>
        <w:tc>
          <w:tcPr>
            <w:tcW w:type="dxa" w:w="4464"/>
            <w:shd w:fill="171A3A"/>
            <w:tcMar>
              <w:top w:w="100" w:type="dxa"/>
              <w:start w:w="100" w:type="dxa"/>
              <w:bottom w:w="100" w:type="dxa"/>
              <w:end w:w="100" w:type="dxa"/>
            </w:tcMar>
            <w:vAlign w:val="center"/>
          </w:tcPr>
          <w:p>
            <w:pPr>
              <w:jc w:val="center"/>
            </w:pPr>
            <w:r>
              <w:rPr>
                <w:rFonts w:ascii="Liberation Sans" w:hAnsi="Liberation Sans"/>
                <w:b/>
                <w:color w:val="FFFFFF"/>
                <w:sz w:val="16"/>
              </w:rPr>
              <w:t>Responsibility</w:t>
            </w:r>
          </w:p>
        </w:tc>
        <w:tc>
          <w:tcPr>
            <w:tcW w:type="dxa" w:w="2808"/>
            <w:shd w:fill="171A3A"/>
            <w:tcMar>
              <w:top w:w="100" w:type="dxa"/>
              <w:start w:w="100" w:type="dxa"/>
              <w:bottom w:w="100" w:type="dxa"/>
              <w:end w:w="100" w:type="dxa"/>
            </w:tcMar>
            <w:vAlign w:val="center"/>
          </w:tcPr>
          <w:p>
            <w:pPr>
              <w:jc w:val="center"/>
            </w:pPr>
            <w:r>
              <w:rPr>
                <w:rFonts w:ascii="Liberation Sans" w:hAnsi="Liberation Sans"/>
                <w:b/>
                <w:color w:val="FFFFFF"/>
                <w:sz w:val="16"/>
              </w:rPr>
              <w:t>Failure independence</w:t>
            </w:r>
          </w:p>
        </w:tc>
      </w:tr>
      <w:tr>
        <w:trPr>
          <w:cantSplit/>
        </w:trPr>
        <w:tc>
          <w:tcPr>
            <w:tcW w:type="dxa" w:w="2015"/>
            <w:tcMar>
              <w:top w:w="90" w:type="dxa"/>
              <w:start w:w="100" w:type="dxa"/>
              <w:bottom w:w="90" w:type="dxa"/>
              <w:end w:w="100" w:type="dxa"/>
            </w:tcMar>
            <w:vAlign w:val="top"/>
          </w:tcPr>
          <w:p>
            <w:r>
              <w:rPr>
                <w:rFonts w:ascii="Liberation Sans" w:hAnsi="Liberation Sans"/>
                <w:color w:val="171A3A"/>
                <w:sz w:val="16"/>
              </w:rPr>
              <w:t>Edge observer</w:t>
            </w:r>
          </w:p>
        </w:tc>
        <w:tc>
          <w:tcPr>
            <w:tcW w:type="dxa" w:w="4464"/>
            <w:tcMar>
              <w:top w:w="90" w:type="dxa"/>
              <w:start w:w="100" w:type="dxa"/>
              <w:bottom w:w="90" w:type="dxa"/>
              <w:end w:w="100" w:type="dxa"/>
            </w:tcMar>
            <w:vAlign w:val="top"/>
          </w:tcPr>
          <w:p>
            <w:r>
              <w:rPr>
                <w:rFonts w:ascii="Liberation Sans" w:hAnsi="Liberation Sans"/>
                <w:color w:val="171A3A"/>
                <w:sz w:val="16"/>
              </w:rPr>
              <w:t>Captures source timestamps, stream health and local event log</w:t>
            </w:r>
          </w:p>
        </w:tc>
        <w:tc>
          <w:tcPr>
            <w:tcW w:type="dxa" w:w="2808"/>
            <w:tcMar>
              <w:top w:w="90" w:type="dxa"/>
              <w:start w:w="100" w:type="dxa"/>
              <w:bottom w:w="90" w:type="dxa"/>
              <w:end w:w="100" w:type="dxa"/>
            </w:tcMar>
            <w:vAlign w:val="top"/>
          </w:tcPr>
          <w:p>
            <w:r>
              <w:rPr>
                <w:rFonts w:ascii="Liberation Sans" w:hAnsi="Liberation Sans"/>
                <w:color w:val="171A3A"/>
                <w:sz w:val="16"/>
              </w:rPr>
              <w:t>Runs near the camera or ingest point</w:t>
            </w:r>
          </w:p>
        </w:tc>
      </w:tr>
      <w:tr>
        <w:trPr>
          <w:cantSplit/>
        </w:trPr>
        <w:tc>
          <w:tcPr>
            <w:tcW w:type="dxa" w:w="2015"/>
            <w:tcMar>
              <w:top w:w="90" w:type="dxa"/>
              <w:start w:w="100" w:type="dxa"/>
              <w:bottom w:w="90" w:type="dxa"/>
              <w:end w:w="100" w:type="dxa"/>
            </w:tcMar>
            <w:vAlign w:val="top"/>
            <w:shd w:fill="F8F9FC"/>
          </w:tcPr>
          <w:p>
            <w:r>
              <w:rPr>
                <w:rFonts w:ascii="Liberation Sans" w:hAnsi="Liberation Sans"/>
                <w:color w:val="171A3A"/>
                <w:sz w:val="16"/>
              </w:rPr>
              <w:t>Primary vision observer</w:t>
            </w:r>
          </w:p>
        </w:tc>
        <w:tc>
          <w:tcPr>
            <w:tcW w:type="dxa" w:w="4464"/>
            <w:tcMar>
              <w:top w:w="90" w:type="dxa"/>
              <w:start w:w="100" w:type="dxa"/>
              <w:bottom w:w="90" w:type="dxa"/>
              <w:end w:w="100" w:type="dxa"/>
            </w:tcMar>
            <w:vAlign w:val="top"/>
            <w:shd w:fill="F8F9FC"/>
          </w:tcPr>
          <w:p>
            <w:r>
              <w:rPr>
                <w:rFonts w:ascii="Liberation Sans" w:hAnsi="Liberation Sans"/>
                <w:color w:val="171A3A"/>
                <w:sz w:val="16"/>
              </w:rPr>
              <w:t>Main detector, tracker and counting logic</w:t>
            </w:r>
          </w:p>
        </w:tc>
        <w:tc>
          <w:tcPr>
            <w:tcW w:type="dxa" w:w="2808"/>
            <w:tcMar>
              <w:top w:w="90" w:type="dxa"/>
              <w:start w:w="100" w:type="dxa"/>
              <w:bottom w:w="90" w:type="dxa"/>
              <w:end w:w="100" w:type="dxa"/>
            </w:tcMar>
            <w:vAlign w:val="top"/>
            <w:shd w:fill="F8F9FC"/>
          </w:tcPr>
          <w:p>
            <w:r>
              <w:rPr>
                <w:rFonts w:ascii="Liberation Sans" w:hAnsi="Liberation Sans"/>
                <w:color w:val="171A3A"/>
                <w:sz w:val="16"/>
              </w:rPr>
              <w:t>Primary production model and configuration</w:t>
            </w:r>
          </w:p>
        </w:tc>
      </w:tr>
      <w:tr>
        <w:trPr>
          <w:cantSplit/>
        </w:trPr>
        <w:tc>
          <w:tcPr>
            <w:tcW w:type="dxa" w:w="2015"/>
            <w:tcMar>
              <w:top w:w="90" w:type="dxa"/>
              <w:start w:w="100" w:type="dxa"/>
              <w:bottom w:w="90" w:type="dxa"/>
              <w:end w:w="100" w:type="dxa"/>
            </w:tcMar>
            <w:vAlign w:val="top"/>
          </w:tcPr>
          <w:p>
            <w:r>
              <w:rPr>
                <w:rFonts w:ascii="Liberation Sans" w:hAnsi="Liberation Sans"/>
                <w:color w:val="171A3A"/>
                <w:sz w:val="16"/>
              </w:rPr>
              <w:t>Verification observer</w:t>
            </w:r>
          </w:p>
        </w:tc>
        <w:tc>
          <w:tcPr>
            <w:tcW w:type="dxa" w:w="4464"/>
            <w:tcMar>
              <w:top w:w="90" w:type="dxa"/>
              <w:start w:w="100" w:type="dxa"/>
              <w:bottom w:w="90" w:type="dxa"/>
              <w:end w:w="100" w:type="dxa"/>
            </w:tcMar>
            <w:vAlign w:val="top"/>
          </w:tcPr>
          <w:p>
            <w:r>
              <w:rPr>
                <w:rFonts w:ascii="Liberation Sans" w:hAnsi="Liberation Sans"/>
                <w:color w:val="171A3A"/>
                <w:sz w:val="16"/>
              </w:rPr>
              <w:t>Independent model/configuration or secondary source</w:t>
            </w:r>
          </w:p>
        </w:tc>
        <w:tc>
          <w:tcPr>
            <w:tcW w:type="dxa" w:w="2808"/>
            <w:tcMar>
              <w:top w:w="90" w:type="dxa"/>
              <w:start w:w="100" w:type="dxa"/>
              <w:bottom w:w="90" w:type="dxa"/>
              <w:end w:w="100" w:type="dxa"/>
            </w:tcMar>
            <w:vAlign w:val="top"/>
          </w:tcPr>
          <w:p>
            <w:r>
              <w:rPr>
                <w:rFonts w:ascii="Liberation Sans" w:hAnsi="Liberation Sans"/>
                <w:color w:val="171A3A"/>
                <w:sz w:val="16"/>
              </w:rPr>
              <w:t>Separate process, credentials and ideally infrastructure</w:t>
            </w:r>
          </w:p>
        </w:tc>
      </w:tr>
    </w:tbl>
    <w:p>
      <w:pPr>
        <w:spacing w:after="0"/>
      </w:pPr>
    </w:p>
    <w:p>
      <w:pPr>
        <w:spacing w:after="140" w:line="269" w:lineRule="auto"/>
      </w:pPr>
      <w:r>
        <w:rPr>
          <w:rFonts w:ascii="Liberation Sans" w:hAnsi="Liberation Sans"/>
        </w:rPr>
        <w:t>A fast result requires matching EIP-712 signatures from at least two approved observers. Observer signing keys should be held in managed KMS/HSM infrastructure, not in application environment variables. One backend wallet must never have unilateral power to resolve every market.</w:t>
      </w:r>
    </w:p>
    <w:p>
      <w:pPr>
        <w:pStyle w:val="Heading2"/>
        <w:keepNext/>
      </w:pPr>
      <w:r>
        <w:t>6.2 Evidence bundle</w:t>
      </w:r>
    </w:p>
    <w:p>
      <w:pPr>
        <w:pStyle w:val="ListBullet"/>
        <w:spacing w:after="60"/>
      </w:pPr>
      <w:r>
        <w:rPr>
          <w:rFonts w:ascii="Liberation Sans" w:hAnsi="Liberation Sans"/>
        </w:rPr>
        <w:t>Market ID, stream ID and exact observation timestamps.</w:t>
      </w:r>
    </w:p>
    <w:p>
      <w:pPr>
        <w:pStyle w:val="ListBullet"/>
        <w:spacing w:after="60"/>
      </w:pPr>
      <w:r>
        <w:rPr>
          <w:rFonts w:ascii="Liberation Sans" w:hAnsi="Liberation Sans"/>
        </w:rPr>
        <w:t>Final count or state, winning outcome and confidence/quality metrics.</w:t>
      </w:r>
    </w:p>
    <w:p>
      <w:pPr>
        <w:pStyle w:val="ListBullet"/>
        <w:spacing w:after="60"/>
      </w:pPr>
      <w:r>
        <w:rPr>
          <w:rFonts w:ascii="Liberation Sans" w:hAnsi="Liberation Sans"/>
        </w:rPr>
        <w:t>Per-second or per-minute aggregate counts and stream-health timeline.</w:t>
      </w:r>
    </w:p>
    <w:p>
      <w:pPr>
        <w:pStyle w:val="ListBullet"/>
        <w:spacing w:after="60"/>
      </w:pPr>
      <w:r>
        <w:rPr>
          <w:rFonts w:ascii="Liberation Sans" w:hAnsi="Liberation Sans"/>
        </w:rPr>
        <w:t>Anonymized short replay or dispute clip stored encrypted with limited retention.</w:t>
      </w:r>
    </w:p>
    <w:p>
      <w:pPr>
        <w:pStyle w:val="ListBullet"/>
        <w:spacing w:after="60"/>
      </w:pPr>
      <w:r>
        <w:rPr>
          <w:rFonts w:ascii="Liberation Sans" w:hAnsi="Liberation Sans"/>
        </w:rPr>
        <w:t>Model, tracker, calibration and rule versions.</w:t>
      </w:r>
    </w:p>
    <w:p>
      <w:pPr>
        <w:pStyle w:val="ListBullet"/>
        <w:spacing w:after="60"/>
      </w:pPr>
      <w:r>
        <w:rPr>
          <w:rFonts w:ascii="Liberation Sans" w:hAnsi="Liberation Sans"/>
        </w:rPr>
        <w:t>Merkle root or content hash anchored in the market result transaction.</w:t>
      </w:r>
    </w:p>
    <w:p>
      <w:pPr>
        <w:pStyle w:val="Heading2"/>
        <w:keepNext/>
      </w:pPr>
      <w:r>
        <w:t>6.3 Fast path and dispute path</w:t>
      </w:r>
    </w:p>
    <w:p>
      <w:pPr>
        <w:spacing w:after="140" w:line="269" w:lineRule="auto"/>
      </w:pPr>
      <w:r>
        <w:rPr>
          <w:rFonts w:ascii="Liberation Sans" w:hAnsi="Liberation Sans"/>
        </w:rPr>
        <w:t>The normal path should finalize quickly when observers agree and no challenge is filed. UMA is suitable as an exceptional dispute and arbitration layer because it supports arbitrary data assertions and prediction-market patterns. However, Base is listed as an unmonitored UMA network, so Scry must operate its own proposer/disputer monitoring. UMA should not resolve every ten-minute camera market because its dispute lifecycle is intentionally more deliberate than Scry’s normal fast path.</w:t>
      </w:r>
      <w:r>
        <w:rPr>
          <w:rFonts w:ascii="Liberation Sans" w:hAnsi="Liberation Sans"/>
          <w:color w:val="6C5CE7"/>
          <w:sz w:val="16"/>
          <w:vertAlign w:val="superscript"/>
        </w:rPr>
        <w:t xml:space="preserve"> [5]</w:t>
      </w:r>
      <w:r>
        <w:rPr>
          <w:rFonts w:ascii="Liberation Sans" w:hAnsi="Liberation Sans"/>
          <w:color w:val="6C5CE7"/>
          <w:sz w:val="16"/>
          <w:vertAlign w:val="superscript"/>
        </w:rPr>
        <w:t xml:space="preserve"> [6]</w:t>
      </w:r>
    </w:p>
    <w:p>
      <w:pPr>
        <w:pStyle w:val="Heading2"/>
        <w:keepNext/>
      </w:pPr>
      <w:r>
        <w:t>6.4 Invalid-market policy</w:t>
      </w:r>
    </w:p>
    <w:p>
      <w:pPr>
        <w:spacing w:after="140" w:line="269" w:lineRule="auto"/>
      </w:pPr>
      <w:r>
        <w:rPr>
          <w:rFonts w:ascii="Liberation Sans" w:hAnsi="Liberation Sans"/>
        </w:rPr>
        <w:t>The safest oracle sometimes says “invalid.” Automatic invalidation should occur when uptime falls below the market rule, visibility is outside validated conditions, observer results diverge beyond tolerance, timestamps are inconsistent, evidence storage fails or manipulation is suspected. Invalid markets refund principal; protocol and sponsor reward treatment must be defined in advance.</w:t>
      </w:r>
    </w:p>
    <w:p>
      <w:pPr>
        <w:pStyle w:val="Heading1"/>
        <w:keepNext/>
      </w:pPr>
      <w:r>
        <w:t>7. Chain decision: why Base</w:t>
      </w:r>
    </w:p>
    <w:p>
      <w:pPr>
        <w:spacing w:after="140" w:line="269" w:lineRule="auto"/>
      </w:pPr>
      <w:r>
        <w:rPr>
          <w:rFonts w:ascii="Liberation Sans" w:hAnsi="Liberation Sans"/>
        </w:rPr>
        <w:t>Base is the recommended primary deployment. The decisive factor is not raw transactions per second; live pixels and counters remain off-chain. Scry needs EVM tooling, USDC, reliable settlement, account abstraction, gas sponsorship, consumer onboarding, oracle compatibility and an ecosystem that is actively seeking prediction-market builders.</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tblHeader w:val="true"/>
          <w:cantSplit/>
        </w:trPr>
        <w:tc>
          <w:tcPr>
            <w:tcW w:type="dxa" w:w="1440"/>
            <w:shd w:fill="171A3A"/>
            <w:tcMar>
              <w:top w:w="100" w:type="dxa"/>
              <w:start w:w="100" w:type="dxa"/>
              <w:bottom w:w="100" w:type="dxa"/>
              <w:end w:w="100" w:type="dxa"/>
            </w:tcMar>
            <w:vAlign w:val="center"/>
          </w:tcPr>
          <w:p>
            <w:pPr>
              <w:jc w:val="center"/>
            </w:pPr>
            <w:r>
              <w:rPr>
                <w:rFonts w:ascii="Liberation Sans" w:hAnsi="Liberation Sans"/>
                <w:b/>
                <w:color w:val="FFFFFF"/>
                <w:sz w:val="15"/>
              </w:rPr>
              <w:t>Network</w:t>
            </w:r>
          </w:p>
        </w:tc>
        <w:tc>
          <w:tcPr>
            <w:tcW w:type="dxa" w:w="3528"/>
            <w:shd w:fill="171A3A"/>
            <w:tcMar>
              <w:top w:w="100" w:type="dxa"/>
              <w:start w:w="100" w:type="dxa"/>
              <w:bottom w:w="100" w:type="dxa"/>
              <w:end w:w="100" w:type="dxa"/>
            </w:tcMar>
            <w:vAlign w:val="center"/>
          </w:tcPr>
          <w:p>
            <w:pPr>
              <w:jc w:val="center"/>
            </w:pPr>
            <w:r>
              <w:rPr>
                <w:rFonts w:ascii="Liberation Sans" w:hAnsi="Liberation Sans"/>
                <w:b/>
                <w:color w:val="FFFFFF"/>
                <w:sz w:val="15"/>
              </w:rPr>
              <w:t>Strength for Scry</w:t>
            </w:r>
          </w:p>
        </w:tc>
        <w:tc>
          <w:tcPr>
            <w:tcW w:type="dxa" w:w="2951"/>
            <w:shd w:fill="171A3A"/>
            <w:tcMar>
              <w:top w:w="100" w:type="dxa"/>
              <w:start w:w="100" w:type="dxa"/>
              <w:bottom w:w="100" w:type="dxa"/>
              <w:end w:w="100" w:type="dxa"/>
            </w:tcMar>
            <w:vAlign w:val="center"/>
          </w:tcPr>
          <w:p>
            <w:pPr>
              <w:jc w:val="center"/>
            </w:pPr>
            <w:r>
              <w:rPr>
                <w:rFonts w:ascii="Liberation Sans" w:hAnsi="Liberation Sans"/>
                <w:b/>
                <w:color w:val="FFFFFF"/>
                <w:sz w:val="15"/>
              </w:rPr>
              <w:t>Constraint</w:t>
            </w:r>
          </w:p>
        </w:tc>
        <w:tc>
          <w:tcPr>
            <w:tcW w:type="dxa" w:w="1440"/>
            <w:shd w:fill="171A3A"/>
            <w:tcMar>
              <w:top w:w="100" w:type="dxa"/>
              <w:start w:w="100" w:type="dxa"/>
              <w:bottom w:w="100" w:type="dxa"/>
              <w:end w:w="100" w:type="dxa"/>
            </w:tcMar>
            <w:vAlign w:val="center"/>
          </w:tcPr>
          <w:p>
            <w:pPr>
              <w:jc w:val="center"/>
            </w:pPr>
            <w:r>
              <w:rPr>
                <w:rFonts w:ascii="Liberation Sans" w:hAnsi="Liberation Sans"/>
                <w:b/>
                <w:color w:val="FFFFFF"/>
                <w:sz w:val="15"/>
              </w:rPr>
              <w:t>Role</w:t>
            </w:r>
          </w:p>
        </w:tc>
      </w:tr>
      <w:tr>
        <w:trPr>
          <w:cantSplit/>
        </w:trPr>
        <w:tc>
          <w:tcPr>
            <w:tcW w:type="dxa" w:w="1440"/>
            <w:tcMar>
              <w:top w:w="90" w:type="dxa"/>
              <w:start w:w="100" w:type="dxa"/>
              <w:bottom w:w="90" w:type="dxa"/>
              <w:end w:w="100" w:type="dxa"/>
            </w:tcMar>
            <w:vAlign w:val="top"/>
          </w:tcPr>
          <w:p>
            <w:r>
              <w:rPr>
                <w:rFonts w:ascii="Liberation Sans" w:hAnsi="Liberation Sans"/>
                <w:color w:val="171A3A"/>
                <w:sz w:val="15"/>
              </w:rPr>
              <w:t>Base</w:t>
            </w:r>
          </w:p>
        </w:tc>
        <w:tc>
          <w:tcPr>
            <w:tcW w:type="dxa" w:w="3528"/>
            <w:tcMar>
              <w:top w:w="90" w:type="dxa"/>
              <w:start w:w="100" w:type="dxa"/>
              <w:bottom w:w="90" w:type="dxa"/>
              <w:end w:w="100" w:type="dxa"/>
            </w:tcMar>
            <w:vAlign w:val="top"/>
          </w:tcPr>
          <w:p>
            <w:r>
              <w:rPr>
                <w:rFonts w:ascii="Liberation Sans" w:hAnsi="Liberation Sans"/>
                <w:color w:val="171A3A"/>
                <w:sz w:val="15"/>
              </w:rPr>
              <w:t>Prediction markets named in current funding thesis; Base Account, USDC and paymasters; EVM</w:t>
            </w:r>
          </w:p>
        </w:tc>
        <w:tc>
          <w:tcPr>
            <w:tcW w:type="dxa" w:w="2951"/>
            <w:tcMar>
              <w:top w:w="90" w:type="dxa"/>
              <w:start w:w="100" w:type="dxa"/>
              <w:bottom w:w="90" w:type="dxa"/>
              <w:end w:w="100" w:type="dxa"/>
            </w:tcMar>
            <w:vAlign w:val="top"/>
          </w:tcPr>
          <w:p>
            <w:r>
              <w:rPr>
                <w:rFonts w:ascii="Liberation Sans" w:hAnsi="Liberation Sans"/>
                <w:color w:val="171A3A"/>
                <w:sz w:val="15"/>
              </w:rPr>
              <w:t>Less prediction-market precedent than Polygon</w:t>
            </w:r>
          </w:p>
        </w:tc>
        <w:tc>
          <w:tcPr>
            <w:tcW w:type="dxa" w:w="1440"/>
            <w:tcMar>
              <w:top w:w="90" w:type="dxa"/>
              <w:start w:w="100" w:type="dxa"/>
              <w:bottom w:w="90" w:type="dxa"/>
              <w:end w:w="100" w:type="dxa"/>
            </w:tcMar>
            <w:vAlign w:val="top"/>
          </w:tcPr>
          <w:p>
            <w:r>
              <w:rPr>
                <w:rFonts w:ascii="Liberation Sans" w:hAnsi="Liberation Sans"/>
                <w:color w:val="171A3A"/>
                <w:sz w:val="15"/>
              </w:rPr>
              <w:t>Primary launch</w:t>
            </w:r>
          </w:p>
        </w:tc>
      </w:tr>
      <w:tr>
        <w:trPr>
          <w:cantSplit/>
        </w:trPr>
        <w:tc>
          <w:tcPr>
            <w:tcW w:type="dxa" w:w="1440"/>
            <w:tcMar>
              <w:top w:w="90" w:type="dxa"/>
              <w:start w:w="100" w:type="dxa"/>
              <w:bottom w:w="90" w:type="dxa"/>
              <w:end w:w="100" w:type="dxa"/>
            </w:tcMar>
            <w:vAlign w:val="top"/>
            <w:shd w:fill="F8F9FC"/>
          </w:tcPr>
          <w:p>
            <w:r>
              <w:rPr>
                <w:rFonts w:ascii="Liberation Sans" w:hAnsi="Liberation Sans"/>
                <w:color w:val="171A3A"/>
                <w:sz w:val="15"/>
              </w:rPr>
              <w:t>Polygon</w:t>
            </w:r>
          </w:p>
        </w:tc>
        <w:tc>
          <w:tcPr>
            <w:tcW w:type="dxa" w:w="3528"/>
            <w:tcMar>
              <w:top w:w="90" w:type="dxa"/>
              <w:start w:w="100" w:type="dxa"/>
              <w:bottom w:w="90" w:type="dxa"/>
              <w:end w:w="100" w:type="dxa"/>
            </w:tcMar>
            <w:vAlign w:val="top"/>
            <w:shd w:fill="F8F9FC"/>
          </w:tcPr>
          <w:p>
            <w:r>
              <w:rPr>
                <w:rFonts w:ascii="Liberation Sans" w:hAnsi="Liberation Sans"/>
                <w:color w:val="171A3A"/>
                <w:sz w:val="15"/>
              </w:rPr>
              <w:t>Polymarket precedent, cheap EVM execution and fast finality</w:t>
            </w:r>
          </w:p>
        </w:tc>
        <w:tc>
          <w:tcPr>
            <w:tcW w:type="dxa" w:w="2951"/>
            <w:tcMar>
              <w:top w:w="90" w:type="dxa"/>
              <w:start w:w="100" w:type="dxa"/>
              <w:bottom w:w="90" w:type="dxa"/>
              <w:end w:w="100" w:type="dxa"/>
            </w:tcMar>
            <w:vAlign w:val="top"/>
            <w:shd w:fill="F8F9FC"/>
          </w:tcPr>
          <w:p>
            <w:r>
              <w:rPr>
                <w:rFonts w:ascii="Liberation Sans" w:hAnsi="Liberation Sans"/>
                <w:color w:val="171A3A"/>
                <w:sz w:val="15"/>
              </w:rPr>
              <w:t>Easy to be perceived as a Polymarket derivative</w:t>
            </w:r>
          </w:p>
        </w:tc>
        <w:tc>
          <w:tcPr>
            <w:tcW w:type="dxa" w:w="1440"/>
            <w:tcMar>
              <w:top w:w="90" w:type="dxa"/>
              <w:start w:w="100" w:type="dxa"/>
              <w:bottom w:w="90" w:type="dxa"/>
              <w:end w:w="100" w:type="dxa"/>
            </w:tcMar>
            <w:vAlign w:val="top"/>
            <w:shd w:fill="F8F9FC"/>
          </w:tcPr>
          <w:p>
            <w:r>
              <w:rPr>
                <w:rFonts w:ascii="Liberation Sans" w:hAnsi="Liberation Sans"/>
                <w:color w:val="171A3A"/>
                <w:sz w:val="15"/>
              </w:rPr>
              <w:t>Compatibility/reference deployment later</w:t>
            </w:r>
          </w:p>
        </w:tc>
      </w:tr>
      <w:tr>
        <w:trPr>
          <w:cantSplit/>
        </w:trPr>
        <w:tc>
          <w:tcPr>
            <w:tcW w:type="dxa" w:w="1440"/>
            <w:tcMar>
              <w:top w:w="90" w:type="dxa"/>
              <w:start w:w="100" w:type="dxa"/>
              <w:bottom w:w="90" w:type="dxa"/>
              <w:end w:w="100" w:type="dxa"/>
            </w:tcMar>
            <w:vAlign w:val="top"/>
          </w:tcPr>
          <w:p>
            <w:r>
              <w:rPr>
                <w:rFonts w:ascii="Liberation Sans" w:hAnsi="Liberation Sans"/>
                <w:color w:val="171A3A"/>
                <w:sz w:val="15"/>
              </w:rPr>
              <w:t>Robinhood Chain</w:t>
            </w:r>
          </w:p>
        </w:tc>
        <w:tc>
          <w:tcPr>
            <w:tcW w:type="dxa" w:w="3528"/>
            <w:tcMar>
              <w:top w:w="90" w:type="dxa"/>
              <w:start w:w="100" w:type="dxa"/>
              <w:bottom w:w="90" w:type="dxa"/>
              <w:end w:w="100" w:type="dxa"/>
            </w:tcMar>
            <w:vAlign w:val="top"/>
          </w:tcPr>
          <w:p>
            <w:r>
              <w:rPr>
                <w:rFonts w:ascii="Liberation Sans" w:hAnsi="Liberation Sans"/>
                <w:color w:val="171A3A"/>
                <w:sz w:val="15"/>
              </w:rPr>
              <w:t>New financial L2, EVM/Arbitrum tooling and first-mover potential</w:t>
            </w:r>
          </w:p>
        </w:tc>
        <w:tc>
          <w:tcPr>
            <w:tcW w:type="dxa" w:w="2951"/>
            <w:tcMar>
              <w:top w:w="90" w:type="dxa"/>
              <w:start w:w="100" w:type="dxa"/>
              <w:bottom w:w="90" w:type="dxa"/>
              <w:end w:w="100" w:type="dxa"/>
            </w:tcMar>
            <w:vAlign w:val="top"/>
          </w:tcPr>
          <w:p>
            <w:r>
              <w:rPr>
                <w:rFonts w:ascii="Liberation Sans" w:hAnsi="Liberation Sans"/>
                <w:color w:val="171A3A"/>
                <w:sz w:val="15"/>
              </w:rPr>
              <w:t>Very new ecosystem; support does not guarantee Robinhood distribution</w:t>
            </w:r>
          </w:p>
        </w:tc>
        <w:tc>
          <w:tcPr>
            <w:tcW w:type="dxa" w:w="1440"/>
            <w:tcMar>
              <w:top w:w="90" w:type="dxa"/>
              <w:start w:w="100" w:type="dxa"/>
              <w:bottom w:w="90" w:type="dxa"/>
              <w:end w:w="100" w:type="dxa"/>
            </w:tcMar>
            <w:vAlign w:val="top"/>
          </w:tcPr>
          <w:p>
            <w:r>
              <w:rPr>
                <w:rFonts w:ascii="Liberation Sans" w:hAnsi="Liberation Sans"/>
                <w:color w:val="171A3A"/>
                <w:sz w:val="15"/>
              </w:rPr>
              <w:t>Strategic second deployment</w:t>
            </w:r>
          </w:p>
        </w:tc>
      </w:tr>
      <w:tr>
        <w:trPr>
          <w:cantSplit/>
        </w:trPr>
        <w:tc>
          <w:tcPr>
            <w:tcW w:type="dxa" w:w="1440"/>
            <w:tcMar>
              <w:top w:w="90" w:type="dxa"/>
              <w:start w:w="100" w:type="dxa"/>
              <w:bottom w:w="90" w:type="dxa"/>
              <w:end w:w="100" w:type="dxa"/>
            </w:tcMar>
            <w:vAlign w:val="top"/>
            <w:shd w:fill="F8F9FC"/>
          </w:tcPr>
          <w:p>
            <w:r>
              <w:rPr>
                <w:rFonts w:ascii="Liberation Sans" w:hAnsi="Liberation Sans"/>
                <w:color w:val="171A3A"/>
                <w:sz w:val="15"/>
              </w:rPr>
              <w:t>Solana</w:t>
            </w:r>
          </w:p>
        </w:tc>
        <w:tc>
          <w:tcPr>
            <w:tcW w:type="dxa" w:w="3528"/>
            <w:tcMar>
              <w:top w:w="90" w:type="dxa"/>
              <w:start w:w="100" w:type="dxa"/>
              <w:bottom w:w="90" w:type="dxa"/>
              <w:end w:w="100" w:type="dxa"/>
            </w:tcMar>
            <w:vAlign w:val="top"/>
            <w:shd w:fill="F8F9FC"/>
          </w:tcPr>
          <w:p>
            <w:r>
              <w:rPr>
                <w:rFonts w:ascii="Liberation Sans" w:hAnsi="Liberation Sans"/>
                <w:color w:val="171A3A"/>
                <w:sz w:val="15"/>
              </w:rPr>
              <w:t>Very low fees and high-frequency execution</w:t>
            </w:r>
          </w:p>
        </w:tc>
        <w:tc>
          <w:tcPr>
            <w:tcW w:type="dxa" w:w="2951"/>
            <w:tcMar>
              <w:top w:w="90" w:type="dxa"/>
              <w:start w:w="100" w:type="dxa"/>
              <w:bottom w:w="90" w:type="dxa"/>
              <w:end w:w="100" w:type="dxa"/>
            </w:tcMar>
            <w:vAlign w:val="top"/>
            <w:shd w:fill="F8F9FC"/>
          </w:tcPr>
          <w:p>
            <w:r>
              <w:rPr>
                <w:rFonts w:ascii="Liberation Sans" w:hAnsi="Liberation Sans"/>
                <w:color w:val="171A3A"/>
                <w:sz w:val="15"/>
              </w:rPr>
              <w:t>Different program stack and unnecessary throughput advantage for V1</w:t>
            </w:r>
          </w:p>
        </w:tc>
        <w:tc>
          <w:tcPr>
            <w:tcW w:type="dxa" w:w="1440"/>
            <w:tcMar>
              <w:top w:w="90" w:type="dxa"/>
              <w:start w:w="100" w:type="dxa"/>
              <w:bottom w:w="90" w:type="dxa"/>
              <w:end w:w="100" w:type="dxa"/>
            </w:tcMar>
            <w:vAlign w:val="top"/>
            <w:shd w:fill="F8F9FC"/>
          </w:tcPr>
          <w:p>
            <w:r>
              <w:rPr>
                <w:rFonts w:ascii="Liberation Sans" w:hAnsi="Liberation Sans"/>
                <w:color w:val="171A3A"/>
                <w:sz w:val="15"/>
              </w:rPr>
              <w:t>Consider only for agent-heavy order flow</w:t>
            </w:r>
          </w:p>
        </w:tc>
      </w:tr>
    </w:tbl>
    <w:p>
      <w:pPr>
        <w:spacing w:after="0"/>
      </w:pPr>
    </w:p>
    <w:p>
      <w:pPr>
        <w:pStyle w:val="Heading2"/>
        <w:keepNext/>
      </w:pPr>
      <w:r>
        <w:t>7.1 Base support advantage</w:t>
      </w:r>
    </w:p>
    <w:p>
      <w:pPr>
        <w:spacing w:after="140" w:line="269" w:lineRule="auto"/>
      </w:pPr>
      <w:r>
        <w:rPr>
          <w:rFonts w:ascii="Liberation Sans" w:hAnsi="Liberation Sans"/>
        </w:rPr>
        <w:t>Base’s July 2026 “Request for Builders” explicitly includes prediction markets among the categories its Ecosystem Fund wants to support. Base Account documentation describes universal sign-in and one-tap USDC payments, while paymaster support allows applications to sponsor user transactions. These are directly relevant to a consumer product where users should not need to understand gas before making a small prediction.</w:t>
      </w:r>
      <w:r>
        <w:rPr>
          <w:rFonts w:ascii="Liberation Sans" w:hAnsi="Liberation Sans"/>
          <w:color w:val="6C5CE7"/>
          <w:sz w:val="16"/>
          <w:vertAlign w:val="superscript"/>
        </w:rPr>
        <w:t xml:space="preserve"> [1]</w:t>
      </w:r>
      <w:r>
        <w:rPr>
          <w:rFonts w:ascii="Liberation Sans" w:hAnsi="Liberation Sans"/>
          <w:color w:val="6C5CE7"/>
          <w:sz w:val="16"/>
          <w:vertAlign w:val="superscript"/>
        </w:rPr>
        <w:t xml:space="preserve"> [2]</w:t>
      </w:r>
      <w:r>
        <w:rPr>
          <w:rFonts w:ascii="Liberation Sans" w:hAnsi="Liberation Sans"/>
          <w:color w:val="6C5CE7"/>
          <w:sz w:val="16"/>
          <w:vertAlign w:val="superscript"/>
        </w:rPr>
        <w:t xml:space="preserve"> [3]</w:t>
      </w:r>
    </w:p>
    <w:p>
      <w:pPr>
        <w:pStyle w:val="Heading2"/>
        <w:keepNext/>
      </w:pPr>
      <w:r>
        <w:t>7.2 Why Robinhood Chain is second</w:t>
      </w:r>
    </w:p>
    <w:p>
      <w:pPr>
        <w:spacing w:after="140" w:line="269" w:lineRule="auto"/>
      </w:pPr>
      <w:r>
        <w:rPr>
          <w:rFonts w:ascii="Liberation Sans" w:hAnsi="Liberation Sans"/>
        </w:rPr>
        <w:t>Robinhood Chain launched mainnet on 1 July 2026 as an EVM-compatible chain built with Arbitrum technology. Robinhood also committed $1 million to the 2026 Arbitrum Open House program during its testnet phase. Scry has a strong “first physical-world prediction market” story there, but the ecosystem is too new to make it the sole dependency for the first product.</w:t>
      </w:r>
      <w:r>
        <w:rPr>
          <w:rFonts w:ascii="Liberation Sans" w:hAnsi="Liberation Sans"/>
          <w:color w:val="6C5CE7"/>
          <w:sz w:val="16"/>
          <w:vertAlign w:val="superscript"/>
        </w:rPr>
        <w:t xml:space="preserve"> [7]</w:t>
      </w:r>
      <w:r>
        <w:rPr>
          <w:rFonts w:ascii="Liberation Sans" w:hAnsi="Liberation Sans"/>
          <w:color w:val="6C5CE7"/>
          <w:sz w:val="16"/>
          <w:vertAlign w:val="superscript"/>
        </w:rPr>
        <w:t xml:space="preserve"> [8]</w:t>
      </w:r>
    </w:p>
    <w:p>
      <w:pPr>
        <w:pStyle w:val="Heading2"/>
        <w:keepNext/>
      </w:pPr>
      <w:r>
        <w:t>7.3 Portability rule</w:t>
      </w:r>
    </w:p>
    <w:p>
      <w:pPr>
        <w:spacing w:after="140" w:line="269" w:lineRule="auto"/>
      </w:pPr>
      <w:r>
        <w:rPr>
          <w:rFonts w:ascii="Liberation Sans" w:hAnsi="Liberation Sans"/>
        </w:rPr>
        <w:t>Keep the contracts EVM-portable. Isolate chain configuration, paymaster integration, oracle addresses and stablecoin addresses. Avoid Base-only logic in core market accounting. This preserves the option to deploy on Robinhood Chain or Polygon without fragmenting product development during V1.</w:t>
      </w:r>
    </w:p>
    <w:p>
      <w:pPr>
        <w:pStyle w:val="Heading1"/>
        <w:keepNext/>
      </w:pPr>
      <w:r>
        <w:t>8. Production architecture</w:t>
      </w:r>
    </w:p>
    <w:p>
      <w:r>
        <w:drawing>
          <wp:inline xmlns:a="http://schemas.openxmlformats.org/drawingml/2006/main" xmlns:pic="http://schemas.openxmlformats.org/drawingml/2006/picture">
            <wp:extent cx="6172200" cy="3840480"/>
            <wp:docPr id="2" name="Picture 2" descr="Hybrid Scry production architecture connecting authorized streams, edge intelligence, the live platform, market and oracle services, users, and supporting data, forecasting, trust, and operations planes." title="Hybrid Scry production architecture connecting authorized streams, edge intelligence, the live platform, market and oracle services, users, and supporting data, forecasting, trust, and operations planes."/>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172200" cy="3840480"/>
                    </a:xfrm>
                    <a:prstGeom prst="rect"/>
                  </pic:spPr>
                </pic:pic>
              </a:graphicData>
            </a:graphic>
          </wp:inline>
        </w:drawing>
      </w:r>
    </w:p>
    <w:p>
      <w:pPr>
        <w:jc w:val="center"/>
      </w:pPr>
      <w:r>
        <w:rPr>
          <w:rFonts w:ascii="Liberation Sans" w:hAnsi="Liberation Sans"/>
          <w:i/>
          <w:color w:val="667085"/>
          <w:sz w:val="16"/>
        </w:rPr>
        <w:t>Figure 2. Hybrid architecture for multiple live streams and on-chain settlement.</w:t>
      </w:r>
    </w:p>
    <w:p>
      <w:pPr>
        <w:pStyle w:val="Heading2"/>
        <w:keepNext/>
      </w:pPr>
      <w:r>
        <w:t>8.1 Stream and edge plane</w:t>
      </w:r>
    </w:p>
    <w:p>
      <w:pPr>
        <w:spacing w:after="140" w:line="269" w:lineRule="auto"/>
      </w:pPr>
      <w:r>
        <w:rPr>
          <w:rFonts w:ascii="Liberation Sans" w:hAnsi="Liberation Sans"/>
        </w:rPr>
        <w:t>Authorized RTSP or SRT sources enter regional ingest nodes. GStreamer handles media pipelines; NVIDIA DeepStream handles hardware-accelerated decoding, batching, inference, tracking and multi-source analytics. NVIDIA documents camera/RTSP inputs and multi-stream processing, making it a strong production fit once Scry operates several feeds.</w:t>
      </w:r>
      <w:r>
        <w:rPr>
          <w:rFonts w:ascii="Liberation Sans" w:hAnsi="Liberation Sans"/>
          <w:color w:val="6C5CE7"/>
          <w:sz w:val="16"/>
          <w:vertAlign w:val="superscript"/>
        </w:rPr>
        <w:t xml:space="preserve"> [9]</w:t>
      </w:r>
    </w:p>
    <w:p>
      <w:pPr>
        <w:spacing w:after="140" w:line="269" w:lineRule="auto"/>
      </w:pPr>
      <w:r>
        <w:rPr>
          <w:rFonts w:ascii="Liberation Sans" w:hAnsi="Liberation Sans"/>
        </w:rPr>
        <w:t>The public stream is a processed derivative: faces and plates are blurred where necessary, raw identifying overlays are removed, and a clear “anonymized feed” indicator is displayed. Raw source access is limited to the trusted processing boundary and short evidence retention policy.</w:t>
      </w:r>
    </w:p>
    <w:p>
      <w:pPr>
        <w:pStyle w:val="Heading2"/>
        <w:keepNext/>
      </w:pPr>
      <w:r>
        <w:t>8.2 Media delivery</w:t>
      </w:r>
    </w:p>
    <w:p>
      <w:pPr>
        <w:spacing w:after="140" w:line="269" w:lineRule="auto"/>
      </w:pPr>
      <w:r>
        <w:rPr>
          <w:rFonts w:ascii="Liberation Sans" w:hAnsi="Liberation Sans"/>
        </w:rPr>
        <w:t>Publish processed media to LiveKit through RTMP, WHIP or SRT ingress and deliver it to browsers over WebRTC. LiveKit’s ingress service supports these source types and automatic transcoding. Low-latency HLS can be used as a fallback for very large read-only audiences when sub-second interaction is not required.</w:t>
      </w:r>
      <w:r>
        <w:rPr>
          <w:rFonts w:ascii="Liberation Sans" w:hAnsi="Liberation Sans"/>
          <w:color w:val="6C5CE7"/>
          <w:sz w:val="16"/>
          <w:vertAlign w:val="superscript"/>
        </w:rPr>
        <w:t xml:space="preserve"> [10]</w:t>
      </w:r>
    </w:p>
    <w:p>
      <w:pPr>
        <w:pStyle w:val="Heading2"/>
        <w:keepNext/>
      </w:pPr>
      <w:r>
        <w:t>8.3 Event and realtime plane</w:t>
      </w:r>
    </w:p>
    <w:p>
      <w:pPr>
        <w:spacing w:after="140" w:line="269" w:lineRule="auto"/>
      </w:pPr>
      <w:r>
        <w:rPr>
          <w:rFonts w:ascii="Liberation Sans" w:hAnsi="Liberation Sans"/>
        </w:rPr>
        <w:t>Computer-vision events, stream health, market state and oracle jobs flow through NATS JetStream. Durable consumers provide persisted delivery state, replay and at-least-once delivery semantics, which are useful when an observation or settlement worker restarts during a market window.</w:t>
      </w:r>
      <w:r>
        <w:rPr>
          <w:rFonts w:ascii="Liberation Sans" w:hAnsi="Liberation Sans"/>
          <w:color w:val="6C5CE7"/>
          <w:sz w:val="16"/>
          <w:vertAlign w:val="superscript"/>
        </w:rPr>
        <w:t xml:space="preserve"> [11]</w:t>
      </w:r>
    </w:p>
    <w:p>
      <w:pPr>
        <w:pStyle w:val="Heading2"/>
        <w:keepNext/>
      </w:pPr>
      <w:r>
        <w:t>8.4 Data plane</w:t>
      </w:r>
    </w:p>
    <w:p>
      <w:pPr>
        <w:spacing w:after="140" w:line="269" w:lineRule="auto"/>
      </w:pPr>
      <w:r>
        <w:rPr>
          <w:rFonts w:ascii="Liberation Sans" w:hAnsi="Liberation Sans"/>
        </w:rPr>
        <w:t>PostgreSQL stores core application entities. TimescaleDB hypertables store timestamped counts, forecast histories, stream health and market probabilities; hypertables automatically partition time-series data. Redis serves hot room state, rate limits, current counts and cached leaderboards. R2 or S3 stores encrypted evidence bundles and anonymized replays.</w:t>
      </w:r>
      <w:r>
        <w:rPr>
          <w:rFonts w:ascii="Liberation Sans" w:hAnsi="Liberation Sans"/>
          <w:color w:val="6C5CE7"/>
          <w:sz w:val="16"/>
          <w:vertAlign w:val="superscript"/>
        </w:rPr>
        <w:t xml:space="preserve"> [12]</w:t>
      </w:r>
    </w:p>
    <w:p>
      <w:pPr>
        <w:pStyle w:val="Heading2"/>
        <w:keepNext/>
      </w:pPr>
      <w:r>
        <w:t>8.5 Forecasting plane</w:t>
      </w:r>
    </w:p>
    <w:p>
      <w:pPr>
        <w:spacing w:after="140" w:line="269" w:lineRule="auto"/>
      </w:pPr>
      <w:r>
        <w:rPr>
          <w:rFonts w:ascii="Liberation Sans" w:hAnsi="Liberation Sans"/>
        </w:rPr>
        <w:t>The prediction model is separate from the resolution counter. Begin with historical baselines plus LightGBM/XGBoost using recent count windows, time, weekday, weather, events, stream quality and rate-of-change features. Track models and backtests in MLflow. The AI forecast must never determine the official outcome it is trying to predict.</w:t>
      </w:r>
    </w:p>
    <w:p>
      <w:pPr>
        <w:pStyle w:val="Heading1"/>
        <w:keepNext/>
      </w:pPr>
      <w:r>
        <w:t>9. Smart-contract design</w:t>
      </w:r>
    </w:p>
    <w:p>
      <w:pPr>
        <w:pStyle w:val="Heading2"/>
        <w:keepNext/>
      </w:pPr>
      <w:r>
        <w:t>9.1 Core contracts</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1944"/>
            <w:shd w:fill="171A3A"/>
            <w:tcMar>
              <w:top w:w="100" w:type="dxa"/>
              <w:start w:w="100" w:type="dxa"/>
              <w:bottom w:w="100" w:type="dxa"/>
              <w:end w:w="100" w:type="dxa"/>
            </w:tcMar>
            <w:vAlign w:val="center"/>
          </w:tcPr>
          <w:p>
            <w:pPr>
              <w:jc w:val="center"/>
            </w:pPr>
            <w:r>
              <w:rPr>
                <w:rFonts w:ascii="Liberation Sans" w:hAnsi="Liberation Sans"/>
                <w:b/>
                <w:color w:val="FFFFFF"/>
                <w:sz w:val="16"/>
              </w:rPr>
              <w:t>Contract</w:t>
            </w:r>
          </w:p>
        </w:tc>
        <w:tc>
          <w:tcPr>
            <w:tcW w:type="dxa" w:w="4608"/>
            <w:shd w:fill="171A3A"/>
            <w:tcMar>
              <w:top w:w="100" w:type="dxa"/>
              <w:start w:w="100" w:type="dxa"/>
              <w:bottom w:w="100" w:type="dxa"/>
              <w:end w:w="100" w:type="dxa"/>
            </w:tcMar>
            <w:vAlign w:val="center"/>
          </w:tcPr>
          <w:p>
            <w:pPr>
              <w:jc w:val="center"/>
            </w:pPr>
            <w:r>
              <w:rPr>
                <w:rFonts w:ascii="Liberation Sans" w:hAnsi="Liberation Sans"/>
                <w:b/>
                <w:color w:val="FFFFFF"/>
                <w:sz w:val="16"/>
              </w:rPr>
              <w:t>Purpose</w:t>
            </w:r>
          </w:p>
        </w:tc>
        <w:tc>
          <w:tcPr>
            <w:tcW w:type="dxa" w:w="2808"/>
            <w:shd w:fill="171A3A"/>
            <w:tcMar>
              <w:top w:w="100" w:type="dxa"/>
              <w:start w:w="100" w:type="dxa"/>
              <w:bottom w:w="100" w:type="dxa"/>
              <w:end w:w="100" w:type="dxa"/>
            </w:tcMar>
            <w:vAlign w:val="center"/>
          </w:tcPr>
          <w:p>
            <w:pPr>
              <w:jc w:val="center"/>
            </w:pPr>
            <w:r>
              <w:rPr>
                <w:rFonts w:ascii="Liberation Sans" w:hAnsi="Liberation Sans"/>
                <w:b/>
                <w:color w:val="FFFFFF"/>
                <w:sz w:val="16"/>
              </w:rPr>
              <w:t>Design principle</w:t>
            </w:r>
          </w:p>
        </w:tc>
      </w:tr>
      <w:tr>
        <w:trPr>
          <w:cantSplit/>
        </w:trPr>
        <w:tc>
          <w:tcPr>
            <w:tcW w:type="dxa" w:w="1944"/>
            <w:tcMar>
              <w:top w:w="90" w:type="dxa"/>
              <w:start w:w="100" w:type="dxa"/>
              <w:bottom w:w="90" w:type="dxa"/>
              <w:end w:w="100" w:type="dxa"/>
            </w:tcMar>
            <w:vAlign w:val="top"/>
          </w:tcPr>
          <w:p>
            <w:r>
              <w:rPr>
                <w:rFonts w:ascii="Liberation Sans" w:hAnsi="Liberation Sans"/>
                <w:color w:val="171A3A"/>
                <w:sz w:val="16"/>
              </w:rPr>
              <w:t>MarketFactory</w:t>
            </w:r>
          </w:p>
        </w:tc>
        <w:tc>
          <w:tcPr>
            <w:tcW w:type="dxa" w:w="4608"/>
            <w:tcMar>
              <w:top w:w="90" w:type="dxa"/>
              <w:start w:w="100" w:type="dxa"/>
              <w:bottom w:w="90" w:type="dxa"/>
              <w:end w:w="100" w:type="dxa"/>
            </w:tcMar>
            <w:vAlign w:val="top"/>
          </w:tcPr>
          <w:p>
            <w:r>
              <w:rPr>
                <w:rFonts w:ascii="Liberation Sans" w:hAnsi="Liberation Sans"/>
                <w:color w:val="171A3A"/>
                <w:sz w:val="16"/>
              </w:rPr>
              <w:t>Creates curated markets and commits rules, stream and timing</w:t>
            </w:r>
          </w:p>
        </w:tc>
        <w:tc>
          <w:tcPr>
            <w:tcW w:type="dxa" w:w="2808"/>
            <w:tcMar>
              <w:top w:w="90" w:type="dxa"/>
              <w:start w:w="100" w:type="dxa"/>
              <w:bottom w:w="90" w:type="dxa"/>
              <w:end w:w="100" w:type="dxa"/>
            </w:tcMar>
            <w:vAlign w:val="top"/>
          </w:tcPr>
          <w:p>
            <w:r>
              <w:rPr>
                <w:rFonts w:ascii="Liberation Sans" w:hAnsi="Liberation Sans"/>
                <w:color w:val="171A3A"/>
                <w:sz w:val="16"/>
              </w:rPr>
              <w:t>Permissioned creators in V1</w:t>
            </w:r>
          </w:p>
        </w:tc>
      </w:tr>
      <w:tr>
        <w:trPr>
          <w:cantSplit/>
        </w:trPr>
        <w:tc>
          <w:tcPr>
            <w:tcW w:type="dxa" w:w="1944"/>
            <w:tcMar>
              <w:top w:w="90" w:type="dxa"/>
              <w:start w:w="100" w:type="dxa"/>
              <w:bottom w:w="90" w:type="dxa"/>
              <w:end w:w="100" w:type="dxa"/>
            </w:tcMar>
            <w:vAlign w:val="top"/>
            <w:shd w:fill="F8F9FC"/>
          </w:tcPr>
          <w:p>
            <w:r>
              <w:rPr>
                <w:rFonts w:ascii="Liberation Sans" w:hAnsi="Liberation Sans"/>
                <w:color w:val="171A3A"/>
                <w:sz w:val="16"/>
              </w:rPr>
              <w:t>PooledMarket</w:t>
            </w:r>
          </w:p>
        </w:tc>
        <w:tc>
          <w:tcPr>
            <w:tcW w:type="dxa" w:w="4608"/>
            <w:tcMar>
              <w:top w:w="90" w:type="dxa"/>
              <w:start w:w="100" w:type="dxa"/>
              <w:bottom w:w="90" w:type="dxa"/>
              <w:end w:w="100" w:type="dxa"/>
            </w:tcMar>
            <w:vAlign w:val="top"/>
            <w:shd w:fill="F8F9FC"/>
          </w:tcPr>
          <w:p>
            <w:r>
              <w:rPr>
                <w:rFonts w:ascii="Liberation Sans" w:hAnsi="Liberation Sans"/>
                <w:color w:val="171A3A"/>
                <w:sz w:val="16"/>
              </w:rPr>
              <w:t>Holds USDC, records outcome pools, locks and supports claims/refunds</w:t>
            </w:r>
          </w:p>
        </w:tc>
        <w:tc>
          <w:tcPr>
            <w:tcW w:type="dxa" w:w="2808"/>
            <w:tcMar>
              <w:top w:w="90" w:type="dxa"/>
              <w:start w:w="100" w:type="dxa"/>
              <w:bottom w:w="90" w:type="dxa"/>
              <w:end w:w="100" w:type="dxa"/>
            </w:tcMar>
            <w:vAlign w:val="top"/>
            <w:shd w:fill="F8F9FC"/>
          </w:tcPr>
          <w:p>
            <w:r>
              <w:rPr>
                <w:rFonts w:ascii="Liberation Sans" w:hAnsi="Liberation Sans"/>
                <w:color w:val="171A3A"/>
                <w:sz w:val="16"/>
              </w:rPr>
              <w:t>Minimal accounting; pull-based claims</w:t>
            </w:r>
          </w:p>
        </w:tc>
      </w:tr>
      <w:tr>
        <w:trPr>
          <w:cantSplit/>
        </w:trPr>
        <w:tc>
          <w:tcPr>
            <w:tcW w:type="dxa" w:w="1944"/>
            <w:tcMar>
              <w:top w:w="90" w:type="dxa"/>
              <w:start w:w="100" w:type="dxa"/>
              <w:bottom w:w="90" w:type="dxa"/>
              <w:end w:w="100" w:type="dxa"/>
            </w:tcMar>
            <w:vAlign w:val="top"/>
          </w:tcPr>
          <w:p>
            <w:r>
              <w:rPr>
                <w:rFonts w:ascii="Liberation Sans" w:hAnsi="Liberation Sans"/>
                <w:color w:val="171A3A"/>
                <w:sz w:val="16"/>
              </w:rPr>
              <w:t>ObservationResolver</w:t>
            </w:r>
          </w:p>
        </w:tc>
        <w:tc>
          <w:tcPr>
            <w:tcW w:type="dxa" w:w="4608"/>
            <w:tcMar>
              <w:top w:w="90" w:type="dxa"/>
              <w:start w:w="100" w:type="dxa"/>
              <w:bottom w:w="90" w:type="dxa"/>
              <w:end w:w="100" w:type="dxa"/>
            </w:tcMar>
            <w:vAlign w:val="top"/>
          </w:tcPr>
          <w:p>
            <w:r>
              <w:rPr>
                <w:rFonts w:ascii="Liberation Sans" w:hAnsi="Liberation Sans"/>
                <w:color w:val="171A3A"/>
                <w:sz w:val="16"/>
              </w:rPr>
              <w:t>Accepts signed result, evidence root, challenge and finalization</w:t>
            </w:r>
          </w:p>
        </w:tc>
        <w:tc>
          <w:tcPr>
            <w:tcW w:type="dxa" w:w="2808"/>
            <w:tcMar>
              <w:top w:w="90" w:type="dxa"/>
              <w:start w:w="100" w:type="dxa"/>
              <w:bottom w:w="90" w:type="dxa"/>
              <w:end w:w="100" w:type="dxa"/>
            </w:tcMar>
            <w:vAlign w:val="top"/>
          </w:tcPr>
          <w:p>
            <w:r>
              <w:rPr>
                <w:rFonts w:ascii="Liberation Sans" w:hAnsi="Liberation Sans"/>
                <w:color w:val="171A3A"/>
                <w:sz w:val="16"/>
              </w:rPr>
              <w:t>Fast 2-of-3 path; invalidation support</w:t>
            </w:r>
          </w:p>
        </w:tc>
      </w:tr>
      <w:tr>
        <w:trPr>
          <w:cantSplit/>
        </w:trPr>
        <w:tc>
          <w:tcPr>
            <w:tcW w:type="dxa" w:w="1944"/>
            <w:tcMar>
              <w:top w:w="90" w:type="dxa"/>
              <w:start w:w="100" w:type="dxa"/>
              <w:bottom w:w="90" w:type="dxa"/>
              <w:end w:w="100" w:type="dxa"/>
            </w:tcMar>
            <w:vAlign w:val="top"/>
            <w:shd w:fill="F8F9FC"/>
          </w:tcPr>
          <w:p>
            <w:r>
              <w:rPr>
                <w:rFonts w:ascii="Liberation Sans" w:hAnsi="Liberation Sans"/>
                <w:color w:val="171A3A"/>
                <w:sz w:val="16"/>
              </w:rPr>
              <w:t>ObserverRegistry</w:t>
            </w:r>
          </w:p>
        </w:tc>
        <w:tc>
          <w:tcPr>
            <w:tcW w:type="dxa" w:w="4608"/>
            <w:tcMar>
              <w:top w:w="90" w:type="dxa"/>
              <w:start w:w="100" w:type="dxa"/>
              <w:bottom w:w="90" w:type="dxa"/>
              <w:end w:w="100" w:type="dxa"/>
            </w:tcMar>
            <w:vAlign w:val="top"/>
            <w:shd w:fill="F8F9FC"/>
          </w:tcPr>
          <w:p>
            <w:r>
              <w:rPr>
                <w:rFonts w:ascii="Liberation Sans" w:hAnsi="Liberation Sans"/>
                <w:color w:val="171A3A"/>
                <w:sz w:val="16"/>
              </w:rPr>
              <w:t>Controls approved observers and signature threshold</w:t>
            </w:r>
          </w:p>
        </w:tc>
        <w:tc>
          <w:tcPr>
            <w:tcW w:type="dxa" w:w="2808"/>
            <w:tcMar>
              <w:top w:w="90" w:type="dxa"/>
              <w:start w:w="100" w:type="dxa"/>
              <w:bottom w:w="90" w:type="dxa"/>
              <w:end w:w="100" w:type="dxa"/>
            </w:tcMar>
            <w:vAlign w:val="top"/>
            <w:shd w:fill="F8F9FC"/>
          </w:tcPr>
          <w:p>
            <w:r>
              <w:rPr>
                <w:rFonts w:ascii="Liberation Sans" w:hAnsi="Liberation Sans"/>
                <w:color w:val="171A3A"/>
                <w:sz w:val="16"/>
              </w:rPr>
              <w:t>Safe-controlled roles and emergency revocation</w:t>
            </w:r>
          </w:p>
        </w:tc>
      </w:tr>
      <w:tr>
        <w:trPr>
          <w:cantSplit/>
        </w:trPr>
        <w:tc>
          <w:tcPr>
            <w:tcW w:type="dxa" w:w="1944"/>
            <w:tcMar>
              <w:top w:w="90" w:type="dxa"/>
              <w:start w:w="100" w:type="dxa"/>
              <w:bottom w:w="90" w:type="dxa"/>
              <w:end w:w="100" w:type="dxa"/>
            </w:tcMar>
            <w:vAlign w:val="top"/>
          </w:tcPr>
          <w:p>
            <w:r>
              <w:rPr>
                <w:rFonts w:ascii="Liberation Sans" w:hAnsi="Liberation Sans"/>
                <w:color w:val="171A3A"/>
                <w:sz w:val="16"/>
              </w:rPr>
              <w:t>ReputationCheckpoint</w:t>
            </w:r>
          </w:p>
        </w:tc>
        <w:tc>
          <w:tcPr>
            <w:tcW w:type="dxa" w:w="4608"/>
            <w:tcMar>
              <w:top w:w="90" w:type="dxa"/>
              <w:start w:w="100" w:type="dxa"/>
              <w:bottom w:w="90" w:type="dxa"/>
              <w:end w:w="100" w:type="dxa"/>
            </w:tcMar>
            <w:vAlign w:val="top"/>
          </w:tcPr>
          <w:p>
            <w:r>
              <w:rPr>
                <w:rFonts w:ascii="Liberation Sans" w:hAnsi="Liberation Sans"/>
                <w:color w:val="171A3A"/>
                <w:sz w:val="16"/>
              </w:rPr>
              <w:t>Anchors periodic Merkle roots for user/agent records</w:t>
            </w:r>
          </w:p>
        </w:tc>
        <w:tc>
          <w:tcPr>
            <w:tcW w:type="dxa" w:w="2808"/>
            <w:tcMar>
              <w:top w:w="90" w:type="dxa"/>
              <w:start w:w="100" w:type="dxa"/>
              <w:bottom w:w="90" w:type="dxa"/>
              <w:end w:w="100" w:type="dxa"/>
            </w:tcMar>
            <w:vAlign w:val="top"/>
          </w:tcPr>
          <w:p>
            <w:r>
              <w:rPr>
                <w:rFonts w:ascii="Liberation Sans" w:hAnsi="Liberation Sans"/>
                <w:color w:val="171A3A"/>
                <w:sz w:val="16"/>
              </w:rPr>
              <w:t>Rich analytics remain off-chain</w:t>
            </w:r>
          </w:p>
        </w:tc>
      </w:tr>
    </w:tbl>
    <w:p>
      <w:pPr>
        <w:spacing w:after="0"/>
      </w:pPr>
    </w:p>
    <w:p>
      <w:pPr>
        <w:pStyle w:val="Heading2"/>
        <w:keepNext/>
      </w:pPr>
      <w:r>
        <w:t>9.2 Contract stack</w:t>
      </w:r>
    </w:p>
    <w:p>
      <w:pPr>
        <w:spacing w:after="140" w:line="269" w:lineRule="auto"/>
      </w:pPr>
      <w:r>
        <w:rPr>
          <w:rFonts w:ascii="Liberation Sans" w:hAnsi="Liberation Sans"/>
        </w:rPr>
        <w:t>Use Solidity and Foundry with OpenZeppelin contracts for access control, safe token operations, pausing and reentrancy protection. Use a Safe multisig for administration and treasury. OpenZeppelin documents role-based access systems and emergency/security utilities; Safe provides multi-signature smart-account control.</w:t>
      </w:r>
      <w:r>
        <w:rPr>
          <w:rFonts w:ascii="Liberation Sans" w:hAnsi="Liberation Sans"/>
          <w:color w:val="6C5CE7"/>
          <w:sz w:val="16"/>
          <w:vertAlign w:val="superscript"/>
        </w:rPr>
        <w:t xml:space="preserve"> [13]</w:t>
      </w:r>
      <w:r>
        <w:rPr>
          <w:rFonts w:ascii="Liberation Sans" w:hAnsi="Liberation Sans"/>
          <w:color w:val="6C5CE7"/>
          <w:sz w:val="16"/>
          <w:vertAlign w:val="superscript"/>
        </w:rPr>
        <w:t xml:space="preserve"> [14]</w:t>
      </w:r>
    </w:p>
    <w:p>
      <w:pPr>
        <w:pStyle w:val="Heading2"/>
        <w:keepNext/>
      </w:pPr>
      <w:r>
        <w:t>9.3 Collateral and transaction UX</w:t>
      </w:r>
    </w:p>
    <w:p>
      <w:pPr>
        <w:spacing w:after="140" w:line="269" w:lineRule="auto"/>
      </w:pPr>
      <w:r>
        <w:rPr>
          <w:rFonts w:ascii="Liberation Sans" w:hAnsi="Liberation Sans"/>
        </w:rPr>
        <w:t>Use native USDC on Base as the only V1 collateral. Do not launch a Scry token. Base Account can provide a smoother sign-in and payment flow, and a paymaster can sponsor selected user actions. The product should support standard wallets as a fallback and clearly show every on-chain approval, position and claim.</w:t>
      </w:r>
    </w:p>
    <w:p>
      <w:pPr>
        <w:pStyle w:val="Heading2"/>
        <w:keepNext/>
      </w:pPr>
      <w:r>
        <w:t>9.4 Upgrade and control policy</w:t>
      </w:r>
    </w:p>
    <w:p>
      <w:pPr>
        <w:pStyle w:val="ListBullet"/>
        <w:spacing w:after="60"/>
      </w:pPr>
      <w:r>
        <w:rPr>
          <w:rFonts w:ascii="Liberation Sans" w:hAnsi="Liberation Sans"/>
        </w:rPr>
        <w:t>Prefer immutable market instances or tightly scoped upgradeable components; user-fund accounting should be simple and reviewable.</w:t>
      </w:r>
    </w:p>
    <w:p>
      <w:pPr>
        <w:pStyle w:val="ListBullet"/>
        <w:spacing w:after="60"/>
      </w:pPr>
      <w:r>
        <w:rPr>
          <w:rFonts w:ascii="Liberation Sans" w:hAnsi="Liberation Sans"/>
        </w:rPr>
        <w:t>Put administrative roles behind a Safe with multiple founders/independent signers and a documented emergency procedure.</w:t>
      </w:r>
    </w:p>
    <w:p>
      <w:pPr>
        <w:pStyle w:val="ListBullet"/>
        <w:spacing w:after="60"/>
      </w:pPr>
      <w:r>
        <w:rPr>
          <w:rFonts w:ascii="Liberation Sans" w:hAnsi="Liberation Sans"/>
        </w:rPr>
        <w:t>Add pause controls for new positions and oracle finalization, but preserve user refunds and claims wherever possible.</w:t>
      </w:r>
    </w:p>
    <w:p>
      <w:pPr>
        <w:pStyle w:val="ListBullet"/>
        <w:spacing w:after="60"/>
      </w:pPr>
      <w:r>
        <w:rPr>
          <w:rFonts w:ascii="Liberation Sans" w:hAnsi="Liberation Sans"/>
        </w:rPr>
        <w:t>Rate-limit market size, per-wallet positions and total protocol exposure during the mainnet beta.</w:t>
      </w:r>
    </w:p>
    <w:p>
      <w:pPr>
        <w:pStyle w:val="ListBullet"/>
        <w:spacing w:after="60"/>
      </w:pPr>
      <w:r>
        <w:rPr>
          <w:rFonts w:ascii="Liberation Sans" w:hAnsi="Liberation Sans"/>
        </w:rPr>
        <w:t>Publish verified contract source, deployment addresses, rule hashes and security assumptions.</w:t>
      </w:r>
    </w:p>
    <w:p>
      <w:pPr>
        <w:pStyle w:val="Heading1"/>
        <w:keepNext/>
      </w:pPr>
      <w:r>
        <w:t>10. Recommended technology stack</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1800"/>
            <w:shd w:fill="171A3A"/>
            <w:tcMar>
              <w:top w:w="100" w:type="dxa"/>
              <w:start w:w="100" w:type="dxa"/>
              <w:bottom w:w="100" w:type="dxa"/>
              <w:end w:w="100" w:type="dxa"/>
            </w:tcMar>
            <w:vAlign w:val="center"/>
          </w:tcPr>
          <w:p>
            <w:pPr>
              <w:jc w:val="center"/>
            </w:pPr>
            <w:r>
              <w:rPr>
                <w:rFonts w:ascii="Liberation Sans" w:hAnsi="Liberation Sans"/>
                <w:b/>
                <w:color w:val="FFFFFF"/>
                <w:sz w:val="15"/>
              </w:rPr>
              <w:t>Domain</w:t>
            </w:r>
          </w:p>
        </w:tc>
        <w:tc>
          <w:tcPr>
            <w:tcW w:type="dxa" w:w="3960"/>
            <w:shd w:fill="171A3A"/>
            <w:tcMar>
              <w:top w:w="100" w:type="dxa"/>
              <w:start w:w="100" w:type="dxa"/>
              <w:bottom w:w="100" w:type="dxa"/>
              <w:end w:w="100" w:type="dxa"/>
            </w:tcMar>
            <w:vAlign w:val="center"/>
          </w:tcPr>
          <w:p>
            <w:pPr>
              <w:jc w:val="center"/>
            </w:pPr>
            <w:r>
              <w:rPr>
                <w:rFonts w:ascii="Liberation Sans" w:hAnsi="Liberation Sans"/>
                <w:b/>
                <w:color w:val="FFFFFF"/>
                <w:sz w:val="15"/>
              </w:rPr>
              <w:t>Recommended stack</w:t>
            </w:r>
          </w:p>
        </w:tc>
        <w:tc>
          <w:tcPr>
            <w:tcW w:type="dxa" w:w="3600"/>
            <w:shd w:fill="171A3A"/>
            <w:tcMar>
              <w:top w:w="100" w:type="dxa"/>
              <w:start w:w="100" w:type="dxa"/>
              <w:bottom w:w="100" w:type="dxa"/>
              <w:end w:w="100" w:type="dxa"/>
            </w:tcMar>
            <w:vAlign w:val="center"/>
          </w:tcPr>
          <w:p>
            <w:pPr>
              <w:jc w:val="center"/>
            </w:pPr>
            <w:r>
              <w:rPr>
                <w:rFonts w:ascii="Liberation Sans" w:hAnsi="Liberation Sans"/>
                <w:b/>
                <w:color w:val="FFFFFF"/>
                <w:sz w:val="15"/>
              </w:rPr>
              <w:t>Why</w:t>
            </w:r>
          </w:p>
        </w:tc>
      </w:tr>
      <w:tr>
        <w:trPr>
          <w:cantSplit/>
        </w:trPr>
        <w:tc>
          <w:tcPr>
            <w:tcW w:type="dxa" w:w="1800"/>
            <w:tcMar>
              <w:top w:w="90" w:type="dxa"/>
              <w:start w:w="100" w:type="dxa"/>
              <w:bottom w:w="90" w:type="dxa"/>
              <w:end w:w="100" w:type="dxa"/>
            </w:tcMar>
            <w:vAlign w:val="top"/>
          </w:tcPr>
          <w:p>
            <w:r>
              <w:rPr>
                <w:rFonts w:ascii="Liberation Sans" w:hAnsi="Liberation Sans"/>
                <w:color w:val="171A3A"/>
                <w:sz w:val="15"/>
              </w:rPr>
              <w:t>Chain</w:t>
            </w:r>
          </w:p>
        </w:tc>
        <w:tc>
          <w:tcPr>
            <w:tcW w:type="dxa" w:w="3960"/>
            <w:tcMar>
              <w:top w:w="90" w:type="dxa"/>
              <w:start w:w="100" w:type="dxa"/>
              <w:bottom w:w="90" w:type="dxa"/>
              <w:end w:w="100" w:type="dxa"/>
            </w:tcMar>
            <w:vAlign w:val="top"/>
          </w:tcPr>
          <w:p>
            <w:r>
              <w:rPr>
                <w:rFonts w:ascii="Liberation Sans" w:hAnsi="Liberation Sans"/>
                <w:color w:val="171A3A"/>
                <w:sz w:val="15"/>
              </w:rPr>
              <w:t>Base mainnet; native USDC; Base Account/paymaster</w:t>
            </w:r>
          </w:p>
        </w:tc>
        <w:tc>
          <w:tcPr>
            <w:tcW w:type="dxa" w:w="3600"/>
            <w:tcMar>
              <w:top w:w="90" w:type="dxa"/>
              <w:start w:w="100" w:type="dxa"/>
              <w:bottom w:w="90" w:type="dxa"/>
              <w:end w:w="100" w:type="dxa"/>
            </w:tcMar>
            <w:vAlign w:val="top"/>
          </w:tcPr>
          <w:p>
            <w:r>
              <w:rPr>
                <w:rFonts w:ascii="Liberation Sans" w:hAnsi="Liberation Sans"/>
                <w:color w:val="171A3A"/>
                <w:sz w:val="15"/>
              </w:rPr>
              <w:t>Best support and onboarding fit</w:t>
            </w:r>
          </w:p>
        </w:tc>
      </w:tr>
      <w:tr>
        <w:trPr>
          <w:cantSplit/>
        </w:trPr>
        <w:tc>
          <w:tcPr>
            <w:tcW w:type="dxa" w:w="1800"/>
            <w:tcMar>
              <w:top w:w="90" w:type="dxa"/>
              <w:start w:w="100" w:type="dxa"/>
              <w:bottom w:w="90" w:type="dxa"/>
              <w:end w:w="100" w:type="dxa"/>
            </w:tcMar>
            <w:vAlign w:val="top"/>
            <w:shd w:fill="F8F9FC"/>
          </w:tcPr>
          <w:p>
            <w:r>
              <w:rPr>
                <w:rFonts w:ascii="Liberation Sans" w:hAnsi="Liberation Sans"/>
                <w:color w:val="171A3A"/>
                <w:sz w:val="15"/>
              </w:rPr>
              <w:t>Contracts</w:t>
            </w:r>
          </w:p>
        </w:tc>
        <w:tc>
          <w:tcPr>
            <w:tcW w:type="dxa" w:w="3960"/>
            <w:tcMar>
              <w:top w:w="90" w:type="dxa"/>
              <w:start w:w="100" w:type="dxa"/>
              <w:bottom w:w="90" w:type="dxa"/>
              <w:end w:w="100" w:type="dxa"/>
            </w:tcMar>
            <w:vAlign w:val="top"/>
            <w:shd w:fill="F8F9FC"/>
          </w:tcPr>
          <w:p>
            <w:r>
              <w:rPr>
                <w:rFonts w:ascii="Liberation Sans" w:hAnsi="Liberation Sans"/>
                <w:color w:val="171A3A"/>
                <w:sz w:val="15"/>
              </w:rPr>
              <w:t>Solidity, Foundry, OpenZeppelin, Safe, EIP-712</w:t>
            </w:r>
          </w:p>
        </w:tc>
        <w:tc>
          <w:tcPr>
            <w:tcW w:type="dxa" w:w="3600"/>
            <w:tcMar>
              <w:top w:w="90" w:type="dxa"/>
              <w:start w:w="100" w:type="dxa"/>
              <w:bottom w:w="90" w:type="dxa"/>
              <w:end w:w="100" w:type="dxa"/>
            </w:tcMar>
            <w:vAlign w:val="top"/>
            <w:shd w:fill="F8F9FC"/>
          </w:tcPr>
          <w:p>
            <w:r>
              <w:rPr>
                <w:rFonts w:ascii="Liberation Sans" w:hAnsi="Liberation Sans"/>
                <w:color w:val="171A3A"/>
                <w:sz w:val="15"/>
              </w:rPr>
              <w:t>Auditable EVM stack and signed observations</w:t>
            </w:r>
          </w:p>
        </w:tc>
      </w:tr>
      <w:tr>
        <w:trPr>
          <w:cantSplit/>
        </w:trPr>
        <w:tc>
          <w:tcPr>
            <w:tcW w:type="dxa" w:w="1800"/>
            <w:tcMar>
              <w:top w:w="90" w:type="dxa"/>
              <w:start w:w="100" w:type="dxa"/>
              <w:bottom w:w="90" w:type="dxa"/>
              <w:end w:w="100" w:type="dxa"/>
            </w:tcMar>
            <w:vAlign w:val="top"/>
          </w:tcPr>
          <w:p>
            <w:r>
              <w:rPr>
                <w:rFonts w:ascii="Liberation Sans" w:hAnsi="Liberation Sans"/>
                <w:color w:val="171A3A"/>
                <w:sz w:val="15"/>
              </w:rPr>
              <w:t>Frontend</w:t>
            </w:r>
          </w:p>
        </w:tc>
        <w:tc>
          <w:tcPr>
            <w:tcW w:type="dxa" w:w="3960"/>
            <w:tcMar>
              <w:top w:w="90" w:type="dxa"/>
              <w:start w:w="100" w:type="dxa"/>
              <w:bottom w:w="90" w:type="dxa"/>
              <w:end w:w="100" w:type="dxa"/>
            </w:tcMar>
            <w:vAlign w:val="top"/>
          </w:tcPr>
          <w:p>
            <w:r>
              <w:rPr>
                <w:rFonts w:ascii="Liberation Sans" w:hAnsi="Liberation Sans"/>
                <w:color w:val="171A3A"/>
                <w:sz w:val="15"/>
              </w:rPr>
              <w:t>Next.js, TypeScript, Tailwind, Radix, TanStack Query, Zustand</w:t>
            </w:r>
          </w:p>
        </w:tc>
        <w:tc>
          <w:tcPr>
            <w:tcW w:type="dxa" w:w="3600"/>
            <w:tcMar>
              <w:top w:w="90" w:type="dxa"/>
              <w:start w:w="100" w:type="dxa"/>
              <w:bottom w:w="90" w:type="dxa"/>
              <w:end w:w="100" w:type="dxa"/>
            </w:tcMar>
            <w:vAlign w:val="top"/>
          </w:tcPr>
          <w:p>
            <w:r>
              <w:rPr>
                <w:rFonts w:ascii="Liberation Sans" w:hAnsi="Liberation Sans"/>
                <w:color w:val="171A3A"/>
                <w:sz w:val="15"/>
              </w:rPr>
              <w:t>Fast consumer web product with accessible components</w:t>
            </w:r>
          </w:p>
        </w:tc>
      </w:tr>
      <w:tr>
        <w:trPr>
          <w:cantSplit/>
        </w:trPr>
        <w:tc>
          <w:tcPr>
            <w:tcW w:type="dxa" w:w="1800"/>
            <w:tcMar>
              <w:top w:w="90" w:type="dxa"/>
              <w:start w:w="100" w:type="dxa"/>
              <w:bottom w:w="90" w:type="dxa"/>
              <w:end w:w="100" w:type="dxa"/>
            </w:tcMar>
            <w:vAlign w:val="top"/>
            <w:shd w:fill="F8F9FC"/>
          </w:tcPr>
          <w:p>
            <w:r>
              <w:rPr>
                <w:rFonts w:ascii="Liberation Sans" w:hAnsi="Liberation Sans"/>
                <w:color w:val="171A3A"/>
                <w:sz w:val="15"/>
              </w:rPr>
              <w:t>Web3 client</w:t>
            </w:r>
          </w:p>
        </w:tc>
        <w:tc>
          <w:tcPr>
            <w:tcW w:type="dxa" w:w="3960"/>
            <w:tcMar>
              <w:top w:w="90" w:type="dxa"/>
              <w:start w:w="100" w:type="dxa"/>
              <w:bottom w:w="90" w:type="dxa"/>
              <w:end w:w="100" w:type="dxa"/>
            </w:tcMar>
            <w:vAlign w:val="top"/>
            <w:shd w:fill="F8F9FC"/>
          </w:tcPr>
          <w:p>
            <w:r>
              <w:rPr>
                <w:rFonts w:ascii="Liberation Sans" w:hAnsi="Liberation Sans"/>
                <w:color w:val="171A3A"/>
                <w:sz w:val="15"/>
              </w:rPr>
              <w:t>wagmi, viem, Base Account SDK</w:t>
            </w:r>
          </w:p>
        </w:tc>
        <w:tc>
          <w:tcPr>
            <w:tcW w:type="dxa" w:w="3600"/>
            <w:tcMar>
              <w:top w:w="90" w:type="dxa"/>
              <w:start w:w="100" w:type="dxa"/>
              <w:bottom w:w="90" w:type="dxa"/>
              <w:end w:w="100" w:type="dxa"/>
            </w:tcMar>
            <w:vAlign w:val="top"/>
            <w:shd w:fill="F8F9FC"/>
          </w:tcPr>
          <w:p>
            <w:r>
              <w:rPr>
                <w:rFonts w:ascii="Liberation Sans" w:hAnsi="Liberation Sans"/>
                <w:color w:val="171A3A"/>
                <w:sz w:val="15"/>
              </w:rPr>
              <w:t>Wallet, contract and smart-account integration</w:t>
            </w:r>
          </w:p>
        </w:tc>
      </w:tr>
      <w:tr>
        <w:trPr>
          <w:cantSplit/>
        </w:trPr>
        <w:tc>
          <w:tcPr>
            <w:tcW w:type="dxa" w:w="1800"/>
            <w:tcMar>
              <w:top w:w="90" w:type="dxa"/>
              <w:start w:w="100" w:type="dxa"/>
              <w:bottom w:w="90" w:type="dxa"/>
              <w:end w:w="100" w:type="dxa"/>
            </w:tcMar>
            <w:vAlign w:val="top"/>
          </w:tcPr>
          <w:p>
            <w:r>
              <w:rPr>
                <w:rFonts w:ascii="Liberation Sans" w:hAnsi="Liberation Sans"/>
                <w:color w:val="171A3A"/>
                <w:sz w:val="15"/>
              </w:rPr>
              <w:t>Charts</w:t>
            </w:r>
          </w:p>
        </w:tc>
        <w:tc>
          <w:tcPr>
            <w:tcW w:type="dxa" w:w="3960"/>
            <w:tcMar>
              <w:top w:w="90" w:type="dxa"/>
              <w:start w:w="100" w:type="dxa"/>
              <w:bottom w:w="90" w:type="dxa"/>
              <w:end w:w="100" w:type="dxa"/>
            </w:tcMar>
            <w:vAlign w:val="top"/>
          </w:tcPr>
          <w:p>
            <w:r>
              <w:rPr>
                <w:rFonts w:ascii="Liberation Sans" w:hAnsi="Liberation Sans"/>
                <w:color w:val="171A3A"/>
                <w:sz w:val="15"/>
              </w:rPr>
              <w:t>Apache ECharts</w:t>
            </w:r>
          </w:p>
        </w:tc>
        <w:tc>
          <w:tcPr>
            <w:tcW w:type="dxa" w:w="3600"/>
            <w:tcMar>
              <w:top w:w="90" w:type="dxa"/>
              <w:start w:w="100" w:type="dxa"/>
              <w:bottom w:w="90" w:type="dxa"/>
              <w:end w:w="100" w:type="dxa"/>
            </w:tcMar>
            <w:vAlign w:val="top"/>
          </w:tcPr>
          <w:p>
            <w:r>
              <w:rPr>
                <w:rFonts w:ascii="Liberation Sans" w:hAnsi="Liberation Sans"/>
                <w:color w:val="171A3A"/>
                <w:sz w:val="15"/>
              </w:rPr>
              <w:t>Live distributions, timelines and probability history</w:t>
            </w:r>
          </w:p>
        </w:tc>
      </w:tr>
      <w:tr>
        <w:trPr>
          <w:cantSplit/>
        </w:trPr>
        <w:tc>
          <w:tcPr>
            <w:tcW w:type="dxa" w:w="1800"/>
            <w:tcMar>
              <w:top w:w="90" w:type="dxa"/>
              <w:start w:w="100" w:type="dxa"/>
              <w:bottom w:w="90" w:type="dxa"/>
              <w:end w:w="100" w:type="dxa"/>
            </w:tcMar>
            <w:vAlign w:val="top"/>
            <w:shd w:fill="F8F9FC"/>
          </w:tcPr>
          <w:p>
            <w:r>
              <w:rPr>
                <w:rFonts w:ascii="Liberation Sans" w:hAnsi="Liberation Sans"/>
                <w:color w:val="171A3A"/>
                <w:sz w:val="15"/>
              </w:rPr>
              <w:t>Streaming</w:t>
            </w:r>
          </w:p>
        </w:tc>
        <w:tc>
          <w:tcPr>
            <w:tcW w:type="dxa" w:w="3960"/>
            <w:tcMar>
              <w:top w:w="90" w:type="dxa"/>
              <w:start w:w="100" w:type="dxa"/>
              <w:bottom w:w="90" w:type="dxa"/>
              <w:end w:w="100" w:type="dxa"/>
            </w:tcMar>
            <w:vAlign w:val="top"/>
            <w:shd w:fill="F8F9FC"/>
          </w:tcPr>
          <w:p>
            <w:r>
              <w:rPr>
                <w:rFonts w:ascii="Liberation Sans" w:hAnsi="Liberation Sans"/>
                <w:color w:val="171A3A"/>
                <w:sz w:val="15"/>
              </w:rPr>
              <w:t>GStreamer, LiveKit Cloud/WebRTC, LL-HLS fallback</w:t>
            </w:r>
          </w:p>
        </w:tc>
        <w:tc>
          <w:tcPr>
            <w:tcW w:type="dxa" w:w="3600"/>
            <w:tcMar>
              <w:top w:w="90" w:type="dxa"/>
              <w:start w:w="100" w:type="dxa"/>
              <w:bottom w:w="90" w:type="dxa"/>
              <w:end w:w="100" w:type="dxa"/>
            </w:tcMar>
            <w:vAlign w:val="top"/>
            <w:shd w:fill="F8F9FC"/>
          </w:tcPr>
          <w:p>
            <w:r>
              <w:rPr>
                <w:rFonts w:ascii="Liberation Sans" w:hAnsi="Liberation Sans"/>
                <w:color w:val="171A3A"/>
                <w:sz w:val="15"/>
              </w:rPr>
              <w:t>Multiple ingest formats and low-latency delivery</w:t>
            </w:r>
          </w:p>
        </w:tc>
      </w:tr>
      <w:tr>
        <w:trPr>
          <w:cantSplit/>
        </w:trPr>
        <w:tc>
          <w:tcPr>
            <w:tcW w:type="dxa" w:w="1800"/>
            <w:tcMar>
              <w:top w:w="90" w:type="dxa"/>
              <w:start w:w="100" w:type="dxa"/>
              <w:bottom w:w="90" w:type="dxa"/>
              <w:end w:w="100" w:type="dxa"/>
            </w:tcMar>
            <w:vAlign w:val="top"/>
          </w:tcPr>
          <w:p>
            <w:r>
              <w:rPr>
                <w:rFonts w:ascii="Liberation Sans" w:hAnsi="Liberation Sans"/>
                <w:color w:val="171A3A"/>
                <w:sz w:val="15"/>
              </w:rPr>
              <w:t>Vision</w:t>
            </w:r>
          </w:p>
        </w:tc>
        <w:tc>
          <w:tcPr>
            <w:tcW w:type="dxa" w:w="3960"/>
            <w:tcMar>
              <w:top w:w="90" w:type="dxa"/>
              <w:start w:w="100" w:type="dxa"/>
              <w:bottom w:w="90" w:type="dxa"/>
              <w:end w:w="100" w:type="dxa"/>
            </w:tcMar>
            <w:vAlign w:val="top"/>
          </w:tcPr>
          <w:p>
            <w:r>
              <w:rPr>
                <w:rFonts w:ascii="Liberation Sans" w:hAnsi="Liberation Sans"/>
                <w:color w:val="171A3A"/>
                <w:sz w:val="15"/>
              </w:rPr>
              <w:t>Python, NVIDIA DeepStream, TensorRT/Triton, OpenCV, YOLO-family model, NvDCF/ByteTrack</w:t>
            </w:r>
          </w:p>
        </w:tc>
        <w:tc>
          <w:tcPr>
            <w:tcW w:type="dxa" w:w="3600"/>
            <w:tcMar>
              <w:top w:w="90" w:type="dxa"/>
              <w:start w:w="100" w:type="dxa"/>
              <w:bottom w:w="90" w:type="dxa"/>
              <w:end w:w="100" w:type="dxa"/>
            </w:tcMar>
            <w:vAlign w:val="top"/>
          </w:tcPr>
          <w:p>
            <w:r>
              <w:rPr>
                <w:rFonts w:ascii="Liberation Sans" w:hAnsi="Liberation Sans"/>
                <w:color w:val="171A3A"/>
                <w:sz w:val="15"/>
              </w:rPr>
              <w:t>GPU multi-stream detection, tracking and privacy processing</w:t>
            </w:r>
          </w:p>
        </w:tc>
      </w:tr>
      <w:tr>
        <w:trPr>
          <w:cantSplit/>
        </w:trPr>
        <w:tc>
          <w:tcPr>
            <w:tcW w:type="dxa" w:w="1800"/>
            <w:tcMar>
              <w:top w:w="90" w:type="dxa"/>
              <w:start w:w="100" w:type="dxa"/>
              <w:bottom w:w="90" w:type="dxa"/>
              <w:end w:w="100" w:type="dxa"/>
            </w:tcMar>
            <w:vAlign w:val="top"/>
            <w:shd w:fill="F8F9FC"/>
          </w:tcPr>
          <w:p>
            <w:r>
              <w:rPr>
                <w:rFonts w:ascii="Liberation Sans" w:hAnsi="Liberation Sans"/>
                <w:color w:val="171A3A"/>
                <w:sz w:val="15"/>
              </w:rPr>
              <w:t>Core backend</w:t>
            </w:r>
          </w:p>
        </w:tc>
        <w:tc>
          <w:tcPr>
            <w:tcW w:type="dxa" w:w="3960"/>
            <w:tcMar>
              <w:top w:w="90" w:type="dxa"/>
              <w:start w:w="100" w:type="dxa"/>
              <w:bottom w:w="90" w:type="dxa"/>
              <w:end w:w="100" w:type="dxa"/>
            </w:tcMar>
            <w:vAlign w:val="top"/>
            <w:shd w:fill="F8F9FC"/>
          </w:tcPr>
          <w:p>
            <w:r>
              <w:rPr>
                <w:rFonts w:ascii="Liberation Sans" w:hAnsi="Liberation Sans"/>
                <w:color w:val="171A3A"/>
                <w:sz w:val="15"/>
              </w:rPr>
              <w:t>Go, Chi, WebSockets, gRPC where needed</w:t>
            </w:r>
          </w:p>
        </w:tc>
        <w:tc>
          <w:tcPr>
            <w:tcW w:type="dxa" w:w="3600"/>
            <w:tcMar>
              <w:top w:w="90" w:type="dxa"/>
              <w:start w:w="100" w:type="dxa"/>
              <w:bottom w:w="90" w:type="dxa"/>
              <w:end w:w="100" w:type="dxa"/>
            </w:tcMar>
            <w:vAlign w:val="top"/>
            <w:shd w:fill="F8F9FC"/>
          </w:tcPr>
          <w:p>
            <w:r>
              <w:rPr>
                <w:rFonts w:ascii="Liberation Sans" w:hAnsi="Liberation Sans"/>
                <w:color w:val="171A3A"/>
                <w:sz w:val="15"/>
              </w:rPr>
              <w:t>Reliable realtime APIs and clear concurrency model</w:t>
            </w:r>
          </w:p>
        </w:tc>
      </w:tr>
      <w:tr>
        <w:trPr>
          <w:cantSplit/>
        </w:trPr>
        <w:tc>
          <w:tcPr>
            <w:tcW w:type="dxa" w:w="1800"/>
            <w:tcMar>
              <w:top w:w="90" w:type="dxa"/>
              <w:start w:w="100" w:type="dxa"/>
              <w:bottom w:w="90" w:type="dxa"/>
              <w:end w:w="100" w:type="dxa"/>
            </w:tcMar>
            <w:vAlign w:val="top"/>
          </w:tcPr>
          <w:p>
            <w:r>
              <w:rPr>
                <w:rFonts w:ascii="Liberation Sans" w:hAnsi="Liberation Sans"/>
                <w:color w:val="171A3A"/>
                <w:sz w:val="15"/>
              </w:rPr>
              <w:t>Event bus</w:t>
            </w:r>
          </w:p>
        </w:tc>
        <w:tc>
          <w:tcPr>
            <w:tcW w:type="dxa" w:w="3960"/>
            <w:tcMar>
              <w:top w:w="90" w:type="dxa"/>
              <w:start w:w="100" w:type="dxa"/>
              <w:bottom w:w="90" w:type="dxa"/>
              <w:end w:w="100" w:type="dxa"/>
            </w:tcMar>
            <w:vAlign w:val="top"/>
          </w:tcPr>
          <w:p>
            <w:r>
              <w:rPr>
                <w:rFonts w:ascii="Liberation Sans" w:hAnsi="Liberation Sans"/>
                <w:color w:val="171A3A"/>
                <w:sz w:val="15"/>
              </w:rPr>
              <w:t>NATS JetStream</w:t>
            </w:r>
          </w:p>
        </w:tc>
        <w:tc>
          <w:tcPr>
            <w:tcW w:type="dxa" w:w="3600"/>
            <w:tcMar>
              <w:top w:w="90" w:type="dxa"/>
              <w:start w:w="100" w:type="dxa"/>
              <w:bottom w:w="90" w:type="dxa"/>
              <w:end w:w="100" w:type="dxa"/>
            </w:tcMar>
            <w:vAlign w:val="top"/>
          </w:tcPr>
          <w:p>
            <w:r>
              <w:rPr>
                <w:rFonts w:ascii="Liberation Sans" w:hAnsi="Liberation Sans"/>
                <w:color w:val="171A3A"/>
                <w:sz w:val="15"/>
              </w:rPr>
              <w:t>Durable replayable stream events without Kafka complexity</w:t>
            </w:r>
          </w:p>
        </w:tc>
      </w:tr>
      <w:tr>
        <w:trPr>
          <w:cantSplit/>
        </w:trPr>
        <w:tc>
          <w:tcPr>
            <w:tcW w:type="dxa" w:w="1800"/>
            <w:tcMar>
              <w:top w:w="90" w:type="dxa"/>
              <w:start w:w="100" w:type="dxa"/>
              <w:bottom w:w="90" w:type="dxa"/>
              <w:end w:w="100" w:type="dxa"/>
            </w:tcMar>
            <w:vAlign w:val="top"/>
            <w:shd w:fill="F8F9FC"/>
          </w:tcPr>
          <w:p>
            <w:r>
              <w:rPr>
                <w:rFonts w:ascii="Liberation Sans" w:hAnsi="Liberation Sans"/>
                <w:color w:val="171A3A"/>
                <w:sz w:val="15"/>
              </w:rPr>
              <w:t>Forecasting</w:t>
            </w:r>
          </w:p>
        </w:tc>
        <w:tc>
          <w:tcPr>
            <w:tcW w:type="dxa" w:w="3960"/>
            <w:tcMar>
              <w:top w:w="90" w:type="dxa"/>
              <w:start w:w="100" w:type="dxa"/>
              <w:bottom w:w="90" w:type="dxa"/>
              <w:end w:w="100" w:type="dxa"/>
            </w:tcMar>
            <w:vAlign w:val="top"/>
            <w:shd w:fill="F8F9FC"/>
          </w:tcPr>
          <w:p>
            <w:r>
              <w:rPr>
                <w:rFonts w:ascii="Liberation Sans" w:hAnsi="Liberation Sans"/>
                <w:color w:val="171A3A"/>
                <w:sz w:val="15"/>
              </w:rPr>
              <w:t>Python, Polars/Pandas, LightGBM/XGBoost, MLflow</w:t>
            </w:r>
          </w:p>
        </w:tc>
        <w:tc>
          <w:tcPr>
            <w:tcW w:type="dxa" w:w="3600"/>
            <w:tcMar>
              <w:top w:w="90" w:type="dxa"/>
              <w:start w:w="100" w:type="dxa"/>
              <w:bottom w:w="90" w:type="dxa"/>
              <w:end w:w="100" w:type="dxa"/>
            </w:tcMar>
            <w:vAlign w:val="top"/>
            <w:shd w:fill="F8F9FC"/>
          </w:tcPr>
          <w:p>
            <w:r>
              <w:rPr>
                <w:rFonts w:ascii="Liberation Sans" w:hAnsi="Liberation Sans"/>
                <w:color w:val="171A3A"/>
                <w:sz w:val="15"/>
              </w:rPr>
              <w:t>Strong tabular/time-series baseline and model governance</w:t>
            </w:r>
          </w:p>
        </w:tc>
      </w:tr>
      <w:tr>
        <w:trPr>
          <w:cantSplit/>
        </w:trPr>
        <w:tc>
          <w:tcPr>
            <w:tcW w:type="dxa" w:w="1800"/>
            <w:tcMar>
              <w:top w:w="90" w:type="dxa"/>
              <w:start w:w="100" w:type="dxa"/>
              <w:bottom w:w="90" w:type="dxa"/>
              <w:end w:w="100" w:type="dxa"/>
            </w:tcMar>
            <w:vAlign w:val="top"/>
          </w:tcPr>
          <w:p>
            <w:r>
              <w:rPr>
                <w:rFonts w:ascii="Liberation Sans" w:hAnsi="Liberation Sans"/>
                <w:color w:val="171A3A"/>
                <w:sz w:val="15"/>
              </w:rPr>
              <w:t>Database</w:t>
            </w:r>
          </w:p>
        </w:tc>
        <w:tc>
          <w:tcPr>
            <w:tcW w:type="dxa" w:w="3960"/>
            <w:tcMar>
              <w:top w:w="90" w:type="dxa"/>
              <w:start w:w="100" w:type="dxa"/>
              <w:bottom w:w="90" w:type="dxa"/>
              <w:end w:w="100" w:type="dxa"/>
            </w:tcMar>
            <w:vAlign w:val="top"/>
          </w:tcPr>
          <w:p>
            <w:r>
              <w:rPr>
                <w:rFonts w:ascii="Liberation Sans" w:hAnsi="Liberation Sans"/>
                <w:color w:val="171A3A"/>
                <w:sz w:val="15"/>
              </w:rPr>
              <w:t>PostgreSQL + TimescaleDB</w:t>
            </w:r>
          </w:p>
        </w:tc>
        <w:tc>
          <w:tcPr>
            <w:tcW w:type="dxa" w:w="3600"/>
            <w:tcMar>
              <w:top w:w="90" w:type="dxa"/>
              <w:start w:w="100" w:type="dxa"/>
              <w:bottom w:w="90" w:type="dxa"/>
              <w:end w:w="100" w:type="dxa"/>
            </w:tcMar>
            <w:vAlign w:val="top"/>
          </w:tcPr>
          <w:p>
            <w:r>
              <w:rPr>
                <w:rFonts w:ascii="Liberation Sans" w:hAnsi="Liberation Sans"/>
                <w:color w:val="171A3A"/>
                <w:sz w:val="15"/>
              </w:rPr>
              <w:t>Transactions plus high-volume time-series data</w:t>
            </w:r>
          </w:p>
        </w:tc>
      </w:tr>
      <w:tr>
        <w:trPr>
          <w:cantSplit/>
        </w:trPr>
        <w:tc>
          <w:tcPr>
            <w:tcW w:type="dxa" w:w="1800"/>
            <w:tcMar>
              <w:top w:w="90" w:type="dxa"/>
              <w:start w:w="100" w:type="dxa"/>
              <w:bottom w:w="90" w:type="dxa"/>
              <w:end w:w="100" w:type="dxa"/>
            </w:tcMar>
            <w:vAlign w:val="top"/>
            <w:shd w:fill="F8F9FC"/>
          </w:tcPr>
          <w:p>
            <w:r>
              <w:rPr>
                <w:rFonts w:ascii="Liberation Sans" w:hAnsi="Liberation Sans"/>
                <w:color w:val="171A3A"/>
                <w:sz w:val="15"/>
              </w:rPr>
              <w:t>Hot state</w:t>
            </w:r>
          </w:p>
        </w:tc>
        <w:tc>
          <w:tcPr>
            <w:tcW w:type="dxa" w:w="3960"/>
            <w:tcMar>
              <w:top w:w="90" w:type="dxa"/>
              <w:start w:w="100" w:type="dxa"/>
              <w:bottom w:w="90" w:type="dxa"/>
              <w:end w:w="100" w:type="dxa"/>
            </w:tcMar>
            <w:vAlign w:val="top"/>
            <w:shd w:fill="F8F9FC"/>
          </w:tcPr>
          <w:p>
            <w:r>
              <w:rPr>
                <w:rFonts w:ascii="Liberation Sans" w:hAnsi="Liberation Sans"/>
                <w:color w:val="171A3A"/>
                <w:sz w:val="15"/>
              </w:rPr>
              <w:t>Redis</w:t>
            </w:r>
          </w:p>
        </w:tc>
        <w:tc>
          <w:tcPr>
            <w:tcW w:type="dxa" w:w="3600"/>
            <w:tcMar>
              <w:top w:w="90" w:type="dxa"/>
              <w:start w:w="100" w:type="dxa"/>
              <w:bottom w:w="90" w:type="dxa"/>
              <w:end w:w="100" w:type="dxa"/>
            </w:tcMar>
            <w:vAlign w:val="top"/>
            <w:shd w:fill="F8F9FC"/>
          </w:tcPr>
          <w:p>
            <w:r>
              <w:rPr>
                <w:rFonts w:ascii="Liberation Sans" w:hAnsi="Liberation Sans"/>
                <w:color w:val="171A3A"/>
                <w:sz w:val="15"/>
              </w:rPr>
              <w:t>Live room state, counters, rate limits and leaderboards</w:t>
            </w:r>
          </w:p>
        </w:tc>
      </w:tr>
      <w:tr>
        <w:trPr>
          <w:cantSplit/>
        </w:trPr>
        <w:tc>
          <w:tcPr>
            <w:tcW w:type="dxa" w:w="1800"/>
            <w:tcMar>
              <w:top w:w="90" w:type="dxa"/>
              <w:start w:w="100" w:type="dxa"/>
              <w:bottom w:w="90" w:type="dxa"/>
              <w:end w:w="100" w:type="dxa"/>
            </w:tcMar>
            <w:vAlign w:val="top"/>
          </w:tcPr>
          <w:p>
            <w:r>
              <w:rPr>
                <w:rFonts w:ascii="Liberation Sans" w:hAnsi="Liberation Sans"/>
                <w:color w:val="171A3A"/>
                <w:sz w:val="15"/>
              </w:rPr>
              <w:t>Evidence</w:t>
            </w:r>
          </w:p>
        </w:tc>
        <w:tc>
          <w:tcPr>
            <w:tcW w:type="dxa" w:w="3960"/>
            <w:tcMar>
              <w:top w:w="90" w:type="dxa"/>
              <w:start w:w="100" w:type="dxa"/>
              <w:bottom w:w="90" w:type="dxa"/>
              <w:end w:w="100" w:type="dxa"/>
            </w:tcMar>
            <w:vAlign w:val="top"/>
          </w:tcPr>
          <w:p>
            <w:r>
              <w:rPr>
                <w:rFonts w:ascii="Liberation Sans" w:hAnsi="Liberation Sans"/>
                <w:color w:val="171A3A"/>
                <w:sz w:val="15"/>
              </w:rPr>
              <w:t>Cloudflare R2 or S3 with encryption and lifecycle policies</w:t>
            </w:r>
          </w:p>
        </w:tc>
        <w:tc>
          <w:tcPr>
            <w:tcW w:type="dxa" w:w="3600"/>
            <w:tcMar>
              <w:top w:w="90" w:type="dxa"/>
              <w:start w:w="100" w:type="dxa"/>
              <w:bottom w:w="90" w:type="dxa"/>
              <w:end w:w="100" w:type="dxa"/>
            </w:tcMar>
            <w:vAlign w:val="top"/>
          </w:tcPr>
          <w:p>
            <w:r>
              <w:rPr>
                <w:rFonts w:ascii="Liberation Sans" w:hAnsi="Liberation Sans"/>
                <w:color w:val="171A3A"/>
                <w:sz w:val="15"/>
              </w:rPr>
              <w:t>Low-cost private evidence retention</w:t>
            </w:r>
          </w:p>
        </w:tc>
      </w:tr>
      <w:tr>
        <w:trPr>
          <w:cantSplit/>
        </w:trPr>
        <w:tc>
          <w:tcPr>
            <w:tcW w:type="dxa" w:w="1800"/>
            <w:tcMar>
              <w:top w:w="90" w:type="dxa"/>
              <w:start w:w="100" w:type="dxa"/>
              <w:bottom w:w="90" w:type="dxa"/>
              <w:end w:w="100" w:type="dxa"/>
            </w:tcMar>
            <w:vAlign w:val="top"/>
            <w:shd w:fill="F8F9FC"/>
          </w:tcPr>
          <w:p>
            <w:r>
              <w:rPr>
                <w:rFonts w:ascii="Liberation Sans" w:hAnsi="Liberation Sans"/>
                <w:color w:val="171A3A"/>
                <w:sz w:val="15"/>
              </w:rPr>
              <w:t>Indexing</w:t>
            </w:r>
          </w:p>
        </w:tc>
        <w:tc>
          <w:tcPr>
            <w:tcW w:type="dxa" w:w="3960"/>
            <w:tcMar>
              <w:top w:w="90" w:type="dxa"/>
              <w:start w:w="100" w:type="dxa"/>
              <w:bottom w:w="90" w:type="dxa"/>
              <w:end w:w="100" w:type="dxa"/>
            </w:tcMar>
            <w:vAlign w:val="top"/>
            <w:shd w:fill="F8F9FC"/>
          </w:tcPr>
          <w:p>
            <w:r>
              <w:rPr>
                <w:rFonts w:ascii="Liberation Sans" w:hAnsi="Liberation Sans"/>
                <w:color w:val="171A3A"/>
                <w:sz w:val="15"/>
              </w:rPr>
              <w:t>Ponder or Envio; choose one</w:t>
            </w:r>
          </w:p>
        </w:tc>
        <w:tc>
          <w:tcPr>
            <w:tcW w:type="dxa" w:w="3600"/>
            <w:tcMar>
              <w:top w:w="90" w:type="dxa"/>
              <w:start w:w="100" w:type="dxa"/>
              <w:bottom w:w="90" w:type="dxa"/>
              <w:end w:w="100" w:type="dxa"/>
            </w:tcMar>
            <w:vAlign w:val="top"/>
            <w:shd w:fill="F8F9FC"/>
          </w:tcPr>
          <w:p>
            <w:r>
              <w:rPr>
                <w:rFonts w:ascii="Liberation Sans" w:hAnsi="Liberation Sans"/>
                <w:color w:val="171A3A"/>
                <w:sz w:val="15"/>
              </w:rPr>
              <w:t>Fast on-chain event indexing into product APIs</w:t>
            </w:r>
          </w:p>
        </w:tc>
      </w:tr>
      <w:tr>
        <w:trPr>
          <w:cantSplit/>
        </w:trPr>
        <w:tc>
          <w:tcPr>
            <w:tcW w:type="dxa" w:w="1800"/>
            <w:tcMar>
              <w:top w:w="90" w:type="dxa"/>
              <w:start w:w="100" w:type="dxa"/>
              <w:bottom w:w="90" w:type="dxa"/>
              <w:end w:w="100" w:type="dxa"/>
            </w:tcMar>
            <w:vAlign w:val="top"/>
          </w:tcPr>
          <w:p>
            <w:r>
              <w:rPr>
                <w:rFonts w:ascii="Liberation Sans" w:hAnsi="Liberation Sans"/>
                <w:color w:val="171A3A"/>
                <w:sz w:val="15"/>
              </w:rPr>
              <w:t>Infrastructure</w:t>
            </w:r>
          </w:p>
        </w:tc>
        <w:tc>
          <w:tcPr>
            <w:tcW w:type="dxa" w:w="3960"/>
            <w:tcMar>
              <w:top w:w="90" w:type="dxa"/>
              <w:start w:w="100" w:type="dxa"/>
              <w:bottom w:w="90" w:type="dxa"/>
              <w:end w:w="100" w:type="dxa"/>
            </w:tcMar>
            <w:vAlign w:val="top"/>
          </w:tcPr>
          <w:p>
            <w:r>
              <w:rPr>
                <w:rFonts w:ascii="Liberation Sans" w:hAnsi="Liberation Sans"/>
                <w:color w:val="171A3A"/>
                <w:sz w:val="15"/>
              </w:rPr>
              <w:t>AWS ECS for APIs; GPU EC2/dedicated nodes for vision; Terraform; Docker</w:t>
            </w:r>
          </w:p>
        </w:tc>
        <w:tc>
          <w:tcPr>
            <w:tcW w:type="dxa" w:w="3600"/>
            <w:tcMar>
              <w:top w:w="90" w:type="dxa"/>
              <w:start w:w="100" w:type="dxa"/>
              <w:bottom w:w="90" w:type="dxa"/>
              <w:end w:w="100" w:type="dxa"/>
            </w:tcMar>
            <w:vAlign w:val="top"/>
          </w:tcPr>
          <w:p>
            <w:r>
              <w:rPr>
                <w:rFonts w:ascii="Liberation Sans" w:hAnsi="Liberation Sans"/>
                <w:color w:val="171A3A"/>
                <w:sz w:val="15"/>
              </w:rPr>
              <w:t>Managed scaling without premature Kubernetes</w:t>
            </w:r>
          </w:p>
        </w:tc>
      </w:tr>
      <w:tr>
        <w:trPr>
          <w:cantSplit/>
        </w:trPr>
        <w:tc>
          <w:tcPr>
            <w:tcW w:type="dxa" w:w="1800"/>
            <w:tcMar>
              <w:top w:w="90" w:type="dxa"/>
              <w:start w:w="100" w:type="dxa"/>
              <w:bottom w:w="90" w:type="dxa"/>
              <w:end w:w="100" w:type="dxa"/>
            </w:tcMar>
            <w:vAlign w:val="top"/>
            <w:shd w:fill="F8F9FC"/>
          </w:tcPr>
          <w:p>
            <w:r>
              <w:rPr>
                <w:rFonts w:ascii="Liberation Sans" w:hAnsi="Liberation Sans"/>
                <w:color w:val="171A3A"/>
                <w:sz w:val="15"/>
              </w:rPr>
              <w:t>Observability</w:t>
            </w:r>
          </w:p>
        </w:tc>
        <w:tc>
          <w:tcPr>
            <w:tcW w:type="dxa" w:w="3960"/>
            <w:tcMar>
              <w:top w:w="90" w:type="dxa"/>
              <w:start w:w="100" w:type="dxa"/>
              <w:bottom w:w="90" w:type="dxa"/>
              <w:end w:w="100" w:type="dxa"/>
            </w:tcMar>
            <w:vAlign w:val="top"/>
            <w:shd w:fill="F8F9FC"/>
          </w:tcPr>
          <w:p>
            <w:r>
              <w:rPr>
                <w:rFonts w:ascii="Liberation Sans" w:hAnsi="Liberation Sans"/>
                <w:color w:val="171A3A"/>
                <w:sz w:val="15"/>
              </w:rPr>
              <w:t>OpenTelemetry, Prometheus/Grafana, Loki, Sentry, Tenderly</w:t>
            </w:r>
          </w:p>
        </w:tc>
        <w:tc>
          <w:tcPr>
            <w:tcW w:type="dxa" w:w="3600"/>
            <w:tcMar>
              <w:top w:w="90" w:type="dxa"/>
              <w:start w:w="100" w:type="dxa"/>
              <w:bottom w:w="90" w:type="dxa"/>
              <w:end w:w="100" w:type="dxa"/>
            </w:tcMar>
            <w:vAlign w:val="top"/>
            <w:shd w:fill="F8F9FC"/>
          </w:tcPr>
          <w:p>
            <w:r>
              <w:rPr>
                <w:rFonts w:ascii="Liberation Sans" w:hAnsi="Liberation Sans"/>
                <w:color w:val="171A3A"/>
                <w:sz w:val="15"/>
              </w:rPr>
              <w:t>Unified media, backend and contract operations</w:t>
            </w:r>
          </w:p>
        </w:tc>
      </w:tr>
      <w:tr>
        <w:trPr>
          <w:cantSplit/>
        </w:trPr>
        <w:tc>
          <w:tcPr>
            <w:tcW w:type="dxa" w:w="1800"/>
            <w:tcMar>
              <w:top w:w="90" w:type="dxa"/>
              <w:start w:w="100" w:type="dxa"/>
              <w:bottom w:w="90" w:type="dxa"/>
              <w:end w:w="100" w:type="dxa"/>
            </w:tcMar>
            <w:vAlign w:val="top"/>
          </w:tcPr>
          <w:p>
            <w:r>
              <w:rPr>
                <w:rFonts w:ascii="Liberation Sans" w:hAnsi="Liberation Sans"/>
                <w:color w:val="171A3A"/>
                <w:sz w:val="15"/>
              </w:rPr>
              <w:t>Key security</w:t>
            </w:r>
          </w:p>
        </w:tc>
        <w:tc>
          <w:tcPr>
            <w:tcW w:type="dxa" w:w="3960"/>
            <w:tcMar>
              <w:top w:w="90" w:type="dxa"/>
              <w:start w:w="100" w:type="dxa"/>
              <w:bottom w:w="90" w:type="dxa"/>
              <w:end w:w="100" w:type="dxa"/>
            </w:tcMar>
            <w:vAlign w:val="top"/>
          </w:tcPr>
          <w:p>
            <w:r>
              <w:rPr>
                <w:rFonts w:ascii="Liberation Sans" w:hAnsi="Liberation Sans"/>
                <w:color w:val="171A3A"/>
                <w:sz w:val="15"/>
              </w:rPr>
              <w:t>AWS KMS/Cloud KMS for observer signing; Safe for admin</w:t>
            </w:r>
          </w:p>
        </w:tc>
        <w:tc>
          <w:tcPr>
            <w:tcW w:type="dxa" w:w="3600"/>
            <w:tcMar>
              <w:top w:w="90" w:type="dxa"/>
              <w:start w:w="100" w:type="dxa"/>
              <w:bottom w:w="90" w:type="dxa"/>
              <w:end w:w="100" w:type="dxa"/>
            </w:tcMar>
            <w:vAlign w:val="top"/>
          </w:tcPr>
          <w:p>
            <w:r>
              <w:rPr>
                <w:rFonts w:ascii="Liberation Sans" w:hAnsi="Liberation Sans"/>
                <w:color w:val="171A3A"/>
                <w:sz w:val="15"/>
              </w:rPr>
              <w:t>No plain private keys in services</w:t>
            </w:r>
          </w:p>
        </w:tc>
      </w:tr>
    </w:tbl>
    <w:p>
      <w:pPr>
        <w:spacing w:after="0"/>
      </w:pPr>
    </w:p>
    <w:p>
      <w:pPr>
        <w:pStyle w:val="Heading2"/>
        <w:keepNext/>
      </w:pPr>
      <w:r>
        <w:t>10.1 Avoid in V1</w:t>
      </w:r>
    </w:p>
    <w:p>
      <w:pPr>
        <w:pStyle w:val="ListBullet"/>
        <w:spacing w:after="60"/>
      </w:pPr>
      <w:r>
        <w:rPr>
          <w:rFonts w:ascii="Liberation Sans" w:hAnsi="Liberation Sans"/>
        </w:rPr>
        <w:t>Kubernetes unless operational load clearly justifies it.</w:t>
      </w:r>
    </w:p>
    <w:p>
      <w:pPr>
        <w:pStyle w:val="ListBullet"/>
        <w:spacing w:after="60"/>
      </w:pPr>
      <w:r>
        <w:rPr>
          <w:rFonts w:ascii="Liberation Sans" w:hAnsi="Liberation Sans"/>
        </w:rPr>
        <w:t>A custom WebRTC SFU or custom video player pipeline.</w:t>
      </w:r>
    </w:p>
    <w:p>
      <w:pPr>
        <w:pStyle w:val="ListBullet"/>
        <w:spacing w:after="60"/>
      </w:pPr>
      <w:r>
        <w:rPr>
          <w:rFonts w:ascii="Liberation Sans" w:hAnsi="Liberation Sans"/>
        </w:rPr>
        <w:t>Kafka when NATS JetStream is sufficient.</w:t>
      </w:r>
    </w:p>
    <w:p>
      <w:pPr>
        <w:pStyle w:val="ListBullet"/>
        <w:spacing w:after="60"/>
      </w:pPr>
      <w:r>
        <w:rPr>
          <w:rFonts w:ascii="Liberation Sans" w:hAnsi="Liberation Sans"/>
        </w:rPr>
        <w:t>A protocol token, DAO governance or multi-chain liquidity.</w:t>
      </w:r>
    </w:p>
    <w:p>
      <w:pPr>
        <w:pStyle w:val="ListBullet"/>
        <w:spacing w:after="60"/>
      </w:pPr>
      <w:r>
        <w:rPr>
          <w:rFonts w:ascii="Liberation Sans" w:hAnsi="Liberation Sans"/>
        </w:rPr>
        <w:t>An unrestricted marketplace for user-submitted camera feeds.</w:t>
      </w:r>
    </w:p>
    <w:p>
      <w:pPr>
        <w:pStyle w:val="ListBullet"/>
        <w:spacing w:after="60"/>
      </w:pPr>
      <w:r>
        <w:rPr>
          <w:rFonts w:ascii="Liberation Sans" w:hAnsi="Liberation Sans"/>
        </w:rPr>
        <w:t>Large generative models in the critical resolution path.</w:t>
      </w:r>
    </w:p>
    <w:p>
      <w:pPr>
        <w:pStyle w:val="Heading1"/>
        <w:keepNext/>
      </w:pPr>
      <w:r>
        <w:t>11. Security, privacy and reliability</w:t>
      </w:r>
    </w:p>
    <w:p>
      <w:pPr>
        <w:pStyle w:val="Heading2"/>
        <w:keepNext/>
      </w:pPr>
      <w:r>
        <w:t>11.1 Privacy by architecture</w:t>
      </w:r>
    </w:p>
    <w:p>
      <w:pPr>
        <w:spacing w:after="140" w:line="269" w:lineRule="auto"/>
      </w:pPr>
      <w:r>
        <w:rPr>
          <w:rFonts w:ascii="Liberation Sans" w:hAnsi="Liberation Sans"/>
        </w:rPr>
        <w:t>India’s Digital Personal Data Protection Act regulates digital personal data and the 2025 Rules set phased commencement. Scry should minimize the collection of identifiable data from the start: process at the edge, publish anonymized derivatives, retain only necessary dispute evidence, encrypt it, restrict access and document lawful purpose and deletion periods.</w:t>
      </w:r>
      <w:r>
        <w:rPr>
          <w:rFonts w:ascii="Liberation Sans" w:hAnsi="Liberation Sans"/>
          <w:color w:val="6C5CE7"/>
          <w:sz w:val="16"/>
          <w:vertAlign w:val="superscript"/>
        </w:rPr>
        <w:t xml:space="preserve"> [15]</w:t>
      </w:r>
      <w:r>
        <w:rPr>
          <w:rFonts w:ascii="Liberation Sans" w:hAnsi="Liberation Sans"/>
          <w:color w:val="6C5CE7"/>
          <w:sz w:val="16"/>
          <w:vertAlign w:val="superscript"/>
        </w:rPr>
        <w:t xml:space="preserve"> [16]</w:t>
      </w:r>
    </w:p>
    <w:p>
      <w:pPr>
        <w:pStyle w:val="Heading2"/>
        <w:keepNext/>
      </w:pPr>
      <w:r>
        <w:t>11.2 Main threat classes</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1872"/>
            <w:shd w:fill="171A3A"/>
            <w:tcMar>
              <w:top w:w="100" w:type="dxa"/>
              <w:start w:w="100" w:type="dxa"/>
              <w:bottom w:w="100" w:type="dxa"/>
              <w:end w:w="100" w:type="dxa"/>
            </w:tcMar>
            <w:vAlign w:val="center"/>
          </w:tcPr>
          <w:p>
            <w:pPr>
              <w:jc w:val="center"/>
            </w:pPr>
            <w:r>
              <w:rPr>
                <w:rFonts w:ascii="Liberation Sans" w:hAnsi="Liberation Sans"/>
                <w:b/>
                <w:color w:val="FFFFFF"/>
                <w:sz w:val="15"/>
              </w:rPr>
              <w:t>Threat</w:t>
            </w:r>
          </w:p>
        </w:tc>
        <w:tc>
          <w:tcPr>
            <w:tcW w:type="dxa" w:w="3024"/>
            <w:shd w:fill="171A3A"/>
            <w:tcMar>
              <w:top w:w="100" w:type="dxa"/>
              <w:start w:w="100" w:type="dxa"/>
              <w:bottom w:w="100" w:type="dxa"/>
              <w:end w:w="100" w:type="dxa"/>
            </w:tcMar>
            <w:vAlign w:val="center"/>
          </w:tcPr>
          <w:p>
            <w:pPr>
              <w:jc w:val="center"/>
            </w:pPr>
            <w:r>
              <w:rPr>
                <w:rFonts w:ascii="Liberation Sans" w:hAnsi="Liberation Sans"/>
                <w:b/>
                <w:color w:val="FFFFFF"/>
                <w:sz w:val="15"/>
              </w:rPr>
              <w:t>Example</w:t>
            </w:r>
          </w:p>
        </w:tc>
        <w:tc>
          <w:tcPr>
            <w:tcW w:type="dxa" w:w="4464"/>
            <w:shd w:fill="171A3A"/>
            <w:tcMar>
              <w:top w:w="100" w:type="dxa"/>
              <w:start w:w="100" w:type="dxa"/>
              <w:bottom w:w="100" w:type="dxa"/>
              <w:end w:w="100" w:type="dxa"/>
            </w:tcMar>
            <w:vAlign w:val="center"/>
          </w:tcPr>
          <w:p>
            <w:pPr>
              <w:jc w:val="center"/>
            </w:pPr>
            <w:r>
              <w:rPr>
                <w:rFonts w:ascii="Liberation Sans" w:hAnsi="Liberation Sans"/>
                <w:b/>
                <w:color w:val="FFFFFF"/>
                <w:sz w:val="15"/>
              </w:rPr>
              <w:t>Required control</w:t>
            </w:r>
          </w:p>
        </w:tc>
      </w:tr>
      <w:tr>
        <w:trPr>
          <w:cantSplit/>
        </w:trPr>
        <w:tc>
          <w:tcPr>
            <w:tcW w:type="dxa" w:w="1872"/>
            <w:tcMar>
              <w:top w:w="90" w:type="dxa"/>
              <w:start w:w="100" w:type="dxa"/>
              <w:bottom w:w="90" w:type="dxa"/>
              <w:end w:w="100" w:type="dxa"/>
            </w:tcMar>
            <w:vAlign w:val="top"/>
          </w:tcPr>
          <w:p>
            <w:r>
              <w:rPr>
                <w:rFonts w:ascii="Liberation Sans" w:hAnsi="Liberation Sans"/>
                <w:color w:val="171A3A"/>
                <w:sz w:val="15"/>
              </w:rPr>
              <w:t>Stream spoofing</w:t>
            </w:r>
          </w:p>
        </w:tc>
        <w:tc>
          <w:tcPr>
            <w:tcW w:type="dxa" w:w="3024"/>
            <w:tcMar>
              <w:top w:w="90" w:type="dxa"/>
              <w:start w:w="100" w:type="dxa"/>
              <w:bottom w:w="90" w:type="dxa"/>
              <w:end w:w="100" w:type="dxa"/>
            </w:tcMar>
            <w:vAlign w:val="top"/>
          </w:tcPr>
          <w:p>
            <w:r>
              <w:rPr>
                <w:rFonts w:ascii="Liberation Sans" w:hAnsi="Liberation Sans"/>
                <w:color w:val="171A3A"/>
                <w:sz w:val="15"/>
              </w:rPr>
              <w:t>Looped video or substituted source</w:t>
            </w:r>
          </w:p>
        </w:tc>
        <w:tc>
          <w:tcPr>
            <w:tcW w:type="dxa" w:w="4464"/>
            <w:tcMar>
              <w:top w:w="90" w:type="dxa"/>
              <w:start w:w="100" w:type="dxa"/>
              <w:bottom w:w="90" w:type="dxa"/>
              <w:end w:w="100" w:type="dxa"/>
            </w:tcMar>
            <w:vAlign w:val="top"/>
          </w:tcPr>
          <w:p>
            <w:r>
              <w:rPr>
                <w:rFonts w:ascii="Liberation Sans" w:hAnsi="Liberation Sans"/>
                <w:color w:val="171A3A"/>
                <w:sz w:val="15"/>
              </w:rPr>
              <w:t>Device identity, timestamps, liveness checks and source attestation</w:t>
            </w:r>
          </w:p>
        </w:tc>
      </w:tr>
      <w:tr>
        <w:trPr>
          <w:cantSplit/>
        </w:trPr>
        <w:tc>
          <w:tcPr>
            <w:tcW w:type="dxa" w:w="1872"/>
            <w:tcMar>
              <w:top w:w="90" w:type="dxa"/>
              <w:start w:w="100" w:type="dxa"/>
              <w:bottom w:w="90" w:type="dxa"/>
              <w:end w:w="100" w:type="dxa"/>
            </w:tcMar>
            <w:vAlign w:val="top"/>
            <w:shd w:fill="F8F9FC"/>
          </w:tcPr>
          <w:p>
            <w:r>
              <w:rPr>
                <w:rFonts w:ascii="Liberation Sans" w:hAnsi="Liberation Sans"/>
                <w:color w:val="171A3A"/>
                <w:sz w:val="15"/>
              </w:rPr>
              <w:t>Count manipulation</w:t>
            </w:r>
          </w:p>
        </w:tc>
        <w:tc>
          <w:tcPr>
            <w:tcW w:type="dxa" w:w="3024"/>
            <w:tcMar>
              <w:top w:w="90" w:type="dxa"/>
              <w:start w:w="100" w:type="dxa"/>
              <w:bottom w:w="90" w:type="dxa"/>
              <w:end w:w="100" w:type="dxa"/>
            </w:tcMar>
            <w:vAlign w:val="top"/>
            <w:shd w:fill="F8F9FC"/>
          </w:tcPr>
          <w:p>
            <w:r>
              <w:rPr>
                <w:rFonts w:ascii="Liberation Sans" w:hAnsi="Liberation Sans"/>
                <w:color w:val="171A3A"/>
                <w:sz w:val="15"/>
              </w:rPr>
              <w:t>Repeated crossing or adversarial object placement</w:t>
            </w:r>
          </w:p>
        </w:tc>
        <w:tc>
          <w:tcPr>
            <w:tcW w:type="dxa" w:w="4464"/>
            <w:tcMar>
              <w:top w:w="90" w:type="dxa"/>
              <w:start w:w="100" w:type="dxa"/>
              <w:bottom w:w="90" w:type="dxa"/>
              <w:end w:w="100" w:type="dxa"/>
            </w:tcMar>
            <w:vAlign w:val="top"/>
            <w:shd w:fill="F8F9FC"/>
          </w:tcPr>
          <w:p>
            <w:r>
              <w:rPr>
                <w:rFonts w:ascii="Liberation Sans" w:hAnsi="Liberation Sans"/>
                <w:color w:val="171A3A"/>
                <w:sz w:val="15"/>
              </w:rPr>
              <w:t>Duplicate-pattern detection, secondary observer and anomaly rules</w:t>
            </w:r>
          </w:p>
        </w:tc>
      </w:tr>
      <w:tr>
        <w:trPr>
          <w:cantSplit/>
        </w:trPr>
        <w:tc>
          <w:tcPr>
            <w:tcW w:type="dxa" w:w="1872"/>
            <w:tcMar>
              <w:top w:w="90" w:type="dxa"/>
              <w:start w:w="100" w:type="dxa"/>
              <w:bottom w:w="90" w:type="dxa"/>
              <w:end w:w="100" w:type="dxa"/>
            </w:tcMar>
            <w:vAlign w:val="top"/>
          </w:tcPr>
          <w:p>
            <w:r>
              <w:rPr>
                <w:rFonts w:ascii="Liberation Sans" w:hAnsi="Liberation Sans"/>
                <w:color w:val="171A3A"/>
                <w:sz w:val="15"/>
              </w:rPr>
              <w:t>Oracle compromise</w:t>
            </w:r>
          </w:p>
        </w:tc>
        <w:tc>
          <w:tcPr>
            <w:tcW w:type="dxa" w:w="3024"/>
            <w:tcMar>
              <w:top w:w="90" w:type="dxa"/>
              <w:start w:w="100" w:type="dxa"/>
              <w:bottom w:w="90" w:type="dxa"/>
              <w:end w:w="100" w:type="dxa"/>
            </w:tcMar>
            <w:vAlign w:val="top"/>
          </w:tcPr>
          <w:p>
            <w:r>
              <w:rPr>
                <w:rFonts w:ascii="Liberation Sans" w:hAnsi="Liberation Sans"/>
                <w:color w:val="171A3A"/>
                <w:sz w:val="15"/>
              </w:rPr>
              <w:t>One signer posts false result</w:t>
            </w:r>
          </w:p>
        </w:tc>
        <w:tc>
          <w:tcPr>
            <w:tcW w:type="dxa" w:w="4464"/>
            <w:tcMar>
              <w:top w:w="90" w:type="dxa"/>
              <w:start w:w="100" w:type="dxa"/>
              <w:bottom w:w="90" w:type="dxa"/>
              <w:end w:w="100" w:type="dxa"/>
            </w:tcMar>
            <w:vAlign w:val="top"/>
          </w:tcPr>
          <w:p>
            <w:r>
              <w:rPr>
                <w:rFonts w:ascii="Liberation Sans" w:hAnsi="Liberation Sans"/>
                <w:color w:val="171A3A"/>
                <w:sz w:val="15"/>
              </w:rPr>
              <w:t>2-of-3 signatures, KMS keys, registry revocation and challenge bond</w:t>
            </w:r>
          </w:p>
        </w:tc>
      </w:tr>
      <w:tr>
        <w:trPr>
          <w:cantSplit/>
        </w:trPr>
        <w:tc>
          <w:tcPr>
            <w:tcW w:type="dxa" w:w="1872"/>
            <w:tcMar>
              <w:top w:w="90" w:type="dxa"/>
              <w:start w:w="100" w:type="dxa"/>
              <w:bottom w:w="90" w:type="dxa"/>
              <w:end w:w="100" w:type="dxa"/>
            </w:tcMar>
            <w:vAlign w:val="top"/>
            <w:shd w:fill="F8F9FC"/>
          </w:tcPr>
          <w:p>
            <w:r>
              <w:rPr>
                <w:rFonts w:ascii="Liberation Sans" w:hAnsi="Liberation Sans"/>
                <w:color w:val="171A3A"/>
                <w:sz w:val="15"/>
              </w:rPr>
              <w:t>Contract exploit</w:t>
            </w:r>
          </w:p>
        </w:tc>
        <w:tc>
          <w:tcPr>
            <w:tcW w:type="dxa" w:w="3024"/>
            <w:tcMar>
              <w:top w:w="90" w:type="dxa"/>
              <w:start w:w="100" w:type="dxa"/>
              <w:bottom w:w="90" w:type="dxa"/>
              <w:end w:w="100" w:type="dxa"/>
            </w:tcMar>
            <w:vAlign w:val="top"/>
            <w:shd w:fill="F8F9FC"/>
          </w:tcPr>
          <w:p>
            <w:r>
              <w:rPr>
                <w:rFonts w:ascii="Liberation Sans" w:hAnsi="Liberation Sans"/>
                <w:color w:val="171A3A"/>
                <w:sz w:val="15"/>
              </w:rPr>
              <w:t>Reentrancy or accounting error</w:t>
            </w:r>
          </w:p>
        </w:tc>
        <w:tc>
          <w:tcPr>
            <w:tcW w:type="dxa" w:w="4464"/>
            <w:tcMar>
              <w:top w:w="90" w:type="dxa"/>
              <w:start w:w="100" w:type="dxa"/>
              <w:bottom w:w="90" w:type="dxa"/>
              <w:end w:w="100" w:type="dxa"/>
            </w:tcMar>
            <w:vAlign w:val="top"/>
            <w:shd w:fill="F8F9FC"/>
          </w:tcPr>
          <w:p>
            <w:r>
              <w:rPr>
                <w:rFonts w:ascii="Liberation Sans" w:hAnsi="Liberation Sans"/>
                <w:color w:val="171A3A"/>
                <w:sz w:val="15"/>
              </w:rPr>
              <w:t>Minimal contracts, Foundry fuzz/invariant tests, audit and caps</w:t>
            </w:r>
          </w:p>
        </w:tc>
      </w:tr>
      <w:tr>
        <w:trPr>
          <w:cantSplit/>
        </w:trPr>
        <w:tc>
          <w:tcPr>
            <w:tcW w:type="dxa" w:w="1872"/>
            <w:tcMar>
              <w:top w:w="90" w:type="dxa"/>
              <w:start w:w="100" w:type="dxa"/>
              <w:bottom w:w="90" w:type="dxa"/>
              <w:end w:w="100" w:type="dxa"/>
            </w:tcMar>
            <w:vAlign w:val="top"/>
          </w:tcPr>
          <w:p>
            <w:r>
              <w:rPr>
                <w:rFonts w:ascii="Liberation Sans" w:hAnsi="Liberation Sans"/>
                <w:color w:val="171A3A"/>
                <w:sz w:val="15"/>
              </w:rPr>
              <w:t>Privacy leak</w:t>
            </w:r>
          </w:p>
        </w:tc>
        <w:tc>
          <w:tcPr>
            <w:tcW w:type="dxa" w:w="3024"/>
            <w:tcMar>
              <w:top w:w="90" w:type="dxa"/>
              <w:start w:w="100" w:type="dxa"/>
              <w:bottom w:w="90" w:type="dxa"/>
              <w:end w:w="100" w:type="dxa"/>
            </w:tcMar>
            <w:vAlign w:val="top"/>
          </w:tcPr>
          <w:p>
            <w:r>
              <w:rPr>
                <w:rFonts w:ascii="Liberation Sans" w:hAnsi="Liberation Sans"/>
                <w:color w:val="171A3A"/>
                <w:sz w:val="15"/>
              </w:rPr>
              <w:t>Face/plate visible in public feed</w:t>
            </w:r>
          </w:p>
        </w:tc>
        <w:tc>
          <w:tcPr>
            <w:tcW w:type="dxa" w:w="4464"/>
            <w:tcMar>
              <w:top w:w="90" w:type="dxa"/>
              <w:start w:w="100" w:type="dxa"/>
              <w:bottom w:w="90" w:type="dxa"/>
              <w:end w:w="100" w:type="dxa"/>
            </w:tcMar>
            <w:vAlign w:val="top"/>
          </w:tcPr>
          <w:p>
            <w:r>
              <w:rPr>
                <w:rFonts w:ascii="Liberation Sans" w:hAnsi="Liberation Sans"/>
                <w:color w:val="171A3A"/>
                <w:sz w:val="15"/>
              </w:rPr>
              <w:t>Edge anonymization, QA alarms and restricted raw access</w:t>
            </w:r>
          </w:p>
        </w:tc>
      </w:tr>
      <w:tr>
        <w:trPr>
          <w:cantSplit/>
        </w:trPr>
        <w:tc>
          <w:tcPr>
            <w:tcW w:type="dxa" w:w="1872"/>
            <w:tcMar>
              <w:top w:w="90" w:type="dxa"/>
              <w:start w:w="100" w:type="dxa"/>
              <w:bottom w:w="90" w:type="dxa"/>
              <w:end w:w="100" w:type="dxa"/>
            </w:tcMar>
            <w:vAlign w:val="top"/>
            <w:shd w:fill="F8F9FC"/>
          </w:tcPr>
          <w:p>
            <w:r>
              <w:rPr>
                <w:rFonts w:ascii="Liberation Sans" w:hAnsi="Liberation Sans"/>
                <w:color w:val="171A3A"/>
                <w:sz w:val="15"/>
              </w:rPr>
              <w:t>Feed outage</w:t>
            </w:r>
          </w:p>
        </w:tc>
        <w:tc>
          <w:tcPr>
            <w:tcW w:type="dxa" w:w="3024"/>
            <w:tcMar>
              <w:top w:w="90" w:type="dxa"/>
              <w:start w:w="100" w:type="dxa"/>
              <w:bottom w:w="90" w:type="dxa"/>
              <w:end w:w="100" w:type="dxa"/>
            </w:tcMar>
            <w:vAlign w:val="top"/>
            <w:shd w:fill="F8F9FC"/>
          </w:tcPr>
          <w:p>
            <w:r>
              <w:rPr>
                <w:rFonts w:ascii="Liberation Sans" w:hAnsi="Liberation Sans"/>
                <w:color w:val="171A3A"/>
                <w:sz w:val="15"/>
              </w:rPr>
              <w:t>Camera or network fails mid-window</w:t>
            </w:r>
          </w:p>
        </w:tc>
        <w:tc>
          <w:tcPr>
            <w:tcW w:type="dxa" w:w="4464"/>
            <w:tcMar>
              <w:top w:w="90" w:type="dxa"/>
              <w:start w:w="100" w:type="dxa"/>
              <w:bottom w:w="90" w:type="dxa"/>
              <w:end w:w="100" w:type="dxa"/>
            </w:tcMar>
            <w:vAlign w:val="top"/>
            <w:shd w:fill="F8F9FC"/>
          </w:tcPr>
          <w:p>
            <w:r>
              <w:rPr>
                <w:rFonts w:ascii="Liberation Sans" w:hAnsi="Liberation Sans"/>
                <w:color w:val="171A3A"/>
                <w:sz w:val="15"/>
              </w:rPr>
              <w:t>Uptime threshold, backup source and automatic invalidation</w:t>
            </w:r>
          </w:p>
        </w:tc>
      </w:tr>
      <w:tr>
        <w:trPr>
          <w:cantSplit/>
        </w:trPr>
        <w:tc>
          <w:tcPr>
            <w:tcW w:type="dxa" w:w="1872"/>
            <w:tcMar>
              <w:top w:w="90" w:type="dxa"/>
              <w:start w:w="100" w:type="dxa"/>
              <w:bottom w:w="90" w:type="dxa"/>
              <w:end w:w="100" w:type="dxa"/>
            </w:tcMar>
            <w:vAlign w:val="top"/>
          </w:tcPr>
          <w:p>
            <w:r>
              <w:rPr>
                <w:rFonts w:ascii="Liberation Sans" w:hAnsi="Liberation Sans"/>
                <w:color w:val="171A3A"/>
                <w:sz w:val="15"/>
              </w:rPr>
              <w:t>Liquidity abuse</w:t>
            </w:r>
          </w:p>
        </w:tc>
        <w:tc>
          <w:tcPr>
            <w:tcW w:type="dxa" w:w="3024"/>
            <w:tcMar>
              <w:top w:w="90" w:type="dxa"/>
              <w:start w:w="100" w:type="dxa"/>
              <w:bottom w:w="90" w:type="dxa"/>
              <w:end w:w="100" w:type="dxa"/>
            </w:tcMar>
            <w:vAlign w:val="top"/>
          </w:tcPr>
          <w:p>
            <w:r>
              <w:rPr>
                <w:rFonts w:ascii="Liberation Sans" w:hAnsi="Liberation Sans"/>
                <w:color w:val="171A3A"/>
                <w:sz w:val="15"/>
              </w:rPr>
              <w:t>Whale dominates a small pool</w:t>
            </w:r>
          </w:p>
        </w:tc>
        <w:tc>
          <w:tcPr>
            <w:tcW w:type="dxa" w:w="4464"/>
            <w:tcMar>
              <w:top w:w="90" w:type="dxa"/>
              <w:start w:w="100" w:type="dxa"/>
              <w:bottom w:w="90" w:type="dxa"/>
              <w:end w:w="100" w:type="dxa"/>
            </w:tcMar>
            <w:vAlign w:val="top"/>
          </w:tcPr>
          <w:p>
            <w:r>
              <w:rPr>
                <w:rFonts w:ascii="Liberation Sans" w:hAnsi="Liberation Sans"/>
                <w:color w:val="171A3A"/>
                <w:sz w:val="15"/>
              </w:rPr>
              <w:t>Per-wallet and market caps, monitoring and transparent pools</w:t>
            </w:r>
          </w:p>
        </w:tc>
      </w:tr>
      <w:tr>
        <w:trPr>
          <w:cantSplit/>
        </w:trPr>
        <w:tc>
          <w:tcPr>
            <w:tcW w:type="dxa" w:w="1872"/>
            <w:tcMar>
              <w:top w:w="90" w:type="dxa"/>
              <w:start w:w="100" w:type="dxa"/>
              <w:bottom w:w="90" w:type="dxa"/>
              <w:end w:w="100" w:type="dxa"/>
            </w:tcMar>
            <w:vAlign w:val="top"/>
            <w:shd w:fill="F8F9FC"/>
          </w:tcPr>
          <w:p>
            <w:r>
              <w:rPr>
                <w:rFonts w:ascii="Liberation Sans" w:hAnsi="Liberation Sans"/>
                <w:color w:val="171A3A"/>
                <w:sz w:val="15"/>
              </w:rPr>
              <w:t>Insider control</w:t>
            </w:r>
          </w:p>
        </w:tc>
        <w:tc>
          <w:tcPr>
            <w:tcW w:type="dxa" w:w="3024"/>
            <w:tcMar>
              <w:top w:w="90" w:type="dxa"/>
              <w:start w:w="100" w:type="dxa"/>
              <w:bottom w:w="90" w:type="dxa"/>
              <w:end w:w="100" w:type="dxa"/>
            </w:tcMar>
            <w:vAlign w:val="top"/>
            <w:shd w:fill="F8F9FC"/>
          </w:tcPr>
          <w:p>
            <w:r>
              <w:rPr>
                <w:rFonts w:ascii="Liberation Sans" w:hAnsi="Liberation Sans"/>
                <w:color w:val="171A3A"/>
                <w:sz w:val="15"/>
              </w:rPr>
              <w:t>Admin changes rules after deposits</w:t>
            </w:r>
          </w:p>
        </w:tc>
        <w:tc>
          <w:tcPr>
            <w:tcW w:type="dxa" w:w="4464"/>
            <w:tcMar>
              <w:top w:w="90" w:type="dxa"/>
              <w:start w:w="100" w:type="dxa"/>
              <w:bottom w:w="90" w:type="dxa"/>
              <w:end w:w="100" w:type="dxa"/>
            </w:tcMar>
            <w:vAlign w:val="top"/>
            <w:shd w:fill="F8F9FC"/>
          </w:tcPr>
          <w:p>
            <w:r>
              <w:rPr>
                <w:rFonts w:ascii="Liberation Sans" w:hAnsi="Liberation Sans"/>
                <w:color w:val="171A3A"/>
                <w:sz w:val="15"/>
              </w:rPr>
              <w:t>Immutable rule hash, timelocks and Safe multisig</w:t>
            </w:r>
          </w:p>
        </w:tc>
      </w:tr>
    </w:tbl>
    <w:p>
      <w:pPr>
        <w:spacing w:after="0"/>
      </w:pPr>
    </w:p>
    <w:p>
      <w:pPr>
        <w:pStyle w:val="Heading2"/>
        <w:keepNext/>
      </w:pPr>
      <w:r>
        <w:t>11.3 Reliability targets for beta</w:t>
      </w:r>
    </w:p>
    <w:tbl>
      <w:tblPr>
        <w:tblStyle w:val="TableGrid"/>
        <w:tblW w:type="auto" w:w="0"/>
        <w:jc w:val="center"/>
        <w:tblLayout w:type="fixed"/>
        <w:tblLook w:firstColumn="1" w:firstRow="1" w:lastColumn="0" w:lastRow="0" w:noHBand="0" w:noVBand="1" w:val="04A0"/>
      </w:tblPr>
      <w:tblGrid>
        <w:gridCol w:w="4917"/>
        <w:gridCol w:w="4917"/>
      </w:tblGrid>
      <w:tr>
        <w:trPr>
          <w:tblHeader w:val="true"/>
          <w:cantSplit/>
        </w:trPr>
        <w:tc>
          <w:tcPr>
            <w:tcW w:type="dxa" w:w="5616"/>
            <w:shd w:fill="171A3A"/>
            <w:tcMar>
              <w:top w:w="100" w:type="dxa"/>
              <w:start w:w="100" w:type="dxa"/>
              <w:bottom w:w="100" w:type="dxa"/>
              <w:end w:w="100" w:type="dxa"/>
            </w:tcMar>
            <w:vAlign w:val="center"/>
          </w:tcPr>
          <w:p>
            <w:pPr>
              <w:jc w:val="center"/>
            </w:pPr>
            <w:r>
              <w:rPr>
                <w:rFonts w:ascii="Liberation Sans" w:hAnsi="Liberation Sans"/>
                <w:b/>
                <w:color w:val="FFFFFF"/>
                <w:sz w:val="17"/>
              </w:rPr>
              <w:t>Metric</w:t>
            </w:r>
          </w:p>
        </w:tc>
        <w:tc>
          <w:tcPr>
            <w:tcW w:type="dxa" w:w="3744"/>
            <w:shd w:fill="171A3A"/>
            <w:tcMar>
              <w:top w:w="100" w:type="dxa"/>
              <w:start w:w="100" w:type="dxa"/>
              <w:bottom w:w="100" w:type="dxa"/>
              <w:end w:w="100" w:type="dxa"/>
            </w:tcMar>
            <w:vAlign w:val="center"/>
          </w:tcPr>
          <w:p>
            <w:pPr>
              <w:jc w:val="center"/>
            </w:pPr>
            <w:r>
              <w:rPr>
                <w:rFonts w:ascii="Liberation Sans" w:hAnsi="Liberation Sans"/>
                <w:b/>
                <w:color w:val="FFFFFF"/>
                <w:sz w:val="17"/>
              </w:rPr>
              <w:t>Beta target</w:t>
            </w:r>
          </w:p>
        </w:tc>
      </w:tr>
      <w:tr>
        <w:trPr>
          <w:cantSplit/>
        </w:trPr>
        <w:tc>
          <w:tcPr>
            <w:tcW w:type="dxa" w:w="5616"/>
            <w:tcMar>
              <w:top w:w="90" w:type="dxa"/>
              <w:start w:w="100" w:type="dxa"/>
              <w:bottom w:w="90" w:type="dxa"/>
              <w:end w:w="100" w:type="dxa"/>
            </w:tcMar>
            <w:vAlign w:val="top"/>
          </w:tcPr>
          <w:p>
            <w:r>
              <w:rPr>
                <w:rFonts w:ascii="Liberation Sans" w:hAnsi="Liberation Sans"/>
                <w:color w:val="171A3A"/>
                <w:sz w:val="17"/>
              </w:rPr>
              <w:t>Curated stream uptime during markets</w:t>
            </w:r>
          </w:p>
        </w:tc>
        <w:tc>
          <w:tcPr>
            <w:tcW w:type="dxa" w:w="3744"/>
            <w:tcMar>
              <w:top w:w="90" w:type="dxa"/>
              <w:start w:w="100" w:type="dxa"/>
              <w:bottom w:w="90" w:type="dxa"/>
              <w:end w:w="100" w:type="dxa"/>
            </w:tcMar>
            <w:vAlign w:val="top"/>
          </w:tcPr>
          <w:p>
            <w:r>
              <w:rPr>
                <w:rFonts w:ascii="Liberation Sans" w:hAnsi="Liberation Sans"/>
                <w:color w:val="171A3A"/>
                <w:sz w:val="17"/>
              </w:rPr>
              <w:t>≥ 99.0%</w:t>
            </w:r>
          </w:p>
        </w:tc>
      </w:tr>
      <w:tr>
        <w:trPr>
          <w:cantSplit/>
        </w:trPr>
        <w:tc>
          <w:tcPr>
            <w:tcW w:type="dxa" w:w="5616"/>
            <w:tcMar>
              <w:top w:w="90" w:type="dxa"/>
              <w:start w:w="100" w:type="dxa"/>
              <w:bottom w:w="90" w:type="dxa"/>
              <w:end w:w="100" w:type="dxa"/>
            </w:tcMar>
            <w:vAlign w:val="top"/>
            <w:shd w:fill="F8F9FC"/>
          </w:tcPr>
          <w:p>
            <w:r>
              <w:rPr>
                <w:rFonts w:ascii="Liberation Sans" w:hAnsi="Liberation Sans"/>
                <w:color w:val="171A3A"/>
                <w:sz w:val="17"/>
              </w:rPr>
              <w:t>Timestamp drift</w:t>
            </w:r>
          </w:p>
        </w:tc>
        <w:tc>
          <w:tcPr>
            <w:tcW w:type="dxa" w:w="3744"/>
            <w:tcMar>
              <w:top w:w="90" w:type="dxa"/>
              <w:start w:w="100" w:type="dxa"/>
              <w:bottom w:w="90" w:type="dxa"/>
              <w:end w:w="100" w:type="dxa"/>
            </w:tcMar>
            <w:vAlign w:val="top"/>
            <w:shd w:fill="F8F9FC"/>
          </w:tcPr>
          <w:p>
            <w:r>
              <w:rPr>
                <w:rFonts w:ascii="Liberation Sans" w:hAnsi="Liberation Sans"/>
                <w:color w:val="171A3A"/>
                <w:sz w:val="17"/>
              </w:rPr>
              <w:t>&lt; 500 ms across observation components</w:t>
            </w:r>
          </w:p>
        </w:tc>
      </w:tr>
      <w:tr>
        <w:trPr>
          <w:cantSplit/>
        </w:trPr>
        <w:tc>
          <w:tcPr>
            <w:tcW w:type="dxa" w:w="5616"/>
            <w:tcMar>
              <w:top w:w="90" w:type="dxa"/>
              <w:start w:w="100" w:type="dxa"/>
              <w:bottom w:w="90" w:type="dxa"/>
              <w:end w:w="100" w:type="dxa"/>
            </w:tcMar>
            <w:vAlign w:val="top"/>
          </w:tcPr>
          <w:p>
            <w:r>
              <w:rPr>
                <w:rFonts w:ascii="Liberation Sans" w:hAnsi="Liberation Sans"/>
                <w:color w:val="171A3A"/>
                <w:sz w:val="17"/>
              </w:rPr>
              <w:t>Validated counting error</w:t>
            </w:r>
          </w:p>
        </w:tc>
        <w:tc>
          <w:tcPr>
            <w:tcW w:type="dxa" w:w="3744"/>
            <w:tcMar>
              <w:top w:w="90" w:type="dxa"/>
              <w:start w:w="100" w:type="dxa"/>
              <w:bottom w:w="90" w:type="dxa"/>
              <w:end w:w="100" w:type="dxa"/>
            </w:tcMar>
            <w:vAlign w:val="top"/>
          </w:tcPr>
          <w:p>
            <w:r>
              <w:rPr>
                <w:rFonts w:ascii="Liberation Sans" w:hAnsi="Liberation Sans"/>
                <w:color w:val="171A3A"/>
                <w:sz w:val="17"/>
              </w:rPr>
              <w:t>≤ 3–5% on accepted scenes; scene-specific</w:t>
            </w:r>
          </w:p>
        </w:tc>
      </w:tr>
      <w:tr>
        <w:trPr>
          <w:cantSplit/>
        </w:trPr>
        <w:tc>
          <w:tcPr>
            <w:tcW w:type="dxa" w:w="5616"/>
            <w:tcMar>
              <w:top w:w="90" w:type="dxa"/>
              <w:start w:w="100" w:type="dxa"/>
              <w:bottom w:w="90" w:type="dxa"/>
              <w:end w:w="100" w:type="dxa"/>
            </w:tcMar>
            <w:vAlign w:val="top"/>
            <w:shd w:fill="F8F9FC"/>
          </w:tcPr>
          <w:p>
            <w:r>
              <w:rPr>
                <w:rFonts w:ascii="Liberation Sans" w:hAnsi="Liberation Sans"/>
                <w:color w:val="171A3A"/>
                <w:sz w:val="17"/>
              </w:rPr>
              <w:t>Observer agreement</w:t>
            </w:r>
          </w:p>
        </w:tc>
        <w:tc>
          <w:tcPr>
            <w:tcW w:type="dxa" w:w="3744"/>
            <w:tcMar>
              <w:top w:w="90" w:type="dxa"/>
              <w:start w:w="100" w:type="dxa"/>
              <w:bottom w:w="90" w:type="dxa"/>
              <w:end w:w="100" w:type="dxa"/>
            </w:tcMar>
            <w:vAlign w:val="top"/>
            <w:shd w:fill="F8F9FC"/>
          </w:tcPr>
          <w:p>
            <w:r>
              <w:rPr>
                <w:rFonts w:ascii="Liberation Sans" w:hAnsi="Liberation Sans"/>
                <w:color w:val="171A3A"/>
                <w:sz w:val="17"/>
              </w:rPr>
              <w:t>≥ 99% of valid markets within configured tolerance</w:t>
            </w:r>
          </w:p>
        </w:tc>
      </w:tr>
      <w:tr>
        <w:trPr>
          <w:cantSplit/>
        </w:trPr>
        <w:tc>
          <w:tcPr>
            <w:tcW w:type="dxa" w:w="5616"/>
            <w:tcMar>
              <w:top w:w="90" w:type="dxa"/>
              <w:start w:w="100" w:type="dxa"/>
              <w:bottom w:w="90" w:type="dxa"/>
              <w:end w:w="100" w:type="dxa"/>
            </w:tcMar>
            <w:vAlign w:val="top"/>
          </w:tcPr>
          <w:p>
            <w:r>
              <w:rPr>
                <w:rFonts w:ascii="Liberation Sans" w:hAnsi="Liberation Sans"/>
                <w:color w:val="171A3A"/>
                <w:sz w:val="17"/>
              </w:rPr>
              <w:t>Normal resolution time</w:t>
            </w:r>
          </w:p>
        </w:tc>
        <w:tc>
          <w:tcPr>
            <w:tcW w:type="dxa" w:w="3744"/>
            <w:tcMar>
              <w:top w:w="90" w:type="dxa"/>
              <w:start w:w="100" w:type="dxa"/>
              <w:bottom w:w="90" w:type="dxa"/>
              <w:end w:w="100" w:type="dxa"/>
            </w:tcMar>
            <w:vAlign w:val="top"/>
          </w:tcPr>
          <w:p>
            <w:r>
              <w:rPr>
                <w:rFonts w:ascii="Liberation Sans" w:hAnsi="Liberation Sans"/>
                <w:color w:val="171A3A"/>
                <w:sz w:val="17"/>
              </w:rPr>
              <w:t>&lt; 15 minutes after observation</w:t>
            </w:r>
          </w:p>
        </w:tc>
      </w:tr>
      <w:tr>
        <w:trPr>
          <w:cantSplit/>
        </w:trPr>
        <w:tc>
          <w:tcPr>
            <w:tcW w:type="dxa" w:w="5616"/>
            <w:tcMar>
              <w:top w:w="90" w:type="dxa"/>
              <w:start w:w="100" w:type="dxa"/>
              <w:bottom w:w="90" w:type="dxa"/>
              <w:end w:w="100" w:type="dxa"/>
            </w:tcMar>
            <w:vAlign w:val="top"/>
            <w:shd w:fill="F8F9FC"/>
          </w:tcPr>
          <w:p>
            <w:r>
              <w:rPr>
                <w:rFonts w:ascii="Liberation Sans" w:hAnsi="Liberation Sans"/>
                <w:color w:val="171A3A"/>
                <w:sz w:val="17"/>
              </w:rPr>
              <w:t>Invalid market rate</w:t>
            </w:r>
          </w:p>
        </w:tc>
        <w:tc>
          <w:tcPr>
            <w:tcW w:type="dxa" w:w="3744"/>
            <w:tcMar>
              <w:top w:w="90" w:type="dxa"/>
              <w:start w:w="100" w:type="dxa"/>
              <w:bottom w:w="90" w:type="dxa"/>
              <w:end w:w="100" w:type="dxa"/>
            </w:tcMar>
            <w:vAlign w:val="top"/>
            <w:shd w:fill="F8F9FC"/>
          </w:tcPr>
          <w:p>
            <w:r>
              <w:rPr>
                <w:rFonts w:ascii="Liberation Sans" w:hAnsi="Liberation Sans"/>
                <w:color w:val="171A3A"/>
                <w:sz w:val="17"/>
              </w:rPr>
              <w:t>&lt; 2% after stream qualification</w:t>
            </w:r>
          </w:p>
        </w:tc>
      </w:tr>
      <w:tr>
        <w:trPr>
          <w:cantSplit/>
        </w:trPr>
        <w:tc>
          <w:tcPr>
            <w:tcW w:type="dxa" w:w="5616"/>
            <w:tcMar>
              <w:top w:w="90" w:type="dxa"/>
              <w:start w:w="100" w:type="dxa"/>
              <w:bottom w:w="90" w:type="dxa"/>
              <w:end w:w="100" w:type="dxa"/>
            </w:tcMar>
            <w:vAlign w:val="top"/>
          </w:tcPr>
          <w:p>
            <w:r>
              <w:rPr>
                <w:rFonts w:ascii="Liberation Sans" w:hAnsi="Liberation Sans"/>
                <w:color w:val="171A3A"/>
                <w:sz w:val="17"/>
              </w:rPr>
              <w:t>Claim/refund success</w:t>
            </w:r>
          </w:p>
        </w:tc>
        <w:tc>
          <w:tcPr>
            <w:tcW w:type="dxa" w:w="3744"/>
            <w:tcMar>
              <w:top w:w="90" w:type="dxa"/>
              <w:start w:w="100" w:type="dxa"/>
              <w:bottom w:w="90" w:type="dxa"/>
              <w:end w:w="100" w:type="dxa"/>
            </w:tcMar>
            <w:vAlign w:val="top"/>
          </w:tcPr>
          <w:p>
            <w:r>
              <w:rPr>
                <w:rFonts w:ascii="Liberation Sans" w:hAnsi="Liberation Sans"/>
                <w:color w:val="171A3A"/>
                <w:sz w:val="17"/>
              </w:rPr>
              <w:t>≥ 99.9% contract-path success</w:t>
            </w:r>
          </w:p>
        </w:tc>
      </w:tr>
      <w:tr>
        <w:tc>
          <w:tcPr>
            <w:tcW w:type="dxa" w:w="4917"/>
            <w:vAlign w:val="center"/>
            <w:tcMar>
              <w:top w:w="80" w:type="dxa"/>
              <w:start w:w="100" w:type="dxa"/>
              <w:bottom w:w="80" w:type="dxa"/>
              <w:end w:w="100" w:type="dxa"/>
            </w:tcMar>
            <w:shd w:fill="FAF9FF"/>
          </w:tcPr>
          <w:p>
            <w:pPr>
              <w:spacing w:after="0" w:before="0" w:line="240" w:lineRule="auto"/>
            </w:pPr>
            <w:r/>
            <w:r>
              <w:rPr>
                <w:rFonts w:ascii="Liberation Sans" w:hAnsi="Liberation Sans"/>
                <w:b/>
                <w:i w:val="0"/>
                <w:color w:val="4F46E5"/>
                <w:sz w:val="16"/>
              </w:rPr>
              <w:t>Non-traffic launch supply</w:t>
            </w:r>
          </w:p>
        </w:tc>
        <w:tc>
          <w:tcPr>
            <w:tcW w:type="dxa" w:w="4917"/>
            <w:vAlign w:val="center"/>
            <w:tcMar>
              <w:top w:w="80" w:type="dxa"/>
              <w:start w:w="100" w:type="dxa"/>
              <w:bottom w:w="80" w:type="dxa"/>
              <w:end w:w="100" w:type="dxa"/>
            </w:tcMar>
            <w:shd w:fill="FAF9FF"/>
          </w:tcPr>
          <w:p>
            <w:pPr>
              <w:spacing w:after="0" w:before="0" w:line="240" w:lineRule="auto"/>
            </w:pPr>
            <w:r/>
            <w:r>
              <w:rPr>
                <w:rFonts w:ascii="Liberation Sans" w:hAnsi="Liberation Sans"/>
                <w:b w:val="0"/>
                <w:i w:val="0"/>
                <w:color w:val="1F2937"/>
                <w:sz w:val="16"/>
              </w:rPr>
              <w:t>At least 30% of qualified streams and resolved markets outside basic vehicle-count questions</w:t>
            </w:r>
          </w:p>
        </w:tc>
      </w:tr>
    </w:tbl>
    <w:p>
      <w:pPr>
        <w:spacing w:after="0"/>
      </w:pPr>
    </w:p>
    <w:p>
      <w:pPr>
        <w:pStyle w:val="Heading1"/>
        <w:keepNext/>
      </w:pPr>
      <w:r>
        <w:t>12. Business model and distribution</w:t>
      </w:r>
    </w:p>
    <w:p>
      <w:pPr>
        <w:pStyle w:val="Heading2"/>
        <w:keepNext/>
      </w:pPr>
      <w:r>
        <w:t>12.1 Revenue layers</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2088"/>
            <w:shd w:fill="171A3A"/>
            <w:tcMar>
              <w:top w:w="100" w:type="dxa"/>
              <w:start w:w="100" w:type="dxa"/>
              <w:bottom w:w="100" w:type="dxa"/>
              <w:end w:w="100" w:type="dxa"/>
            </w:tcMar>
            <w:vAlign w:val="center"/>
          </w:tcPr>
          <w:p>
            <w:pPr>
              <w:jc w:val="center"/>
            </w:pPr>
            <w:r>
              <w:rPr>
                <w:rFonts w:ascii="Liberation Sans" w:hAnsi="Liberation Sans"/>
                <w:b/>
                <w:color w:val="FFFFFF"/>
                <w:sz w:val="16"/>
              </w:rPr>
              <w:t>Revenue source</w:t>
            </w:r>
          </w:p>
        </w:tc>
        <w:tc>
          <w:tcPr>
            <w:tcW w:type="dxa" w:w="4824"/>
            <w:shd w:fill="171A3A"/>
            <w:tcMar>
              <w:top w:w="100" w:type="dxa"/>
              <w:start w:w="100" w:type="dxa"/>
              <w:bottom w:w="100" w:type="dxa"/>
              <w:end w:w="100" w:type="dxa"/>
            </w:tcMar>
            <w:vAlign w:val="center"/>
          </w:tcPr>
          <w:p>
            <w:pPr>
              <w:jc w:val="center"/>
            </w:pPr>
            <w:r>
              <w:rPr>
                <w:rFonts w:ascii="Liberation Sans" w:hAnsi="Liberation Sans"/>
                <w:b/>
                <w:color w:val="FFFFFF"/>
                <w:sz w:val="16"/>
              </w:rPr>
              <w:t>How it works</w:t>
            </w:r>
          </w:p>
        </w:tc>
        <w:tc>
          <w:tcPr>
            <w:tcW w:type="dxa" w:w="2448"/>
            <w:shd w:fill="171A3A"/>
            <w:tcMar>
              <w:top w:w="100" w:type="dxa"/>
              <w:start w:w="100" w:type="dxa"/>
              <w:bottom w:w="100" w:type="dxa"/>
              <w:end w:w="100" w:type="dxa"/>
            </w:tcMar>
            <w:vAlign w:val="center"/>
          </w:tcPr>
          <w:p>
            <w:pPr>
              <w:jc w:val="center"/>
            </w:pPr>
            <w:r>
              <w:rPr>
                <w:rFonts w:ascii="Liberation Sans" w:hAnsi="Liberation Sans"/>
                <w:b/>
                <w:color w:val="FFFFFF"/>
                <w:sz w:val="16"/>
              </w:rPr>
              <w:t>Timing</w:t>
            </w:r>
          </w:p>
        </w:tc>
      </w:tr>
      <w:tr>
        <w:trPr>
          <w:cantSplit/>
        </w:trPr>
        <w:tc>
          <w:tcPr>
            <w:tcW w:type="dxa" w:w="2088"/>
            <w:tcMar>
              <w:top w:w="90" w:type="dxa"/>
              <w:start w:w="100" w:type="dxa"/>
              <w:bottom w:w="90" w:type="dxa"/>
              <w:end w:w="100" w:type="dxa"/>
            </w:tcMar>
            <w:vAlign w:val="top"/>
          </w:tcPr>
          <w:p>
            <w:r>
              <w:rPr>
                <w:rFonts w:ascii="Liberation Sans" w:hAnsi="Liberation Sans"/>
                <w:color w:val="171A3A"/>
                <w:sz w:val="16"/>
              </w:rPr>
              <w:t>Protocol fee</w:t>
            </w:r>
          </w:p>
        </w:tc>
        <w:tc>
          <w:tcPr>
            <w:tcW w:type="dxa" w:w="4824"/>
            <w:tcMar>
              <w:top w:w="90" w:type="dxa"/>
              <w:start w:w="100" w:type="dxa"/>
              <w:bottom w:w="90" w:type="dxa"/>
              <w:end w:w="100" w:type="dxa"/>
            </w:tcMar>
            <w:vAlign w:val="top"/>
          </w:tcPr>
          <w:p>
            <w:r>
              <w:rPr>
                <w:rFonts w:ascii="Liberation Sans" w:hAnsi="Liberation Sans"/>
                <w:color w:val="171A3A"/>
                <w:sz w:val="16"/>
              </w:rPr>
              <w:t>Small fee on resolved monetary pools where lawful</w:t>
            </w:r>
          </w:p>
        </w:tc>
        <w:tc>
          <w:tcPr>
            <w:tcW w:type="dxa" w:w="2448"/>
            <w:tcMar>
              <w:top w:w="90" w:type="dxa"/>
              <w:start w:w="100" w:type="dxa"/>
              <w:bottom w:w="90" w:type="dxa"/>
              <w:end w:w="100" w:type="dxa"/>
            </w:tcMar>
            <w:vAlign w:val="top"/>
          </w:tcPr>
          <w:p>
            <w:r>
              <w:rPr>
                <w:rFonts w:ascii="Liberation Sans" w:hAnsi="Liberation Sans"/>
                <w:color w:val="171A3A"/>
                <w:sz w:val="16"/>
              </w:rPr>
              <w:t>After regulated launch</w:t>
            </w:r>
          </w:p>
        </w:tc>
      </w:tr>
      <w:tr>
        <w:trPr>
          <w:cantSplit/>
        </w:trPr>
        <w:tc>
          <w:tcPr>
            <w:tcW w:type="dxa" w:w="2088"/>
            <w:tcMar>
              <w:top w:w="90" w:type="dxa"/>
              <w:start w:w="100" w:type="dxa"/>
              <w:bottom w:w="90" w:type="dxa"/>
              <w:end w:w="100" w:type="dxa"/>
            </w:tcMar>
            <w:vAlign w:val="top"/>
            <w:shd w:fill="F8F9FC"/>
          </w:tcPr>
          <w:p>
            <w:r>
              <w:rPr>
                <w:rFonts w:ascii="Liberation Sans" w:hAnsi="Liberation Sans"/>
                <w:color w:val="171A3A"/>
                <w:sz w:val="16"/>
              </w:rPr>
              <w:t>Sponsored markets</w:t>
            </w:r>
          </w:p>
        </w:tc>
        <w:tc>
          <w:tcPr>
            <w:tcW w:type="dxa" w:w="4824"/>
            <w:tcMar>
              <w:top w:w="90" w:type="dxa"/>
              <w:start w:w="100" w:type="dxa"/>
              <w:bottom w:w="90" w:type="dxa"/>
              <w:end w:w="100" w:type="dxa"/>
            </w:tcMar>
            <w:vAlign w:val="top"/>
            <w:shd w:fill="F8F9FC"/>
          </w:tcPr>
          <w:p>
            <w:r>
              <w:rPr>
                <w:rFonts w:ascii="Liberation Sans" w:hAnsi="Liberation Sans"/>
                <w:color w:val="171A3A"/>
                <w:sz w:val="16"/>
              </w:rPr>
              <w:t>Venue, event or brand funds a reward pool and distribution</w:t>
            </w:r>
          </w:p>
        </w:tc>
        <w:tc>
          <w:tcPr>
            <w:tcW w:type="dxa" w:w="2448"/>
            <w:tcMar>
              <w:top w:w="90" w:type="dxa"/>
              <w:start w:w="100" w:type="dxa"/>
              <w:bottom w:w="90" w:type="dxa"/>
              <w:end w:w="100" w:type="dxa"/>
            </w:tcMar>
            <w:vAlign w:val="top"/>
            <w:shd w:fill="F8F9FC"/>
          </w:tcPr>
          <w:p>
            <w:r>
              <w:rPr>
                <w:rFonts w:ascii="Liberation Sans" w:hAnsi="Liberation Sans"/>
                <w:color w:val="171A3A"/>
                <w:sz w:val="16"/>
              </w:rPr>
              <w:t>MVP-friendly</w:t>
            </w:r>
          </w:p>
        </w:tc>
      </w:tr>
      <w:tr>
        <w:trPr>
          <w:cantSplit/>
        </w:trPr>
        <w:tc>
          <w:tcPr>
            <w:tcW w:type="dxa" w:w="2088"/>
            <w:tcMar>
              <w:top w:w="90" w:type="dxa"/>
              <w:start w:w="100" w:type="dxa"/>
              <w:bottom w:w="90" w:type="dxa"/>
              <w:end w:w="100" w:type="dxa"/>
            </w:tcMar>
            <w:vAlign w:val="top"/>
          </w:tcPr>
          <w:p>
            <w:r>
              <w:rPr>
                <w:rFonts w:ascii="Liberation Sans" w:hAnsi="Liberation Sans"/>
                <w:color w:val="171A3A"/>
                <w:sz w:val="16"/>
              </w:rPr>
              <w:t>Enterprise forecast API</w:t>
            </w:r>
          </w:p>
        </w:tc>
        <w:tc>
          <w:tcPr>
            <w:tcW w:type="dxa" w:w="4824"/>
            <w:tcMar>
              <w:top w:w="90" w:type="dxa"/>
              <w:start w:w="100" w:type="dxa"/>
              <w:bottom w:w="90" w:type="dxa"/>
              <w:end w:w="100" w:type="dxa"/>
            </w:tcMar>
            <w:vAlign w:val="top"/>
          </w:tcPr>
          <w:p>
            <w:r>
              <w:rPr>
                <w:rFonts w:ascii="Liberation Sans" w:hAnsi="Liberation Sans"/>
                <w:color w:val="171A3A"/>
                <w:sz w:val="16"/>
              </w:rPr>
              <w:t>Probability, expected count, confidence and alerts</w:t>
            </w:r>
          </w:p>
        </w:tc>
        <w:tc>
          <w:tcPr>
            <w:tcW w:type="dxa" w:w="2448"/>
            <w:tcMar>
              <w:top w:w="90" w:type="dxa"/>
              <w:start w:w="100" w:type="dxa"/>
              <w:bottom w:w="90" w:type="dxa"/>
              <w:end w:w="100" w:type="dxa"/>
            </w:tcMar>
            <w:vAlign w:val="top"/>
          </w:tcPr>
          <w:p>
            <w:r>
              <w:rPr>
                <w:rFonts w:ascii="Liberation Sans" w:hAnsi="Liberation Sans"/>
                <w:color w:val="171A3A"/>
                <w:sz w:val="16"/>
              </w:rPr>
              <w:t>After reliable historical data</w:t>
            </w:r>
          </w:p>
        </w:tc>
      </w:tr>
      <w:tr>
        <w:trPr>
          <w:cantSplit/>
        </w:trPr>
        <w:tc>
          <w:tcPr>
            <w:tcW w:type="dxa" w:w="2088"/>
            <w:tcMar>
              <w:top w:w="90" w:type="dxa"/>
              <w:start w:w="100" w:type="dxa"/>
              <w:bottom w:w="90" w:type="dxa"/>
              <w:end w:w="100" w:type="dxa"/>
            </w:tcMar>
            <w:vAlign w:val="top"/>
            <w:shd w:fill="F8F9FC"/>
          </w:tcPr>
          <w:p>
            <w:r>
              <w:rPr>
                <w:rFonts w:ascii="Liberation Sans" w:hAnsi="Liberation Sans"/>
                <w:color w:val="171A3A"/>
                <w:sz w:val="16"/>
              </w:rPr>
              <w:t>Operations dashboard</w:t>
            </w:r>
          </w:p>
        </w:tc>
        <w:tc>
          <w:tcPr>
            <w:tcW w:type="dxa" w:w="4824"/>
            <w:tcMar>
              <w:top w:w="90" w:type="dxa"/>
              <w:start w:w="100" w:type="dxa"/>
              <w:bottom w:w="90" w:type="dxa"/>
              <w:end w:w="100" w:type="dxa"/>
            </w:tcMar>
            <w:vAlign w:val="top"/>
            <w:shd w:fill="F8F9FC"/>
          </w:tcPr>
          <w:p>
            <w:r>
              <w:rPr>
                <w:rFonts w:ascii="Liberation Sans" w:hAnsi="Liberation Sans"/>
                <w:color w:val="171A3A"/>
                <w:sz w:val="16"/>
              </w:rPr>
              <w:t>Parking, staffing, traffic and venue forecasting</w:t>
            </w:r>
          </w:p>
        </w:tc>
        <w:tc>
          <w:tcPr>
            <w:tcW w:type="dxa" w:w="2448"/>
            <w:tcMar>
              <w:top w:w="90" w:type="dxa"/>
              <w:start w:w="100" w:type="dxa"/>
              <w:bottom w:w="90" w:type="dxa"/>
              <w:end w:w="100" w:type="dxa"/>
            </w:tcMar>
            <w:vAlign w:val="top"/>
            <w:shd w:fill="F8F9FC"/>
          </w:tcPr>
          <w:p>
            <w:r>
              <w:rPr>
                <w:rFonts w:ascii="Liberation Sans" w:hAnsi="Liberation Sans"/>
                <w:color w:val="171A3A"/>
                <w:sz w:val="16"/>
              </w:rPr>
              <w:t>Early B2B pilots</w:t>
            </w:r>
          </w:p>
        </w:tc>
      </w:tr>
      <w:tr>
        <w:trPr>
          <w:cantSplit/>
        </w:trPr>
        <w:tc>
          <w:tcPr>
            <w:tcW w:type="dxa" w:w="2088"/>
            <w:tcMar>
              <w:top w:w="90" w:type="dxa"/>
              <w:start w:w="100" w:type="dxa"/>
              <w:bottom w:w="90" w:type="dxa"/>
              <w:end w:w="100" w:type="dxa"/>
            </w:tcMar>
            <w:vAlign w:val="top"/>
          </w:tcPr>
          <w:p>
            <w:r>
              <w:rPr>
                <w:rFonts w:ascii="Liberation Sans" w:hAnsi="Liberation Sans"/>
                <w:color w:val="171A3A"/>
                <w:sz w:val="16"/>
              </w:rPr>
              <w:t>Agent challenges</w:t>
            </w:r>
          </w:p>
        </w:tc>
        <w:tc>
          <w:tcPr>
            <w:tcW w:type="dxa" w:w="4824"/>
            <w:tcMar>
              <w:top w:w="90" w:type="dxa"/>
              <w:start w:w="100" w:type="dxa"/>
              <w:bottom w:w="90" w:type="dxa"/>
              <w:end w:w="100" w:type="dxa"/>
            </w:tcMar>
            <w:vAlign w:val="top"/>
          </w:tcPr>
          <w:p>
            <w:r>
              <w:rPr>
                <w:rFonts w:ascii="Liberation Sans" w:hAnsi="Liberation Sans"/>
                <w:color w:val="171A3A"/>
                <w:sz w:val="16"/>
              </w:rPr>
              <w:t>Companies sponsor forecasting competitions</w:t>
            </w:r>
          </w:p>
        </w:tc>
        <w:tc>
          <w:tcPr>
            <w:tcW w:type="dxa" w:w="2448"/>
            <w:tcMar>
              <w:top w:w="90" w:type="dxa"/>
              <w:start w:w="100" w:type="dxa"/>
              <w:bottom w:w="90" w:type="dxa"/>
              <w:end w:w="100" w:type="dxa"/>
            </w:tcMar>
            <w:vAlign w:val="top"/>
          </w:tcPr>
          <w:p>
            <w:r>
              <w:rPr>
                <w:rFonts w:ascii="Liberation Sans" w:hAnsi="Liberation Sans"/>
                <w:color w:val="171A3A"/>
                <w:sz w:val="16"/>
              </w:rPr>
              <w:t>After Agent SDK</w:t>
            </w:r>
          </w:p>
        </w:tc>
      </w:tr>
      <w:tr>
        <w:trPr>
          <w:cantSplit/>
        </w:trPr>
        <w:tc>
          <w:tcPr>
            <w:tcW w:type="dxa" w:w="2088"/>
            <w:tcMar>
              <w:top w:w="90" w:type="dxa"/>
              <w:start w:w="100" w:type="dxa"/>
              <w:bottom w:w="90" w:type="dxa"/>
              <w:end w:w="100" w:type="dxa"/>
            </w:tcMar>
            <w:vAlign w:val="top"/>
            <w:shd w:fill="F8F9FC"/>
          </w:tcPr>
          <w:p>
            <w:r>
              <w:rPr>
                <w:rFonts w:ascii="Liberation Sans" w:hAnsi="Liberation Sans"/>
                <w:color w:val="171A3A"/>
                <w:sz w:val="16"/>
              </w:rPr>
              <w:t>Observation services</w:t>
            </w:r>
          </w:p>
        </w:tc>
        <w:tc>
          <w:tcPr>
            <w:tcW w:type="dxa" w:w="4824"/>
            <w:tcMar>
              <w:top w:w="90" w:type="dxa"/>
              <w:start w:w="100" w:type="dxa"/>
              <w:bottom w:w="90" w:type="dxa"/>
              <w:end w:w="100" w:type="dxa"/>
            </w:tcMar>
            <w:vAlign w:val="top"/>
            <w:shd w:fill="F8F9FC"/>
          </w:tcPr>
          <w:p>
            <w:r>
              <w:rPr>
                <w:rFonts w:ascii="Liberation Sans" w:hAnsi="Liberation Sans"/>
                <w:color w:val="171A3A"/>
                <w:sz w:val="16"/>
              </w:rPr>
              <w:t>Resolution/evidence infrastructure for external markets</w:t>
            </w:r>
          </w:p>
        </w:tc>
        <w:tc>
          <w:tcPr>
            <w:tcW w:type="dxa" w:w="2448"/>
            <w:tcMar>
              <w:top w:w="90" w:type="dxa"/>
              <w:start w:w="100" w:type="dxa"/>
              <w:bottom w:w="90" w:type="dxa"/>
              <w:end w:w="100" w:type="dxa"/>
            </w:tcMar>
            <w:vAlign w:val="top"/>
            <w:shd w:fill="F8F9FC"/>
          </w:tcPr>
          <w:p>
            <w:r>
              <w:rPr>
                <w:rFonts w:ascii="Liberation Sans" w:hAnsi="Liberation Sans"/>
                <w:color w:val="171A3A"/>
                <w:sz w:val="16"/>
              </w:rPr>
              <w:t>Long-term protocol opportunity</w:t>
            </w:r>
          </w:p>
        </w:tc>
      </w:tr>
    </w:tbl>
    <w:p>
      <w:pPr>
        <w:spacing w:after="0"/>
      </w:pPr>
    </w:p>
    <w:p>
      <w:pPr>
        <w:pStyle w:val="Heading2"/>
        <w:keepNext/>
      </w:pPr>
      <w:r>
        <w:t>12.2 Distribution loops</w:t>
      </w:r>
    </w:p>
    <w:p>
      <w:pPr>
        <w:pStyle w:val="ListBullet"/>
        <w:spacing w:after="60"/>
      </w:pPr>
      <w:r>
        <w:rPr>
          <w:rFonts w:ascii="Liberation Sans" w:hAnsi="Liberation Sans"/>
        </w:rPr>
        <w:t>Live clips and result replays are inherently shareable.</w:t>
      </w:r>
    </w:p>
    <w:p>
      <w:pPr>
        <w:pStyle w:val="ListBullet"/>
        <w:spacing w:after="60"/>
      </w:pPr>
      <w:r>
        <w:rPr>
          <w:rFonts w:ascii="Liberation Sans" w:hAnsi="Liberation Sans"/>
        </w:rPr>
        <w:t>Location leaderboards create local communities and specialist identities.</w:t>
      </w:r>
    </w:p>
    <w:p>
      <w:pPr>
        <w:pStyle w:val="ListBullet"/>
        <w:spacing w:after="60"/>
      </w:pPr>
      <w:r>
        <w:rPr>
          <w:rFonts w:ascii="Liberation Sans" w:hAnsi="Liberation Sans"/>
        </w:rPr>
        <w:t>AI-versus-crowd disagreements create recurring content.</w:t>
      </w:r>
    </w:p>
    <w:p>
      <w:pPr>
        <w:pStyle w:val="ListBullet"/>
        <w:spacing w:after="60"/>
      </w:pPr>
      <w:r>
        <w:rPr>
          <w:rFonts w:ascii="Liberation Sans" w:hAnsi="Liberation Sans"/>
        </w:rPr>
        <w:t>Sensor/venue operators bring their existing audience to sponsored rooms.</w:t>
      </w:r>
    </w:p>
    <w:p>
      <w:pPr>
        <w:pStyle w:val="ListBullet"/>
        <w:spacing w:after="60"/>
      </w:pPr>
      <w:r>
        <w:rPr>
          <w:rFonts w:ascii="Liberation Sans" w:hAnsi="Liberation Sans"/>
        </w:rPr>
        <w:t>Agent builders bring automated volume and public performance records.</w:t>
      </w:r>
    </w:p>
    <w:p>
      <w:pPr>
        <w:pStyle w:val="ListBullet"/>
        <w:spacing w:after="60"/>
      </w:pPr>
      <w:r>
        <w:rPr>
          <w:rFonts w:ascii="Liberation Sans" w:hAnsi="Liberation Sans"/>
        </w:rPr>
        <w:t>Enterprise buyers subsidize useful markets rather than relying only on speculative demand.</w:t>
      </w:r>
    </w:p>
    <w:p>
      <w:pPr>
        <w:pStyle w:val="Heading2"/>
        <w:keepNext/>
      </w:pPr>
      <w:r>
        <w:t>12.3 Ecosystem strategy</w:t>
      </w:r>
    </w:p>
    <w:p>
      <w:pPr>
        <w:spacing w:after="140" w:line="269" w:lineRule="auto"/>
      </w:pPr>
      <w:r>
        <w:rPr>
          <w:rFonts w:ascii="Liberation Sans" w:hAnsi="Liberation Sans"/>
        </w:rPr>
        <w:t>Apply to Base with a working room and clear transaction flow, not only a deck. The pitch should emphasize a new category—live sensor-resolved markets—plus Base-native USDC, smart-account UX and AI-agent participation. After traction, deploy the portable contracts on Robinhood Chain and pursue its builder ecosystem as a strategic distribution experiment.</w:t>
      </w:r>
    </w:p>
    <w:p>
      <w:pPr>
        <w:pStyle w:val="Heading1"/>
        <w:keepNext/>
      </w:pPr>
      <w:r>
        <w:t>13. End-to-end mainnet MVP scope</w:t>
      </w:r>
    </w:p>
    <w:tbl>
      <w:tblPr>
        <w:tblW w:type="auto" w:w="0"/>
        <w:jc w:val="center"/>
        <w:tblLayout w:type="fixed"/>
        <w:tblLook w:firstColumn="1" w:firstRow="1" w:lastColumn="0" w:lastRow="0" w:noHBand="0" w:noVBand="1" w:val="04A0"/>
      </w:tblPr>
      <w:tblGrid>
        <w:gridCol w:w="230"/>
        <w:gridCol w:w="9576"/>
      </w:tblGrid>
      <w:tr>
        <w:tc>
          <w:tcPr>
            <w:tcW w:type="dxa" w:w="4917"/>
            <w:shd w:fill="169B72"/>
            <w:tcMar>
              <w:top w:w="140" w:type="dxa"/>
              <w:start w:w="150" w:type="dxa"/>
              <w:bottom w:w="140" w:type="dxa"/>
              <w:end w:w="150" w:type="dxa"/>
            </w:tcMar>
            <w:vAlign w:val="center"/>
          </w:tcPr>
          <w:p/>
        </w:tc>
        <w:tc>
          <w:tcPr>
            <w:tcW w:type="dxa" w:w="4917"/>
            <w:shd w:fill="F3F2FF"/>
            <w:tcMar>
              <w:top w:w="140" w:type="dxa"/>
              <w:start w:w="150" w:type="dxa"/>
              <w:bottom w:w="140" w:type="dxa"/>
              <w:end w:w="150" w:type="dxa"/>
            </w:tcMar>
            <w:vAlign w:val="center"/>
          </w:tcPr>
          <w:p>
            <w:r>
              <w:rPr>
                <w:rFonts w:ascii="Liberation Sans" w:hAnsi="Liberation Sans"/>
                <w:b/>
                <w:color w:val="171A3A"/>
                <w:sz w:val="21"/>
              </w:rPr>
              <w:t xml:space="preserve">Definition of done  </w:t>
            </w:r>
            <w:r>
              <w:rPr>
                <w:rFonts w:ascii="Liberation Sans" w:hAnsi="Liberation Sans"/>
                <w:color w:val="171A3A"/>
                <w:sz w:val="21"/>
              </w:rPr>
              <w:t>A user can open multiple reliable live rooms, connect an account, place a mainnet position, watch the observation, inspect the evidence status, and claim or receive a refund from audited contracts. Every critical step is real; scale and feature depth can remain limited.</w:t>
            </w:r>
          </w:p>
        </w:tc>
      </w:tr>
    </w:tbl>
    <w:p>
      <w:pPr>
        <w:spacing w:after="0"/>
      </w:pPr>
    </w:p>
    <w:p>
      <w:pPr>
        <w:pStyle w:val="Heading2"/>
        <w:keepNext/>
      </w:pPr>
      <w:r>
        <w:t>13.1 Required launch features</w:t>
      </w:r>
    </w:p>
    <w:p>
      <w:pPr>
        <w:pStyle w:val="ListBullet"/>
        <w:spacing w:after="60"/>
      </w:pPr>
      <w:r>
        <w:rPr>
          <w:rFonts w:ascii="Liberation Sans" w:hAnsi="Liberation Sans"/>
        </w:rPr>
        <w:t>8–15 authorized streams in 2–3 categories, with automated health scoring.</w:t>
      </w:r>
    </w:p>
    <w:p>
      <w:pPr>
        <w:pStyle w:val="ListBullet"/>
        <w:spacing w:after="60"/>
      </w:pPr>
      <w:r>
        <w:rPr>
          <w:rFonts w:ascii="Liberation Sans" w:hAnsi="Liberation Sans"/>
        </w:rPr>
        <w:t>Anonymized low-latency video, live count overlays and fallback status.</w:t>
      </w:r>
    </w:p>
    <w:p>
      <w:pPr>
        <w:pStyle w:val="ListBullet"/>
        <w:spacing w:after="60"/>
      </w:pPr>
      <w:r>
        <w:rPr>
          <w:rFonts w:ascii="Liberation Sans" w:hAnsi="Liberation Sans"/>
        </w:rPr>
        <w:t>Curated scheduled/open/observing/resolved markets per stream.</w:t>
      </w:r>
    </w:p>
    <w:p>
      <w:pPr>
        <w:pStyle w:val="ListBullet"/>
        <w:spacing w:after="60"/>
      </w:pPr>
      <w:r>
        <w:rPr>
          <w:rFonts w:ascii="Liberation Sans" w:hAnsi="Liberation Sans"/>
        </w:rPr>
        <w:t>Binary and range pooled markets using native USDC or sponsor-funded mainnet pools.</w:t>
      </w:r>
    </w:p>
    <w:p>
      <w:pPr>
        <w:pStyle w:val="ListBullet"/>
        <w:spacing w:after="60"/>
      </w:pPr>
      <w:r>
        <w:rPr>
          <w:rFonts w:ascii="Liberation Sans" w:hAnsi="Liberation Sans"/>
        </w:rPr>
        <w:t>Base Account plus standard wallet support and sponsored gas for selected actions.</w:t>
      </w:r>
    </w:p>
    <w:p>
      <w:pPr>
        <w:pStyle w:val="ListBullet"/>
        <w:spacing w:after="60"/>
      </w:pPr>
      <w:r>
        <w:rPr>
          <w:rFonts w:ascii="Liberation Sans" w:hAnsi="Liberation Sans"/>
        </w:rPr>
        <w:t>On-chain market creation, positions, locking, resolution, refunds and pull-based claims.</w:t>
      </w:r>
    </w:p>
    <w:p>
      <w:pPr>
        <w:pStyle w:val="ListBullet"/>
        <w:spacing w:after="60"/>
      </w:pPr>
      <w:r>
        <w:rPr>
          <w:rFonts w:ascii="Liberation Sans" w:hAnsi="Liberation Sans"/>
        </w:rPr>
        <w:t>Primary and verification vision observers with 2-of-3 signed results.</w:t>
      </w:r>
    </w:p>
    <w:p>
      <w:pPr>
        <w:pStyle w:val="ListBullet"/>
        <w:spacing w:after="60"/>
      </w:pPr>
      <w:r>
        <w:rPr>
          <w:rFonts w:ascii="Liberation Sans" w:hAnsi="Liberation Sans"/>
        </w:rPr>
        <w:t>Proof-of-Observation page with rule hash, evidence root, signatures and status.</w:t>
      </w:r>
    </w:p>
    <w:p>
      <w:pPr>
        <w:pStyle w:val="ListBullet"/>
        <w:spacing w:after="60"/>
      </w:pPr>
      <w:r>
        <w:rPr>
          <w:rFonts w:ascii="Liberation Sans" w:hAnsi="Liberation Sans"/>
        </w:rPr>
        <w:t>Scry AI forecast, market probability and top-forecaster consensus shown separately.</w:t>
      </w:r>
    </w:p>
    <w:p>
      <w:pPr>
        <w:pStyle w:val="ListBullet"/>
        <w:spacing w:after="60"/>
      </w:pPr>
      <w:r>
        <w:rPr>
          <w:rFonts w:ascii="Liberation Sans" w:hAnsi="Liberation Sans"/>
        </w:rPr>
        <w:t>Portfolio, market history, leaderboard, responsible-use controls and age/jurisdiction gate.</w:t>
      </w:r>
    </w:p>
    <w:p>
      <w:pPr>
        <w:pStyle w:val="ListBullet"/>
        <w:spacing w:after="60"/>
      </w:pPr>
      <w:r>
        <w:rPr>
          <w:rFonts w:ascii="Liberation Sans" w:hAnsi="Liberation Sans"/>
        </w:rPr>
        <w:t>Monitoring for stream failures, oracle mismatch, contract events and treasury exposure.</w:t>
      </w:r>
    </w:p>
    <w:p>
      <w:pPr>
        <w:pStyle w:val="Heading2"/>
        <w:keepNext/>
      </w:pPr>
      <w:r>
        <w:t>13.2 Explicit non-goals</w:t>
      </w:r>
    </w:p>
    <w:p>
      <w:pPr>
        <w:pStyle w:val="ListBullet"/>
        <w:spacing w:after="60"/>
      </w:pPr>
      <w:r>
        <w:rPr>
          <w:rFonts w:ascii="Liberation Sans" w:hAnsi="Liberation Sans"/>
        </w:rPr>
        <w:t>No global permissionless stream onboarding.</w:t>
      </w:r>
    </w:p>
    <w:p>
      <w:pPr>
        <w:pStyle w:val="ListBullet"/>
        <w:spacing w:after="60"/>
      </w:pPr>
      <w:r>
        <w:rPr>
          <w:rFonts w:ascii="Liberation Sans" w:hAnsi="Liberation Sans"/>
        </w:rPr>
        <w:t>No full CLOB, leverage, perpetual markets or cross-margining.</w:t>
      </w:r>
    </w:p>
    <w:p>
      <w:pPr>
        <w:pStyle w:val="ListBullet"/>
        <w:spacing w:after="60"/>
      </w:pPr>
      <w:r>
        <w:rPr>
          <w:rFonts w:ascii="Liberation Sans" w:hAnsi="Liberation Sans"/>
        </w:rPr>
        <w:t>No native token or governance DAO.</w:t>
      </w:r>
    </w:p>
    <w:p>
      <w:pPr>
        <w:pStyle w:val="ListBullet"/>
        <w:spacing w:after="60"/>
      </w:pPr>
      <w:r>
        <w:rPr>
          <w:rFonts w:ascii="Liberation Sans" w:hAnsi="Liberation Sans"/>
        </w:rPr>
        <w:t>No multi-chain launch.</w:t>
      </w:r>
    </w:p>
    <w:p>
      <w:pPr>
        <w:pStyle w:val="ListBullet"/>
        <w:spacing w:after="60"/>
      </w:pPr>
      <w:r>
        <w:rPr>
          <w:rFonts w:ascii="Liberation Sans" w:hAnsi="Liberation Sans"/>
        </w:rPr>
        <w:t>No promise that every jurisdiction can access monetary markets.</w:t>
      </w:r>
    </w:p>
    <w:p>
      <w:pPr>
        <w:pStyle w:val="ListBullet"/>
        <w:spacing w:after="60"/>
      </w:pPr>
      <w:r>
        <w:rPr>
          <w:rFonts w:ascii="Liberation Sans" w:hAnsi="Liberation Sans"/>
        </w:rPr>
        <w:t>No storage of raw public footage as a permanent product feature.</w:t>
      </w:r>
    </w:p>
    <w:p>
      <w:pPr>
        <w:pStyle w:val="Heading2"/>
        <w:keepNext/>
      </w:pPr>
      <w:r>
        <w:t>13.3 Legal launch gate</w:t>
      </w:r>
    </w:p>
    <w:p>
      <w:pPr>
        <w:spacing w:after="140" w:line="269" w:lineRule="auto"/>
      </w:pPr>
      <w:r>
        <w:rPr>
          <w:rFonts w:ascii="Liberation Sans" w:hAnsi="Liberation Sans"/>
        </w:rPr>
        <w:t>The Promotion and Regulation of Online Gaming Act, 2025 commenced on 1 May 2026 and defines/prohibits online money games and related fund transfers in India. A Base deployment does not bypass this law. The mainnet product should therefore separate technical deployment from public access: obtain specialist counsel, geofence restricted users, and use free forecasting or sponsor-funded non-stake modes where monetary participation is not permitted.</w:t>
      </w:r>
      <w:r>
        <w:rPr>
          <w:rFonts w:ascii="Liberation Sans" w:hAnsi="Liberation Sans"/>
          <w:color w:val="6C5CE7"/>
          <w:sz w:val="16"/>
          <w:vertAlign w:val="superscript"/>
        </w:rPr>
        <w:t xml:space="preserve"> [17]</w:t>
      </w:r>
    </w:p>
    <w:p>
      <w:pPr>
        <w:pStyle w:val="Heading1"/>
        <w:keepNext/>
      </w:pPr>
      <w:r>
        <w:t>14. Roadmap and success metrics</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tblHeader w:val="true"/>
          <w:cantSplit/>
        </w:trPr>
        <w:tc>
          <w:tcPr>
            <w:tcW w:type="dxa" w:w="1655"/>
            <w:shd w:fill="171A3A"/>
            <w:tcMar>
              <w:top w:w="100" w:type="dxa"/>
              <w:start w:w="100" w:type="dxa"/>
              <w:bottom w:w="100" w:type="dxa"/>
              <w:end w:w="100" w:type="dxa"/>
            </w:tcMar>
            <w:vAlign w:val="center"/>
          </w:tcPr>
          <w:p>
            <w:pPr>
              <w:jc w:val="center"/>
            </w:pPr>
            <w:r>
              <w:rPr>
                <w:rFonts w:ascii="Liberation Sans" w:hAnsi="Liberation Sans"/>
                <w:b/>
                <w:color w:val="FFFFFF"/>
                <w:sz w:val="15"/>
              </w:rPr>
              <w:t>Phase</w:t>
            </w:r>
          </w:p>
        </w:tc>
        <w:tc>
          <w:tcPr>
            <w:tcW w:type="dxa" w:w="2664"/>
            <w:shd w:fill="171A3A"/>
            <w:tcMar>
              <w:top w:w="100" w:type="dxa"/>
              <w:start w:w="100" w:type="dxa"/>
              <w:bottom w:w="100" w:type="dxa"/>
              <w:end w:w="100" w:type="dxa"/>
            </w:tcMar>
            <w:vAlign w:val="center"/>
          </w:tcPr>
          <w:p>
            <w:pPr>
              <w:jc w:val="center"/>
            </w:pPr>
            <w:r>
              <w:rPr>
                <w:rFonts w:ascii="Liberation Sans" w:hAnsi="Liberation Sans"/>
                <w:b/>
                <w:color w:val="FFFFFF"/>
                <w:sz w:val="15"/>
              </w:rPr>
              <w:t>Product outcome</w:t>
            </w:r>
          </w:p>
        </w:tc>
        <w:tc>
          <w:tcPr>
            <w:tcW w:type="dxa" w:w="3311"/>
            <w:shd w:fill="171A3A"/>
            <w:tcMar>
              <w:top w:w="100" w:type="dxa"/>
              <w:start w:w="100" w:type="dxa"/>
              <w:bottom w:w="100" w:type="dxa"/>
              <w:end w:w="100" w:type="dxa"/>
            </w:tcMar>
            <w:vAlign w:val="center"/>
          </w:tcPr>
          <w:p>
            <w:pPr>
              <w:jc w:val="center"/>
            </w:pPr>
            <w:r>
              <w:rPr>
                <w:rFonts w:ascii="Liberation Sans" w:hAnsi="Liberation Sans"/>
                <w:b/>
                <w:color w:val="FFFFFF"/>
                <w:sz w:val="15"/>
              </w:rPr>
              <w:t>Technical focus</w:t>
            </w:r>
          </w:p>
        </w:tc>
        <w:tc>
          <w:tcPr>
            <w:tcW w:type="dxa" w:w="1728"/>
            <w:shd w:fill="171A3A"/>
            <w:tcMar>
              <w:top w:w="100" w:type="dxa"/>
              <w:start w:w="100" w:type="dxa"/>
              <w:bottom w:w="100" w:type="dxa"/>
              <w:end w:w="100" w:type="dxa"/>
            </w:tcMar>
            <w:vAlign w:val="center"/>
          </w:tcPr>
          <w:p>
            <w:pPr>
              <w:jc w:val="center"/>
            </w:pPr>
            <w:r>
              <w:rPr>
                <w:rFonts w:ascii="Liberation Sans" w:hAnsi="Liberation Sans"/>
                <w:b/>
                <w:color w:val="FFFFFF"/>
                <w:sz w:val="15"/>
              </w:rPr>
              <w:t>Exit criteria</w:t>
            </w:r>
          </w:p>
        </w:tc>
      </w:tr>
      <w:tr>
        <w:trPr>
          <w:cantSplit/>
        </w:trPr>
        <w:tc>
          <w:tcPr>
            <w:tcW w:type="dxa" w:w="1655"/>
            <w:tcMar>
              <w:top w:w="90" w:type="dxa"/>
              <w:start w:w="100" w:type="dxa"/>
              <w:bottom w:w="90" w:type="dxa"/>
              <w:end w:w="100" w:type="dxa"/>
            </w:tcMar>
            <w:vAlign w:val="top"/>
          </w:tcPr>
          <w:p>
            <w:r>
              <w:rPr>
                <w:rFonts w:ascii="Liberation Sans" w:hAnsi="Liberation Sans"/>
                <w:color w:val="171A3A"/>
                <w:sz w:val="15"/>
              </w:rPr>
              <w:t>0. Qualification</w:t>
            </w:r>
          </w:p>
        </w:tc>
        <w:tc>
          <w:tcPr>
            <w:tcW w:type="dxa" w:w="2664"/>
            <w:tcMar>
              <w:top w:w="90" w:type="dxa"/>
              <w:start w:w="100" w:type="dxa"/>
              <w:bottom w:w="90" w:type="dxa"/>
              <w:end w:w="100" w:type="dxa"/>
            </w:tcMar>
            <w:vAlign w:val="top"/>
          </w:tcPr>
          <w:p>
            <w:r>
              <w:rPr>
                <w:rFonts w:ascii="Liberation Sans" w:hAnsi="Liberation Sans"/>
                <w:color w:val="171A3A"/>
                <w:sz w:val="15"/>
              </w:rPr>
              <w:t>Signed stream permissions and validated scenes</w:t>
            </w:r>
          </w:p>
        </w:tc>
        <w:tc>
          <w:tcPr>
            <w:tcW w:type="dxa" w:w="3311"/>
            <w:tcMar>
              <w:top w:w="90" w:type="dxa"/>
              <w:start w:w="100" w:type="dxa"/>
              <w:bottom w:w="90" w:type="dxa"/>
              <w:end w:w="100" w:type="dxa"/>
            </w:tcMar>
            <w:vAlign w:val="top"/>
          </w:tcPr>
          <w:p>
            <w:r>
              <w:rPr>
                <w:rFonts w:ascii="Liberation Sans" w:hAnsi="Liberation Sans"/>
                <w:color w:val="171A3A"/>
                <w:sz w:val="15"/>
              </w:rPr>
              <w:t>Camera tests, privacy, rules and legal gating</w:t>
            </w:r>
          </w:p>
        </w:tc>
        <w:tc>
          <w:tcPr>
            <w:tcW w:type="dxa" w:w="1728"/>
            <w:tcMar>
              <w:top w:w="90" w:type="dxa"/>
              <w:start w:w="100" w:type="dxa"/>
              <w:bottom w:w="90" w:type="dxa"/>
              <w:end w:w="100" w:type="dxa"/>
            </w:tcMar>
            <w:vAlign w:val="top"/>
          </w:tcPr>
          <w:p>
            <w:r>
              <w:rPr>
                <w:rFonts w:ascii="Liberation Sans" w:hAnsi="Liberation Sans"/>
                <w:color w:val="171A3A"/>
                <w:sz w:val="15"/>
              </w:rPr>
              <w:t>8+ launchable streams</w:t>
            </w:r>
          </w:p>
        </w:tc>
      </w:tr>
      <w:tr>
        <w:trPr>
          <w:cantSplit/>
        </w:trPr>
        <w:tc>
          <w:tcPr>
            <w:tcW w:type="dxa" w:w="1655"/>
            <w:tcMar>
              <w:top w:w="90" w:type="dxa"/>
              <w:start w:w="100" w:type="dxa"/>
              <w:bottom w:w="90" w:type="dxa"/>
              <w:end w:w="100" w:type="dxa"/>
            </w:tcMar>
            <w:vAlign w:val="top"/>
            <w:shd w:fill="F8F9FC"/>
          </w:tcPr>
          <w:p>
            <w:r>
              <w:rPr>
                <w:rFonts w:ascii="Liberation Sans" w:hAnsi="Liberation Sans"/>
                <w:color w:val="171A3A"/>
                <w:sz w:val="15"/>
              </w:rPr>
              <w:t>1. Closed mainnet beta</w:t>
            </w:r>
          </w:p>
        </w:tc>
        <w:tc>
          <w:tcPr>
            <w:tcW w:type="dxa" w:w="2664"/>
            <w:tcMar>
              <w:top w:w="90" w:type="dxa"/>
              <w:start w:w="100" w:type="dxa"/>
              <w:bottom w:w="90" w:type="dxa"/>
              <w:end w:w="100" w:type="dxa"/>
            </w:tcMar>
            <w:vAlign w:val="top"/>
            <w:shd w:fill="F8F9FC"/>
          </w:tcPr>
          <w:p>
            <w:r>
              <w:rPr>
                <w:rFonts w:ascii="Liberation Sans" w:hAnsi="Liberation Sans"/>
                <w:color w:val="171A3A"/>
                <w:sz w:val="15"/>
              </w:rPr>
              <w:t>Multiple live rooms and real settlement with capped/sponsored pools</w:t>
            </w:r>
          </w:p>
        </w:tc>
        <w:tc>
          <w:tcPr>
            <w:tcW w:type="dxa" w:w="3311"/>
            <w:tcMar>
              <w:top w:w="90" w:type="dxa"/>
              <w:start w:w="100" w:type="dxa"/>
              <w:bottom w:w="90" w:type="dxa"/>
              <w:end w:w="100" w:type="dxa"/>
            </w:tcMar>
            <w:vAlign w:val="top"/>
            <w:shd w:fill="F8F9FC"/>
          </w:tcPr>
          <w:p>
            <w:r>
              <w:rPr>
                <w:rFonts w:ascii="Liberation Sans" w:hAnsi="Liberation Sans"/>
                <w:color w:val="171A3A"/>
                <w:sz w:val="15"/>
              </w:rPr>
              <w:t>Contracts, LiveKit, vision, 2-of-3 oracle</w:t>
            </w:r>
          </w:p>
        </w:tc>
        <w:tc>
          <w:tcPr>
            <w:tcW w:type="dxa" w:w="1728"/>
            <w:tcMar>
              <w:top w:w="90" w:type="dxa"/>
              <w:start w:w="100" w:type="dxa"/>
              <w:bottom w:w="90" w:type="dxa"/>
              <w:end w:w="100" w:type="dxa"/>
            </w:tcMar>
            <w:vAlign w:val="top"/>
            <w:shd w:fill="F8F9FC"/>
          </w:tcPr>
          <w:p>
            <w:r>
              <w:rPr>
                <w:rFonts w:ascii="Liberation Sans" w:hAnsi="Liberation Sans"/>
                <w:color w:val="171A3A"/>
                <w:sz w:val="15"/>
              </w:rPr>
              <w:t>100+ clean resolutions</w:t>
            </w:r>
          </w:p>
        </w:tc>
      </w:tr>
      <w:tr>
        <w:trPr>
          <w:cantSplit/>
        </w:trPr>
        <w:tc>
          <w:tcPr>
            <w:tcW w:type="dxa" w:w="1655"/>
            <w:tcMar>
              <w:top w:w="90" w:type="dxa"/>
              <w:start w:w="100" w:type="dxa"/>
              <w:bottom w:w="90" w:type="dxa"/>
              <w:end w:w="100" w:type="dxa"/>
            </w:tcMar>
            <w:vAlign w:val="top"/>
          </w:tcPr>
          <w:p>
            <w:r>
              <w:rPr>
                <w:rFonts w:ascii="Liberation Sans" w:hAnsi="Liberation Sans"/>
                <w:color w:val="171A3A"/>
                <w:sz w:val="15"/>
              </w:rPr>
              <w:t>2. Public curated launch</w:t>
            </w:r>
          </w:p>
        </w:tc>
        <w:tc>
          <w:tcPr>
            <w:tcW w:type="dxa" w:w="2664"/>
            <w:tcMar>
              <w:top w:w="90" w:type="dxa"/>
              <w:start w:w="100" w:type="dxa"/>
              <w:bottom w:w="90" w:type="dxa"/>
              <w:end w:w="100" w:type="dxa"/>
            </w:tcMar>
            <w:vAlign w:val="top"/>
          </w:tcPr>
          <w:p>
            <w:r>
              <w:rPr>
                <w:rFonts w:ascii="Liberation Sans" w:hAnsi="Liberation Sans"/>
                <w:color w:val="171A3A"/>
                <w:sz w:val="15"/>
              </w:rPr>
              <w:t>Daily market calendar, profiles and leaderboards</w:t>
            </w:r>
          </w:p>
        </w:tc>
        <w:tc>
          <w:tcPr>
            <w:tcW w:type="dxa" w:w="3311"/>
            <w:tcMar>
              <w:top w:w="90" w:type="dxa"/>
              <w:start w:w="100" w:type="dxa"/>
              <w:bottom w:w="90" w:type="dxa"/>
              <w:end w:w="100" w:type="dxa"/>
            </w:tcMar>
            <w:vAlign w:val="top"/>
          </w:tcPr>
          <w:p>
            <w:r>
              <w:rPr>
                <w:rFonts w:ascii="Liberation Sans" w:hAnsi="Liberation Sans"/>
                <w:color w:val="171A3A"/>
                <w:sz w:val="15"/>
              </w:rPr>
              <w:t>Reliability, mobile UX, support and analytics</w:t>
            </w:r>
          </w:p>
        </w:tc>
        <w:tc>
          <w:tcPr>
            <w:tcW w:type="dxa" w:w="1728"/>
            <w:tcMar>
              <w:top w:w="90" w:type="dxa"/>
              <w:start w:w="100" w:type="dxa"/>
              <w:bottom w:w="90" w:type="dxa"/>
              <w:end w:w="100" w:type="dxa"/>
            </w:tcMar>
            <w:vAlign w:val="top"/>
          </w:tcPr>
          <w:p>
            <w:r>
              <w:rPr>
                <w:rFonts w:ascii="Liberation Sans" w:hAnsi="Liberation Sans"/>
                <w:color w:val="171A3A"/>
                <w:sz w:val="15"/>
              </w:rPr>
              <w:t>Retention and repeat liquidity</w:t>
            </w:r>
          </w:p>
        </w:tc>
      </w:tr>
      <w:tr>
        <w:trPr>
          <w:cantSplit/>
        </w:trPr>
        <w:tc>
          <w:tcPr>
            <w:tcW w:type="dxa" w:w="1655"/>
            <w:tcMar>
              <w:top w:w="90" w:type="dxa"/>
              <w:start w:w="100" w:type="dxa"/>
              <w:bottom w:w="90" w:type="dxa"/>
              <w:end w:w="100" w:type="dxa"/>
            </w:tcMar>
            <w:vAlign w:val="top"/>
            <w:shd w:fill="F8F9FC"/>
          </w:tcPr>
          <w:p>
            <w:r>
              <w:rPr>
                <w:rFonts w:ascii="Liberation Sans" w:hAnsi="Liberation Sans"/>
                <w:color w:val="171A3A"/>
                <w:sz w:val="15"/>
              </w:rPr>
              <w:t>3. Forecast network</w:t>
            </w:r>
          </w:p>
        </w:tc>
        <w:tc>
          <w:tcPr>
            <w:tcW w:type="dxa" w:w="2664"/>
            <w:tcMar>
              <w:top w:w="90" w:type="dxa"/>
              <w:start w:w="100" w:type="dxa"/>
              <w:bottom w:w="90" w:type="dxa"/>
              <w:end w:w="100" w:type="dxa"/>
            </w:tcMar>
            <w:vAlign w:val="top"/>
            <w:shd w:fill="F8F9FC"/>
          </w:tcPr>
          <w:p>
            <w:r>
              <w:rPr>
                <w:rFonts w:ascii="Liberation Sans" w:hAnsi="Liberation Sans"/>
                <w:color w:val="171A3A"/>
                <w:sz w:val="15"/>
              </w:rPr>
              <w:t>Agent SDK and enterprise API</w:t>
            </w:r>
          </w:p>
        </w:tc>
        <w:tc>
          <w:tcPr>
            <w:tcW w:type="dxa" w:w="3311"/>
            <w:tcMar>
              <w:top w:w="90" w:type="dxa"/>
              <w:start w:w="100" w:type="dxa"/>
              <w:bottom w:w="90" w:type="dxa"/>
              <w:end w:w="100" w:type="dxa"/>
            </w:tcMar>
            <w:vAlign w:val="top"/>
            <w:shd w:fill="F8F9FC"/>
          </w:tcPr>
          <w:p>
            <w:r>
              <w:rPr>
                <w:rFonts w:ascii="Liberation Sans" w:hAnsi="Liberation Sans"/>
                <w:color w:val="171A3A"/>
                <w:sz w:val="15"/>
              </w:rPr>
              <w:t>Model registry, calibration and customer alerts</w:t>
            </w:r>
          </w:p>
        </w:tc>
        <w:tc>
          <w:tcPr>
            <w:tcW w:type="dxa" w:w="1728"/>
            <w:tcMar>
              <w:top w:w="90" w:type="dxa"/>
              <w:start w:w="100" w:type="dxa"/>
              <w:bottom w:w="90" w:type="dxa"/>
              <w:end w:w="100" w:type="dxa"/>
            </w:tcMar>
            <w:vAlign w:val="top"/>
            <w:shd w:fill="F8F9FC"/>
          </w:tcPr>
          <w:p>
            <w:r>
              <w:rPr>
                <w:rFonts w:ascii="Liberation Sans" w:hAnsi="Liberation Sans"/>
                <w:color w:val="171A3A"/>
                <w:sz w:val="15"/>
              </w:rPr>
              <w:t>Paying B2B pilots</w:t>
            </w:r>
          </w:p>
        </w:tc>
      </w:tr>
      <w:tr>
        <w:trPr>
          <w:cantSplit/>
        </w:trPr>
        <w:tc>
          <w:tcPr>
            <w:tcW w:type="dxa" w:w="1655"/>
            <w:tcMar>
              <w:top w:w="90" w:type="dxa"/>
              <w:start w:w="100" w:type="dxa"/>
              <w:bottom w:w="90" w:type="dxa"/>
              <w:end w:w="100" w:type="dxa"/>
            </w:tcMar>
            <w:vAlign w:val="top"/>
          </w:tcPr>
          <w:p>
            <w:r>
              <w:rPr>
                <w:rFonts w:ascii="Liberation Sans" w:hAnsi="Liberation Sans"/>
                <w:color w:val="171A3A"/>
                <w:sz w:val="15"/>
              </w:rPr>
              <w:t>4. Expansion</w:t>
            </w:r>
          </w:p>
        </w:tc>
        <w:tc>
          <w:tcPr>
            <w:tcW w:type="dxa" w:w="2664"/>
            <w:tcMar>
              <w:top w:w="90" w:type="dxa"/>
              <w:start w:w="100" w:type="dxa"/>
              <w:bottom w:w="90" w:type="dxa"/>
              <w:end w:w="100" w:type="dxa"/>
            </w:tcMar>
            <w:vAlign w:val="top"/>
          </w:tcPr>
          <w:p>
            <w:r>
              <w:rPr>
                <w:rFonts w:ascii="Liberation Sans" w:hAnsi="Liberation Sans"/>
                <w:color w:val="171A3A"/>
                <w:sz w:val="15"/>
              </w:rPr>
              <w:t>External operators and second EVM chain</w:t>
            </w:r>
          </w:p>
        </w:tc>
        <w:tc>
          <w:tcPr>
            <w:tcW w:type="dxa" w:w="3311"/>
            <w:tcMar>
              <w:top w:w="90" w:type="dxa"/>
              <w:start w:w="100" w:type="dxa"/>
              <w:bottom w:w="90" w:type="dxa"/>
              <w:end w:w="100" w:type="dxa"/>
            </w:tcMar>
            <w:vAlign w:val="top"/>
          </w:tcPr>
          <w:p>
            <w:r>
              <w:rPr>
                <w:rFonts w:ascii="Liberation Sans" w:hAnsi="Liberation Sans"/>
                <w:color w:val="171A3A"/>
                <w:sz w:val="15"/>
              </w:rPr>
              <w:t>Operator standards, portable contracts and dispute scaling</w:t>
            </w:r>
          </w:p>
        </w:tc>
        <w:tc>
          <w:tcPr>
            <w:tcW w:type="dxa" w:w="1728"/>
            <w:tcMar>
              <w:top w:w="90" w:type="dxa"/>
              <w:start w:w="100" w:type="dxa"/>
              <w:bottom w:w="90" w:type="dxa"/>
              <w:end w:w="100" w:type="dxa"/>
            </w:tcMar>
            <w:vAlign w:val="top"/>
          </w:tcPr>
          <w:p>
            <w:r>
              <w:rPr>
                <w:rFonts w:ascii="Liberation Sans" w:hAnsi="Liberation Sans"/>
                <w:color w:val="171A3A"/>
                <w:sz w:val="15"/>
              </w:rPr>
              <w:t>Repeatable stream onboarding</w:t>
            </w:r>
          </w:p>
        </w:tc>
      </w:tr>
    </w:tbl>
    <w:p>
      <w:pPr>
        <w:spacing w:after="0"/>
      </w:pPr>
    </w:p>
    <w:p>
      <w:pPr>
        <w:pStyle w:val="Heading2"/>
        <w:keepNext/>
      </w:pPr>
      <w:r>
        <w:t>14.1 Product metrics</w:t>
      </w:r>
    </w:p>
    <w:tbl>
      <w:tblPr>
        <w:tblStyle w:val="TableGrid"/>
        <w:tblW w:type="auto" w:w="0"/>
        <w:jc w:val="center"/>
        <w:tblLayout w:type="fixed"/>
        <w:tblLook w:firstColumn="1" w:firstRow="1" w:lastColumn="0" w:lastRow="0" w:noHBand="0" w:noVBand="1" w:val="04A0"/>
      </w:tblPr>
      <w:tblGrid>
        <w:gridCol w:w="4917"/>
        <w:gridCol w:w="4917"/>
      </w:tblGrid>
      <w:tr>
        <w:trPr>
          <w:tblHeader w:val="true"/>
          <w:cantSplit/>
        </w:trPr>
        <w:tc>
          <w:tcPr>
            <w:tcW w:type="dxa" w:w="2088"/>
            <w:shd w:fill="171A3A"/>
            <w:tcMar>
              <w:top w:w="100" w:type="dxa"/>
              <w:start w:w="100" w:type="dxa"/>
              <w:bottom w:w="100" w:type="dxa"/>
              <w:end w:w="100" w:type="dxa"/>
            </w:tcMar>
            <w:vAlign w:val="center"/>
          </w:tcPr>
          <w:p>
            <w:pPr>
              <w:jc w:val="center"/>
            </w:pPr>
            <w:r>
              <w:rPr>
                <w:rFonts w:ascii="Liberation Sans" w:hAnsi="Liberation Sans"/>
                <w:b/>
                <w:color w:val="FFFFFF"/>
                <w:sz w:val="16"/>
              </w:rPr>
              <w:t>Category</w:t>
            </w:r>
          </w:p>
        </w:tc>
        <w:tc>
          <w:tcPr>
            <w:tcW w:type="dxa" w:w="7200"/>
            <w:shd w:fill="171A3A"/>
            <w:tcMar>
              <w:top w:w="100" w:type="dxa"/>
              <w:start w:w="100" w:type="dxa"/>
              <w:bottom w:w="100" w:type="dxa"/>
              <w:end w:w="100" w:type="dxa"/>
            </w:tcMar>
            <w:vAlign w:val="center"/>
          </w:tcPr>
          <w:p>
            <w:pPr>
              <w:jc w:val="center"/>
            </w:pPr>
            <w:r>
              <w:rPr>
                <w:rFonts w:ascii="Liberation Sans" w:hAnsi="Liberation Sans"/>
                <w:b/>
                <w:color w:val="FFFFFF"/>
                <w:sz w:val="16"/>
              </w:rPr>
              <w:t>Primary metrics</w:t>
            </w:r>
          </w:p>
        </w:tc>
      </w:tr>
      <w:tr>
        <w:trPr>
          <w:cantSplit/>
        </w:trPr>
        <w:tc>
          <w:tcPr>
            <w:tcW w:type="dxa" w:w="2088"/>
            <w:tcMar>
              <w:top w:w="90" w:type="dxa"/>
              <w:start w:w="100" w:type="dxa"/>
              <w:bottom w:w="90" w:type="dxa"/>
              <w:end w:w="100" w:type="dxa"/>
            </w:tcMar>
            <w:vAlign w:val="top"/>
          </w:tcPr>
          <w:p>
            <w:r>
              <w:rPr>
                <w:rFonts w:ascii="Liberation Sans" w:hAnsi="Liberation Sans"/>
                <w:color w:val="171A3A"/>
                <w:sz w:val="16"/>
              </w:rPr>
              <w:t>Supply</w:t>
            </w:r>
          </w:p>
        </w:tc>
        <w:tc>
          <w:tcPr>
            <w:tcW w:type="dxa" w:w="7200"/>
            <w:tcMar>
              <w:top w:w="90" w:type="dxa"/>
              <w:start w:w="100" w:type="dxa"/>
              <w:bottom w:w="90" w:type="dxa"/>
              <w:end w:w="100" w:type="dxa"/>
            </w:tcMar>
            <w:vAlign w:val="top"/>
          </w:tcPr>
          <w:p>
            <w:r>
              <w:rPr>
                <w:rFonts w:ascii="Liberation Sans" w:hAnsi="Liberation Sans"/>
                <w:color w:val="171A3A"/>
                <w:sz w:val="16"/>
              </w:rPr>
              <w:t>Qualified streams, uptime, valid-market rate, categories and geographic coverage</w:t>
            </w:r>
          </w:p>
        </w:tc>
      </w:tr>
      <w:tr>
        <w:trPr>
          <w:cantSplit/>
        </w:trPr>
        <w:tc>
          <w:tcPr>
            <w:tcW w:type="dxa" w:w="2088"/>
            <w:tcMar>
              <w:top w:w="90" w:type="dxa"/>
              <w:start w:w="100" w:type="dxa"/>
              <w:bottom w:w="90" w:type="dxa"/>
              <w:end w:w="100" w:type="dxa"/>
            </w:tcMar>
            <w:vAlign w:val="top"/>
            <w:shd w:fill="F8F9FC"/>
          </w:tcPr>
          <w:p>
            <w:r>
              <w:rPr>
                <w:rFonts w:ascii="Liberation Sans" w:hAnsi="Liberation Sans"/>
                <w:color w:val="171A3A"/>
                <w:sz w:val="16"/>
              </w:rPr>
              <w:t>Engagement</w:t>
            </w:r>
          </w:p>
        </w:tc>
        <w:tc>
          <w:tcPr>
            <w:tcW w:type="dxa" w:w="7200"/>
            <w:tcMar>
              <w:top w:w="90" w:type="dxa"/>
              <w:start w:w="100" w:type="dxa"/>
              <w:bottom w:w="90" w:type="dxa"/>
              <w:end w:w="100" w:type="dxa"/>
            </w:tcMar>
            <w:vAlign w:val="top"/>
            <w:shd w:fill="F8F9FC"/>
          </w:tcPr>
          <w:p>
            <w:r>
              <w:rPr>
                <w:rFonts w:ascii="Liberation Sans" w:hAnsi="Liberation Sans"/>
                <w:color w:val="171A3A"/>
                <w:sz w:val="16"/>
              </w:rPr>
              <w:t>Weekly active forecasters, markets per user, watch time, prediction streaks and D7 retention</w:t>
            </w:r>
          </w:p>
        </w:tc>
      </w:tr>
      <w:tr>
        <w:trPr>
          <w:cantSplit/>
        </w:trPr>
        <w:tc>
          <w:tcPr>
            <w:tcW w:type="dxa" w:w="2088"/>
            <w:tcMar>
              <w:top w:w="90" w:type="dxa"/>
              <w:start w:w="100" w:type="dxa"/>
              <w:bottom w:w="90" w:type="dxa"/>
              <w:end w:w="100" w:type="dxa"/>
            </w:tcMar>
            <w:vAlign w:val="top"/>
          </w:tcPr>
          <w:p>
            <w:r>
              <w:rPr>
                <w:rFonts w:ascii="Liberation Sans" w:hAnsi="Liberation Sans"/>
                <w:color w:val="171A3A"/>
                <w:sz w:val="16"/>
              </w:rPr>
              <w:t>Market quality</w:t>
            </w:r>
          </w:p>
        </w:tc>
        <w:tc>
          <w:tcPr>
            <w:tcW w:type="dxa" w:w="7200"/>
            <w:tcMar>
              <w:top w:w="90" w:type="dxa"/>
              <w:start w:w="100" w:type="dxa"/>
              <w:bottom w:w="90" w:type="dxa"/>
              <w:end w:w="100" w:type="dxa"/>
            </w:tcMar>
            <w:vAlign w:val="top"/>
          </w:tcPr>
          <w:p>
            <w:r>
              <w:rPr>
                <w:rFonts w:ascii="Liberation Sans" w:hAnsi="Liberation Sans"/>
                <w:color w:val="171A3A"/>
                <w:sz w:val="16"/>
              </w:rPr>
              <w:t>Liquidity per market, probability movement, concentration and unresolved/invalid rate</w:t>
            </w:r>
          </w:p>
        </w:tc>
      </w:tr>
      <w:tr>
        <w:trPr>
          <w:cantSplit/>
        </w:trPr>
        <w:tc>
          <w:tcPr>
            <w:tcW w:type="dxa" w:w="2088"/>
            <w:tcMar>
              <w:top w:w="90" w:type="dxa"/>
              <w:start w:w="100" w:type="dxa"/>
              <w:bottom w:w="90" w:type="dxa"/>
              <w:end w:w="100" w:type="dxa"/>
            </w:tcMar>
            <w:vAlign w:val="top"/>
            <w:shd w:fill="F8F9FC"/>
          </w:tcPr>
          <w:p>
            <w:r>
              <w:rPr>
                <w:rFonts w:ascii="Liberation Sans" w:hAnsi="Liberation Sans"/>
                <w:color w:val="171A3A"/>
                <w:sz w:val="16"/>
              </w:rPr>
              <w:t>Forecast quality</w:t>
            </w:r>
          </w:p>
        </w:tc>
        <w:tc>
          <w:tcPr>
            <w:tcW w:type="dxa" w:w="7200"/>
            <w:tcMar>
              <w:top w:w="90" w:type="dxa"/>
              <w:start w:w="100" w:type="dxa"/>
              <w:bottom w:w="90" w:type="dxa"/>
              <w:end w:w="100" w:type="dxa"/>
            </w:tcMar>
            <w:vAlign w:val="top"/>
            <w:shd w:fill="F8F9FC"/>
          </w:tcPr>
          <w:p>
            <w:r>
              <w:rPr>
                <w:rFonts w:ascii="Liberation Sans" w:hAnsi="Liberation Sans"/>
                <w:color w:val="171A3A"/>
                <w:sz w:val="16"/>
              </w:rPr>
              <w:t>Brier score/calibration, numerical error and AI/crowd/market comparison</w:t>
            </w:r>
          </w:p>
        </w:tc>
      </w:tr>
      <w:tr>
        <w:trPr>
          <w:cantSplit/>
        </w:trPr>
        <w:tc>
          <w:tcPr>
            <w:tcW w:type="dxa" w:w="2088"/>
            <w:tcMar>
              <w:top w:w="90" w:type="dxa"/>
              <w:start w:w="100" w:type="dxa"/>
              <w:bottom w:w="90" w:type="dxa"/>
              <w:end w:w="100" w:type="dxa"/>
            </w:tcMar>
            <w:vAlign w:val="top"/>
          </w:tcPr>
          <w:p>
            <w:r>
              <w:rPr>
                <w:rFonts w:ascii="Liberation Sans" w:hAnsi="Liberation Sans"/>
                <w:color w:val="171A3A"/>
                <w:sz w:val="16"/>
              </w:rPr>
              <w:t>Trust</w:t>
            </w:r>
          </w:p>
        </w:tc>
        <w:tc>
          <w:tcPr>
            <w:tcW w:type="dxa" w:w="7200"/>
            <w:tcMar>
              <w:top w:w="90" w:type="dxa"/>
              <w:start w:w="100" w:type="dxa"/>
              <w:bottom w:w="90" w:type="dxa"/>
              <w:end w:w="100" w:type="dxa"/>
            </w:tcMar>
            <w:vAlign w:val="top"/>
          </w:tcPr>
          <w:p>
            <w:r>
              <w:rPr>
                <w:rFonts w:ascii="Liberation Sans" w:hAnsi="Liberation Sans"/>
                <w:color w:val="171A3A"/>
                <w:sz w:val="16"/>
              </w:rPr>
              <w:t>Observer agreement, disputes, resolution latency, evidence access and refund success</w:t>
            </w:r>
          </w:p>
        </w:tc>
      </w:tr>
      <w:tr>
        <w:trPr>
          <w:cantSplit/>
        </w:trPr>
        <w:tc>
          <w:tcPr>
            <w:tcW w:type="dxa" w:w="2088"/>
            <w:tcMar>
              <w:top w:w="90" w:type="dxa"/>
              <w:start w:w="100" w:type="dxa"/>
              <w:bottom w:w="90" w:type="dxa"/>
              <w:end w:w="100" w:type="dxa"/>
            </w:tcMar>
            <w:vAlign w:val="top"/>
            <w:shd w:fill="F8F9FC"/>
          </w:tcPr>
          <w:p>
            <w:r>
              <w:rPr>
                <w:rFonts w:ascii="Liberation Sans" w:hAnsi="Liberation Sans"/>
                <w:color w:val="171A3A"/>
                <w:sz w:val="16"/>
              </w:rPr>
              <w:t>Business</w:t>
            </w:r>
          </w:p>
        </w:tc>
        <w:tc>
          <w:tcPr>
            <w:tcW w:type="dxa" w:w="7200"/>
            <w:tcMar>
              <w:top w:w="90" w:type="dxa"/>
              <w:start w:w="100" w:type="dxa"/>
              <w:bottom w:w="90" w:type="dxa"/>
              <w:end w:w="100" w:type="dxa"/>
            </w:tcMar>
            <w:vAlign w:val="top"/>
            <w:shd w:fill="F8F9FC"/>
          </w:tcPr>
          <w:p>
            <w:r>
              <w:rPr>
                <w:rFonts w:ascii="Liberation Sans" w:hAnsi="Liberation Sans"/>
                <w:color w:val="171A3A"/>
                <w:sz w:val="16"/>
              </w:rPr>
              <w:t>Sponsored market revenue, enterprise pilots, API usage and protocol revenue where lawful</w:t>
            </w:r>
          </w:p>
        </w:tc>
      </w:tr>
    </w:tbl>
    <w:p>
      <w:pPr>
        <w:spacing w:after="0"/>
      </w:pPr>
    </w:p>
    <w:p>
      <w:pPr>
        <w:pStyle w:val="Heading2"/>
        <w:keepNext/>
      </w:pPr>
      <w:r>
        <w:t>14.2 First 90-day priority order</w:t>
      </w:r>
    </w:p>
    <w:p>
      <w:pPr>
        <w:pStyle w:val="ListNumber"/>
        <w:spacing w:after="60"/>
      </w:pPr>
      <w:r>
        <w:rPr>
          <w:rFonts w:ascii="Liberation Sans" w:hAnsi="Liberation Sans"/>
        </w:rPr>
        <w:t>Permissions, legal gating and stream qualification.</w:t>
      </w:r>
    </w:p>
    <w:p>
      <w:pPr>
        <w:pStyle w:val="ListNumber"/>
        <w:spacing w:after="60"/>
      </w:pPr>
      <w:r>
        <w:rPr>
          <w:rFonts w:ascii="Liberation Sans" w:hAnsi="Liberation Sans"/>
        </w:rPr>
        <w:t>Vision accuracy and invalid-market logic.</w:t>
      </w:r>
    </w:p>
    <w:p>
      <w:pPr>
        <w:pStyle w:val="ListNumber"/>
        <w:spacing w:after="60"/>
      </w:pPr>
      <w:r>
        <w:rPr>
          <w:rFonts w:ascii="Liberation Sans" w:hAnsi="Liberation Sans"/>
        </w:rPr>
        <w:t>Contracts and end-to-end settlement tests.</w:t>
      </w:r>
    </w:p>
    <w:p>
      <w:pPr>
        <w:pStyle w:val="ListNumber"/>
        <w:spacing w:after="60"/>
      </w:pPr>
      <w:r>
        <w:rPr>
          <w:rFonts w:ascii="Liberation Sans" w:hAnsi="Liberation Sans"/>
        </w:rPr>
        <w:t>Multiple live rooms and media reliability.</w:t>
      </w:r>
    </w:p>
    <w:p>
      <w:pPr>
        <w:pStyle w:val="ListNumber"/>
        <w:spacing w:after="60"/>
      </w:pPr>
      <w:r>
        <w:rPr>
          <w:rFonts w:ascii="Liberation Sans" w:hAnsi="Liberation Sans"/>
        </w:rPr>
        <w:t>Consumer prediction UX and result reveal.</w:t>
      </w:r>
    </w:p>
    <w:p>
      <w:pPr>
        <w:pStyle w:val="ListNumber"/>
        <w:spacing w:after="60"/>
      </w:pPr>
      <w:r>
        <w:rPr>
          <w:rFonts w:ascii="Liberation Sans" w:hAnsi="Liberation Sans"/>
        </w:rPr>
        <w:t>Forecasting model and leaderboards.</w:t>
      </w:r>
    </w:p>
    <w:p>
      <w:pPr>
        <w:pStyle w:val="ListNumber"/>
        <w:spacing w:after="60"/>
      </w:pPr>
      <w:r>
        <w:rPr>
          <w:rFonts w:ascii="Liberation Sans" w:hAnsi="Liberation Sans"/>
        </w:rPr>
        <w:t>Base application/support submission with working metrics.</w:t>
      </w:r>
    </w:p>
    <w:p>
      <w:pPr>
        <w:pStyle w:val="Heading1"/>
        <w:keepNext/>
      </w:pPr>
      <w:r>
        <w:t>15. Principal risks and mitigations</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1800"/>
            <w:shd w:fill="171A3A"/>
            <w:tcMar>
              <w:top w:w="100" w:type="dxa"/>
              <w:start w:w="100" w:type="dxa"/>
              <w:bottom w:w="100" w:type="dxa"/>
              <w:end w:w="100" w:type="dxa"/>
            </w:tcMar>
            <w:vAlign w:val="center"/>
          </w:tcPr>
          <w:p>
            <w:pPr>
              <w:jc w:val="center"/>
            </w:pPr>
            <w:r>
              <w:rPr>
                <w:rFonts w:ascii="Liberation Sans" w:hAnsi="Liberation Sans"/>
                <w:b/>
                <w:color w:val="FFFFFF"/>
                <w:sz w:val="15"/>
              </w:rPr>
              <w:t>Risk</w:t>
            </w:r>
          </w:p>
        </w:tc>
        <w:tc>
          <w:tcPr>
            <w:tcW w:type="dxa" w:w="3528"/>
            <w:shd w:fill="171A3A"/>
            <w:tcMar>
              <w:top w:w="100" w:type="dxa"/>
              <w:start w:w="100" w:type="dxa"/>
              <w:bottom w:w="100" w:type="dxa"/>
              <w:end w:w="100" w:type="dxa"/>
            </w:tcMar>
            <w:vAlign w:val="center"/>
          </w:tcPr>
          <w:p>
            <w:pPr>
              <w:jc w:val="center"/>
            </w:pPr>
            <w:r>
              <w:rPr>
                <w:rFonts w:ascii="Liberation Sans" w:hAnsi="Liberation Sans"/>
                <w:b/>
                <w:color w:val="FFFFFF"/>
                <w:sz w:val="15"/>
              </w:rPr>
              <w:t>Why it matters</w:t>
            </w:r>
          </w:p>
        </w:tc>
        <w:tc>
          <w:tcPr>
            <w:tcW w:type="dxa" w:w="3960"/>
            <w:shd w:fill="171A3A"/>
            <w:tcMar>
              <w:top w:w="100" w:type="dxa"/>
              <w:start w:w="100" w:type="dxa"/>
              <w:bottom w:w="100" w:type="dxa"/>
              <w:end w:w="100" w:type="dxa"/>
            </w:tcMar>
            <w:vAlign w:val="center"/>
          </w:tcPr>
          <w:p>
            <w:pPr>
              <w:jc w:val="center"/>
            </w:pPr>
            <w:r>
              <w:rPr>
                <w:rFonts w:ascii="Liberation Sans" w:hAnsi="Liberation Sans"/>
                <w:b/>
                <w:color w:val="FFFFFF"/>
                <w:sz w:val="15"/>
              </w:rPr>
              <w:t>Mitigation</w:t>
            </w:r>
          </w:p>
        </w:tc>
      </w:tr>
      <w:tr>
        <w:trPr>
          <w:cantSplit/>
        </w:trPr>
        <w:tc>
          <w:tcPr>
            <w:tcW w:type="dxa" w:w="1800"/>
            <w:tcMar>
              <w:top w:w="90" w:type="dxa"/>
              <w:start w:w="100" w:type="dxa"/>
              <w:bottom w:w="90" w:type="dxa"/>
              <w:end w:w="100" w:type="dxa"/>
            </w:tcMar>
            <w:vAlign w:val="top"/>
          </w:tcPr>
          <w:p>
            <w:r>
              <w:rPr>
                <w:rFonts w:ascii="Liberation Sans" w:hAnsi="Liberation Sans"/>
                <w:color w:val="171A3A"/>
                <w:sz w:val="15"/>
              </w:rPr>
              <w:t>Markets are not interesting</w:t>
            </w:r>
          </w:p>
        </w:tc>
        <w:tc>
          <w:tcPr>
            <w:tcW w:type="dxa" w:w="3528"/>
            <w:tcMar>
              <w:top w:w="90" w:type="dxa"/>
              <w:start w:w="100" w:type="dxa"/>
              <w:bottom w:w="90" w:type="dxa"/>
              <w:end w:w="100" w:type="dxa"/>
            </w:tcMar>
            <w:vAlign w:val="top"/>
          </w:tcPr>
          <w:p>
            <w:r>
              <w:rPr>
                <w:rFonts w:ascii="Liberation Sans" w:hAnsi="Liberation Sans"/>
                <w:color w:val="171A3A"/>
                <w:sz w:val="15"/>
              </w:rPr>
              <w:t>Random counts do not create emotional or operational value</w:t>
            </w:r>
          </w:p>
        </w:tc>
        <w:tc>
          <w:tcPr>
            <w:tcW w:type="dxa" w:w="3960"/>
            <w:tcMar>
              <w:top w:w="90" w:type="dxa"/>
              <w:start w:w="100" w:type="dxa"/>
              <w:bottom w:w="90" w:type="dxa"/>
              <w:end w:w="100" w:type="dxa"/>
            </w:tcMar>
            <w:vAlign w:val="top"/>
          </w:tcPr>
          <w:p>
            <w:r>
              <w:rPr>
                <w:rFonts w:ascii="Liberation Sans" w:hAnsi="Liberation Sans"/>
                <w:color w:val="171A3A"/>
                <w:sz w:val="15"/>
              </w:rPr>
              <w:t>Curate high-motion locations, rival streams and decision-linked questions</w:t>
            </w:r>
          </w:p>
        </w:tc>
      </w:tr>
      <w:tr>
        <w:trPr>
          <w:cantSplit/>
        </w:trPr>
        <w:tc>
          <w:tcPr>
            <w:tcW w:type="dxa" w:w="1800"/>
            <w:tcMar>
              <w:top w:w="90" w:type="dxa"/>
              <w:start w:w="100" w:type="dxa"/>
              <w:bottom w:w="90" w:type="dxa"/>
              <w:end w:w="100" w:type="dxa"/>
            </w:tcMar>
            <w:vAlign w:val="top"/>
            <w:shd w:fill="F8F9FC"/>
          </w:tcPr>
          <w:p>
            <w:r>
              <w:rPr>
                <w:rFonts w:ascii="Liberation Sans" w:hAnsi="Liberation Sans"/>
                <w:color w:val="171A3A"/>
                <w:sz w:val="15"/>
              </w:rPr>
              <w:t>Liquidity fragments</w:t>
            </w:r>
          </w:p>
        </w:tc>
        <w:tc>
          <w:tcPr>
            <w:tcW w:type="dxa" w:w="3528"/>
            <w:tcMar>
              <w:top w:w="90" w:type="dxa"/>
              <w:start w:w="100" w:type="dxa"/>
              <w:bottom w:w="90" w:type="dxa"/>
              <w:end w:w="100" w:type="dxa"/>
            </w:tcMar>
            <w:vAlign w:val="top"/>
            <w:shd w:fill="F8F9FC"/>
          </w:tcPr>
          <w:p>
            <w:r>
              <w:rPr>
                <w:rFonts w:ascii="Liberation Sans" w:hAnsi="Liberation Sans"/>
                <w:color w:val="171A3A"/>
                <w:sz w:val="15"/>
              </w:rPr>
              <w:t>Many short local markets divide users and capital</w:t>
            </w:r>
          </w:p>
        </w:tc>
        <w:tc>
          <w:tcPr>
            <w:tcW w:type="dxa" w:w="3960"/>
            <w:tcMar>
              <w:top w:w="90" w:type="dxa"/>
              <w:start w:w="100" w:type="dxa"/>
              <w:bottom w:w="90" w:type="dxa"/>
              <w:end w:w="100" w:type="dxa"/>
            </w:tcMar>
            <w:vAlign w:val="top"/>
            <w:shd w:fill="F8F9FC"/>
          </w:tcPr>
          <w:p>
            <w:r>
              <w:rPr>
                <w:rFonts w:ascii="Liberation Sans" w:hAnsi="Liberation Sans"/>
                <w:color w:val="171A3A"/>
                <w:sz w:val="15"/>
              </w:rPr>
              <w:t>Limit simultaneous markets, pooled design, sponsors and later agent liquidity</w:t>
            </w:r>
          </w:p>
        </w:tc>
      </w:tr>
      <w:tr>
        <w:trPr>
          <w:cantSplit/>
        </w:trPr>
        <w:tc>
          <w:tcPr>
            <w:tcW w:type="dxa" w:w="1800"/>
            <w:tcMar>
              <w:top w:w="90" w:type="dxa"/>
              <w:start w:w="100" w:type="dxa"/>
              <w:bottom w:w="90" w:type="dxa"/>
              <w:end w:w="100" w:type="dxa"/>
            </w:tcMar>
            <w:vAlign w:val="top"/>
          </w:tcPr>
          <w:p>
            <w:r>
              <w:rPr>
                <w:rFonts w:ascii="Liberation Sans" w:hAnsi="Liberation Sans"/>
                <w:color w:val="171A3A"/>
                <w:sz w:val="15"/>
              </w:rPr>
              <w:t>Resolution disputes</w:t>
            </w:r>
          </w:p>
        </w:tc>
        <w:tc>
          <w:tcPr>
            <w:tcW w:type="dxa" w:w="3528"/>
            <w:tcMar>
              <w:top w:w="90" w:type="dxa"/>
              <w:start w:w="100" w:type="dxa"/>
              <w:bottom w:w="90" w:type="dxa"/>
              <w:end w:w="100" w:type="dxa"/>
            </w:tcMar>
            <w:vAlign w:val="top"/>
          </w:tcPr>
          <w:p>
            <w:r>
              <w:rPr>
                <w:rFonts w:ascii="Liberation Sans" w:hAnsi="Liberation Sans"/>
                <w:color w:val="171A3A"/>
                <w:sz w:val="15"/>
              </w:rPr>
              <w:t>Computer vision is imperfect in weather, occlusion and unusual scenes</w:t>
            </w:r>
          </w:p>
        </w:tc>
        <w:tc>
          <w:tcPr>
            <w:tcW w:type="dxa" w:w="3960"/>
            <w:tcMar>
              <w:top w:w="90" w:type="dxa"/>
              <w:start w:w="100" w:type="dxa"/>
              <w:bottom w:w="90" w:type="dxa"/>
              <w:end w:w="100" w:type="dxa"/>
            </w:tcMar>
            <w:vAlign w:val="top"/>
          </w:tcPr>
          <w:p>
            <w:r>
              <w:rPr>
                <w:rFonts w:ascii="Liberation Sans" w:hAnsi="Liberation Sans"/>
                <w:color w:val="171A3A"/>
                <w:sz w:val="15"/>
              </w:rPr>
              <w:t>Qualification, independent observers, invalidation and evidence bundle</w:t>
            </w:r>
          </w:p>
        </w:tc>
      </w:tr>
      <w:tr>
        <w:trPr>
          <w:cantSplit/>
        </w:trPr>
        <w:tc>
          <w:tcPr>
            <w:tcW w:type="dxa" w:w="1800"/>
            <w:tcMar>
              <w:top w:w="90" w:type="dxa"/>
              <w:start w:w="100" w:type="dxa"/>
              <w:bottom w:w="90" w:type="dxa"/>
              <w:end w:w="100" w:type="dxa"/>
            </w:tcMar>
            <w:vAlign w:val="top"/>
            <w:shd w:fill="F8F9FC"/>
          </w:tcPr>
          <w:p>
            <w:r>
              <w:rPr>
                <w:rFonts w:ascii="Liberation Sans" w:hAnsi="Liberation Sans"/>
                <w:color w:val="171A3A"/>
                <w:sz w:val="15"/>
              </w:rPr>
              <w:t>Privacy backlash</w:t>
            </w:r>
          </w:p>
        </w:tc>
        <w:tc>
          <w:tcPr>
            <w:tcW w:type="dxa" w:w="3528"/>
            <w:tcMar>
              <w:top w:w="90" w:type="dxa"/>
              <w:start w:w="100" w:type="dxa"/>
              <w:bottom w:w="90" w:type="dxa"/>
              <w:end w:w="100" w:type="dxa"/>
            </w:tcMar>
            <w:vAlign w:val="top"/>
            <w:shd w:fill="F8F9FC"/>
          </w:tcPr>
          <w:p>
            <w:r>
              <w:rPr>
                <w:rFonts w:ascii="Liberation Sans" w:hAnsi="Liberation Sans"/>
                <w:color w:val="171A3A"/>
                <w:sz w:val="15"/>
              </w:rPr>
              <w:t>Public video can expose individuals or sensitive behavior</w:t>
            </w:r>
          </w:p>
        </w:tc>
        <w:tc>
          <w:tcPr>
            <w:tcW w:type="dxa" w:w="3960"/>
            <w:tcMar>
              <w:top w:w="90" w:type="dxa"/>
              <w:start w:w="100" w:type="dxa"/>
              <w:bottom w:w="90" w:type="dxa"/>
              <w:end w:w="100" w:type="dxa"/>
            </w:tcMar>
            <w:vAlign w:val="top"/>
            <w:shd w:fill="F8F9FC"/>
          </w:tcPr>
          <w:p>
            <w:r>
              <w:rPr>
                <w:rFonts w:ascii="Liberation Sans" w:hAnsi="Liberation Sans"/>
                <w:color w:val="171A3A"/>
                <w:sz w:val="15"/>
              </w:rPr>
              <w:t>Authorized sites, edge anonymization, minimal retention and clear signage/terms</w:t>
            </w:r>
          </w:p>
        </w:tc>
      </w:tr>
      <w:tr>
        <w:trPr>
          <w:cantSplit/>
        </w:trPr>
        <w:tc>
          <w:tcPr>
            <w:tcW w:type="dxa" w:w="1800"/>
            <w:tcMar>
              <w:top w:w="90" w:type="dxa"/>
              <w:start w:w="100" w:type="dxa"/>
              <w:bottom w:w="90" w:type="dxa"/>
              <w:end w:w="100" w:type="dxa"/>
            </w:tcMar>
            <w:vAlign w:val="top"/>
          </w:tcPr>
          <w:p>
            <w:r>
              <w:rPr>
                <w:rFonts w:ascii="Liberation Sans" w:hAnsi="Liberation Sans"/>
                <w:color w:val="171A3A"/>
                <w:sz w:val="15"/>
              </w:rPr>
              <w:t>Regulatory restriction</w:t>
            </w:r>
          </w:p>
        </w:tc>
        <w:tc>
          <w:tcPr>
            <w:tcW w:type="dxa" w:w="3528"/>
            <w:tcMar>
              <w:top w:w="90" w:type="dxa"/>
              <w:start w:w="100" w:type="dxa"/>
              <w:bottom w:w="90" w:type="dxa"/>
              <w:end w:w="100" w:type="dxa"/>
            </w:tcMar>
            <w:vAlign w:val="top"/>
          </w:tcPr>
          <w:p>
            <w:r>
              <w:rPr>
                <w:rFonts w:ascii="Liberation Sans" w:hAnsi="Liberation Sans"/>
                <w:color w:val="171A3A"/>
                <w:sz w:val="15"/>
              </w:rPr>
              <w:t>Real-money access can be prohibited or licensed by jurisdiction</w:t>
            </w:r>
          </w:p>
        </w:tc>
        <w:tc>
          <w:tcPr>
            <w:tcW w:type="dxa" w:w="3960"/>
            <w:tcMar>
              <w:top w:w="90" w:type="dxa"/>
              <w:start w:w="100" w:type="dxa"/>
              <w:bottom w:w="90" w:type="dxa"/>
              <w:end w:w="100" w:type="dxa"/>
            </w:tcMar>
            <w:vAlign w:val="top"/>
          </w:tcPr>
          <w:p>
            <w:r>
              <w:rPr>
                <w:rFonts w:ascii="Liberation Sans" w:hAnsi="Liberation Sans"/>
                <w:color w:val="171A3A"/>
                <w:sz w:val="15"/>
              </w:rPr>
              <w:t>Legal review, geofencing, KYC/AML and non-monetary modes</w:t>
            </w:r>
          </w:p>
        </w:tc>
      </w:tr>
      <w:tr>
        <w:trPr>
          <w:cantSplit/>
        </w:trPr>
        <w:tc>
          <w:tcPr>
            <w:tcW w:type="dxa" w:w="1800"/>
            <w:tcMar>
              <w:top w:w="90" w:type="dxa"/>
              <w:start w:w="100" w:type="dxa"/>
              <w:bottom w:w="90" w:type="dxa"/>
              <w:end w:w="100" w:type="dxa"/>
            </w:tcMar>
            <w:vAlign w:val="top"/>
            <w:shd w:fill="F8F9FC"/>
          </w:tcPr>
          <w:p>
            <w:r>
              <w:rPr>
                <w:rFonts w:ascii="Liberation Sans" w:hAnsi="Liberation Sans"/>
                <w:color w:val="171A3A"/>
                <w:sz w:val="15"/>
              </w:rPr>
              <w:t>Mainnet exploit</w:t>
            </w:r>
          </w:p>
        </w:tc>
        <w:tc>
          <w:tcPr>
            <w:tcW w:type="dxa" w:w="3528"/>
            <w:tcMar>
              <w:top w:w="90" w:type="dxa"/>
              <w:start w:w="100" w:type="dxa"/>
              <w:bottom w:w="90" w:type="dxa"/>
              <w:end w:w="100" w:type="dxa"/>
            </w:tcMar>
            <w:vAlign w:val="top"/>
            <w:shd w:fill="F8F9FC"/>
          </w:tcPr>
          <w:p>
            <w:r>
              <w:rPr>
                <w:rFonts w:ascii="Liberation Sans" w:hAnsi="Liberation Sans"/>
                <w:color w:val="171A3A"/>
                <w:sz w:val="15"/>
              </w:rPr>
              <w:t>User funds create immediate security exposure</w:t>
            </w:r>
          </w:p>
        </w:tc>
        <w:tc>
          <w:tcPr>
            <w:tcW w:type="dxa" w:w="3960"/>
            <w:tcMar>
              <w:top w:w="90" w:type="dxa"/>
              <w:start w:w="100" w:type="dxa"/>
              <w:bottom w:w="90" w:type="dxa"/>
              <w:end w:w="100" w:type="dxa"/>
            </w:tcMar>
            <w:vAlign w:val="top"/>
            <w:shd w:fill="F8F9FC"/>
          </w:tcPr>
          <w:p>
            <w:r>
              <w:rPr>
                <w:rFonts w:ascii="Liberation Sans" w:hAnsi="Liberation Sans"/>
                <w:color w:val="171A3A"/>
                <w:sz w:val="15"/>
              </w:rPr>
              <w:t>Simple contracts, caps, audit, fuzz/invariant tests, Safe and pause/refund paths</w:t>
            </w:r>
          </w:p>
        </w:tc>
      </w:tr>
      <w:tr>
        <w:trPr>
          <w:cantSplit/>
        </w:trPr>
        <w:tc>
          <w:tcPr>
            <w:tcW w:type="dxa" w:w="1800"/>
            <w:tcMar>
              <w:top w:w="90" w:type="dxa"/>
              <w:start w:w="100" w:type="dxa"/>
              <w:bottom w:w="90" w:type="dxa"/>
              <w:end w:w="100" w:type="dxa"/>
            </w:tcMar>
            <w:vAlign w:val="top"/>
          </w:tcPr>
          <w:p>
            <w:r>
              <w:rPr>
                <w:rFonts w:ascii="Liberation Sans" w:hAnsi="Liberation Sans"/>
                <w:color w:val="171A3A"/>
                <w:sz w:val="15"/>
              </w:rPr>
              <w:t>Operational cost</w:t>
            </w:r>
          </w:p>
        </w:tc>
        <w:tc>
          <w:tcPr>
            <w:tcW w:type="dxa" w:w="3528"/>
            <w:tcMar>
              <w:top w:w="90" w:type="dxa"/>
              <w:start w:w="100" w:type="dxa"/>
              <w:bottom w:w="90" w:type="dxa"/>
              <w:end w:w="100" w:type="dxa"/>
            </w:tcMar>
            <w:vAlign w:val="top"/>
          </w:tcPr>
          <w:p>
            <w:r>
              <w:rPr>
                <w:rFonts w:ascii="Liberation Sans" w:hAnsi="Liberation Sans"/>
                <w:color w:val="171A3A"/>
                <w:sz w:val="15"/>
              </w:rPr>
              <w:t>GPU and live video costs grow before revenue</w:t>
            </w:r>
          </w:p>
        </w:tc>
        <w:tc>
          <w:tcPr>
            <w:tcW w:type="dxa" w:w="3960"/>
            <w:tcMar>
              <w:top w:w="90" w:type="dxa"/>
              <w:start w:w="100" w:type="dxa"/>
              <w:bottom w:w="90" w:type="dxa"/>
              <w:end w:w="100" w:type="dxa"/>
            </w:tcMar>
            <w:vAlign w:val="top"/>
          </w:tcPr>
          <w:p>
            <w:r>
              <w:rPr>
                <w:rFonts w:ascii="Liberation Sans" w:hAnsi="Liberation Sans"/>
                <w:color w:val="171A3A"/>
                <w:sz w:val="15"/>
              </w:rPr>
              <w:t>Curate streams, adaptive FPS, cloud-to-dedicated migration and sponsored rooms</w:t>
            </w:r>
          </w:p>
        </w:tc>
      </w:tr>
      <w:tr>
        <w:trPr>
          <w:cantSplit/>
        </w:trPr>
        <w:tc>
          <w:tcPr>
            <w:tcW w:type="dxa" w:w="1800"/>
            <w:tcMar>
              <w:top w:w="90" w:type="dxa"/>
              <w:start w:w="100" w:type="dxa"/>
              <w:bottom w:w="90" w:type="dxa"/>
              <w:end w:w="100" w:type="dxa"/>
            </w:tcMar>
            <w:vAlign w:val="top"/>
            <w:shd w:fill="F8F9FC"/>
          </w:tcPr>
          <w:p>
            <w:r>
              <w:rPr>
                <w:rFonts w:ascii="Liberation Sans" w:hAnsi="Liberation Sans"/>
                <w:color w:val="171A3A"/>
                <w:sz w:val="15"/>
              </w:rPr>
              <w:t>Brand conflict</w:t>
            </w:r>
          </w:p>
        </w:tc>
        <w:tc>
          <w:tcPr>
            <w:tcW w:type="dxa" w:w="3528"/>
            <w:tcMar>
              <w:top w:w="90" w:type="dxa"/>
              <w:start w:w="100" w:type="dxa"/>
              <w:bottom w:w="90" w:type="dxa"/>
              <w:end w:w="100" w:type="dxa"/>
            </w:tcMar>
            <w:vAlign w:val="top"/>
            <w:shd w:fill="F8F9FC"/>
          </w:tcPr>
          <w:p>
            <w:r>
              <w:rPr>
                <w:rFonts w:ascii="Liberation Sans" w:hAnsi="Liberation Sans"/>
                <w:color w:val="171A3A"/>
                <w:sz w:val="15"/>
              </w:rPr>
              <w:t>Scry may overlap with existing names</w:t>
            </w:r>
          </w:p>
        </w:tc>
        <w:tc>
          <w:tcPr>
            <w:tcW w:type="dxa" w:w="3960"/>
            <w:tcMar>
              <w:top w:w="90" w:type="dxa"/>
              <w:start w:w="100" w:type="dxa"/>
              <w:bottom w:w="90" w:type="dxa"/>
              <w:end w:w="100" w:type="dxa"/>
            </w:tcMar>
            <w:vAlign w:val="top"/>
            <w:shd w:fill="F8F9FC"/>
          </w:tcPr>
          <w:p>
            <w:r>
              <w:rPr>
                <w:rFonts w:ascii="Liberation Sans" w:hAnsi="Liberation Sans"/>
                <w:color w:val="171A3A"/>
                <w:sz w:val="15"/>
              </w:rPr>
              <w:t>Trademark and domain clearance before launch</w:t>
            </w:r>
          </w:p>
        </w:tc>
      </w:tr>
      <w:tr>
        <w:tc>
          <w:tcPr>
            <w:tcW w:type="dxa" w:w="3278"/>
            <w:vAlign w:val="center"/>
            <w:tcMar>
              <w:top w:w="80" w:type="dxa"/>
              <w:start w:w="100" w:type="dxa"/>
              <w:bottom w:w="80" w:type="dxa"/>
              <w:end w:w="100" w:type="dxa"/>
            </w:tcMar>
            <w:shd w:fill="FAF9FF"/>
          </w:tcPr>
          <w:p>
            <w:pPr>
              <w:spacing w:after="0" w:before="0" w:line="240" w:lineRule="auto"/>
            </w:pPr>
            <w:r/>
            <w:r>
              <w:rPr>
                <w:rFonts w:ascii="Liberation Sans" w:hAnsi="Liberation Sans"/>
                <w:b/>
                <w:i w:val="0"/>
                <w:color w:val="4F46E5"/>
                <w:sz w:val="15"/>
              </w:rPr>
              <w:t>Direct precedent erodes novelty</w:t>
            </w:r>
          </w:p>
        </w:tc>
        <w:tc>
          <w:tcPr>
            <w:tcW w:type="dxa" w:w="3278"/>
            <w:vAlign w:val="center"/>
            <w:tcMar>
              <w:top w:w="80" w:type="dxa"/>
              <w:start w:w="100" w:type="dxa"/>
              <w:bottom w:w="80" w:type="dxa"/>
              <w:end w:w="100" w:type="dxa"/>
            </w:tcMar>
            <w:shd w:fill="FAF9FF"/>
          </w:tcPr>
          <w:p>
            <w:pPr>
              <w:spacing w:after="0" w:before="0" w:line="240" w:lineRule="auto"/>
            </w:pPr>
            <w:r/>
            <w:r>
              <w:rPr>
                <w:rFonts w:ascii="Liberation Sans" w:hAnsi="Liberation Sans"/>
                <w:b w:val="0"/>
                <w:i w:val="0"/>
                <w:color w:val="1F2937"/>
                <w:sz w:val="15"/>
              </w:rPr>
              <w:t>Rush Hour already offers live CCTV count betting and has operator distribution.</w:t>
            </w:r>
          </w:p>
        </w:tc>
        <w:tc>
          <w:tcPr>
            <w:tcW w:type="dxa" w:w="3278"/>
            <w:vAlign w:val="center"/>
            <w:tcMar>
              <w:top w:w="80" w:type="dxa"/>
              <w:start w:w="100" w:type="dxa"/>
              <w:bottom w:w="80" w:type="dxa"/>
              <w:end w:w="100" w:type="dxa"/>
            </w:tcMar>
            <w:shd w:fill="FAF9FF"/>
          </w:tcPr>
          <w:p>
            <w:pPr>
              <w:spacing w:after="0" w:before="0" w:line="240" w:lineRule="auto"/>
            </w:pPr>
            <w:r/>
            <w:r>
              <w:rPr>
                <w:rFonts w:ascii="Liberation Sans" w:hAnsi="Liberation Sans"/>
                <w:b w:val="0"/>
                <w:i w:val="0"/>
                <w:color w:val="1F2937"/>
                <w:sz w:val="15"/>
              </w:rPr>
              <w:t>Do not compete as a traffic casino. Ship multiple categories, agent forecasting, public Proof of Observation, persistent reputation and the enterprise data layer from the start.</w:t>
            </w:r>
          </w:p>
        </w:tc>
      </w:tr>
    </w:tbl>
    <w:p>
      <w:pPr>
        <w:spacing w:after="0"/>
      </w:pPr>
    </w:p>
    <w:p>
      <w:pPr>
        <w:pStyle w:val="Heading1"/>
        <w:keepNext/>
      </w:pPr>
      <w:r>
        <w:t>16. Final recommendation</w:t>
      </w:r>
    </w:p>
    <w:tbl>
      <w:tblPr>
        <w:tblW w:type="auto" w:w="0"/>
        <w:jc w:val="center"/>
        <w:tblLayout w:type="fixed"/>
        <w:tblLook w:firstColumn="1" w:firstRow="1" w:lastColumn="0" w:lastRow="0" w:noHBand="0" w:noVBand="1" w:val="04A0"/>
      </w:tblPr>
      <w:tblGrid>
        <w:gridCol w:w="230"/>
        <w:gridCol w:w="9576"/>
      </w:tblGrid>
      <w:tr>
        <w:tc>
          <w:tcPr>
            <w:tcW w:type="dxa" w:w="4917"/>
            <w:shd w:fill="6C5CE7"/>
            <w:tcMar>
              <w:top w:w="140" w:type="dxa"/>
              <w:start w:w="150" w:type="dxa"/>
              <w:bottom w:w="140" w:type="dxa"/>
              <w:end w:w="150" w:type="dxa"/>
            </w:tcMar>
            <w:vAlign w:val="center"/>
          </w:tcPr>
          <w:p/>
        </w:tc>
        <w:tc>
          <w:tcPr>
            <w:tcW w:type="dxa" w:w="4917"/>
            <w:shd w:fill="F3F2FF"/>
            <w:tcMar>
              <w:top w:w="140" w:type="dxa"/>
              <w:start w:w="150" w:type="dxa"/>
              <w:bottom w:w="140" w:type="dxa"/>
              <w:end w:w="150" w:type="dxa"/>
            </w:tcMar>
            <w:vAlign w:val="center"/>
          </w:tcPr>
          <w:p>
            <w:pPr>
              <w:spacing w:after="0"/>
            </w:pPr>
            <w:r/>
            <w:r>
              <w:rPr>
                <w:rFonts w:ascii="Liberation Sans" w:hAnsi="Liberation Sans"/>
                <w:b/>
                <w:i w:val="0"/>
                <w:color w:val="6C5CE7"/>
                <w:sz w:val="18"/>
              </w:rPr>
              <w:t xml:space="preserve">Build decision  </w:t>
            </w:r>
            <w:r>
              <w:rPr>
                <w:rFonts w:ascii="Liberation Sans" w:hAnsi="Liberation Sans"/>
                <w:b w:val="0"/>
                <w:i w:val="0"/>
                <w:color w:val="1F2937"/>
                <w:sz w:val="18"/>
              </w:rPr>
              <w:t>Launch Scry as a curated, multi-category, Base-mainnet prediction network: multiple authorized live rooms, pooled USDC markets, human and AI forecasts, a custom two-of-three Proof-of-Observation fast path, UMA only for exceptional disputes, and a production media/vision stack built for reliable evidence. Do not launch as a traffic-only CCTV game.</w:t>
            </w:r>
          </w:p>
        </w:tc>
      </w:tr>
    </w:tbl>
    <w:p>
      <w:pPr>
        <w:spacing w:after="0"/>
      </w:pPr>
    </w:p>
    <w:p>
      <w:pPr>
        <w:spacing w:after="140" w:line="269" w:lineRule="auto"/>
      </w:pPr>
      <w:r>
        <w:rPr>
          <w:rFonts w:ascii="Liberation Sans" w:hAnsi="Liberation Sans"/>
        </w:rPr>
        <w:t>The user-facing wedge is entertainment: watch live, make a call, see the market move and watch the outcome happen. The durable company is the observation and forecasting network beneath it. Each resolved market produces a unique record linking physical context, human belief, AI forecasts, market consensus and verified ground truth.</w:t>
      </w:r>
    </w:p>
    <w:p>
      <w:pPr>
        <w:spacing w:after="140" w:line="269" w:lineRule="auto"/>
      </w:pPr>
      <w:r>
        <w:rPr>
          <w:rFonts w:ascii="Liberation Sans" w:hAnsi="Liberation Sans"/>
        </w:rPr>
        <w:t>Base is the strongest launch ecosystem because it combines EVM portability with current explicit interest in prediction markets, Base Account onboarding, USDC and paymaster tooling. Robinhood Chain is the most interesting second deployment after Scry demonstrates reliable resolution and user demand. Polygon remains the best architectural reference for mature crypto prediction-market trading, not the best support-first launch choice for this team.</w:t>
      </w:r>
    </w:p>
    <w:p>
      <w:pPr>
        <w:spacing w:after="140" w:line="269" w:lineRule="auto"/>
      </w:pPr>
      <w:r>
        <w:t>The MVP should be complete rather than huge. Eight excellent streams across several visibly different categories, reliable settlement and 100 clean mainnet resolutions are more convincing than a directory of unstable cameras or an unfinished exchange. Rush Hour proves the basic mechanic can attract attention; Scry wins only by making the broader physical world feel live, uncertain, tradable and verifiable while accumulating forecast and observation intelligence that a single casino title does not.</w:t>
      </w:r>
    </w:p>
    <w:p>
      <w:pPr>
        <w:pStyle w:val="Heading1"/>
        <w:keepNext/>
      </w:pPr>
      <w:r>
        <w:rPr>
          <w:rFonts w:ascii="Liberation Sans" w:hAnsi="Liberation Sans"/>
        </w:rPr>
        <w:t>Appendix A — Example live market specification</w:t>
      </w:r>
    </w:p>
    <w:tbl>
      <w:tblPr>
        <w:tblStyle w:val="TableGrid"/>
        <w:tblW w:type="auto" w:w="0"/>
        <w:jc w:val="center"/>
        <w:tblLayout w:type="fixed"/>
        <w:tblLook w:firstColumn="1" w:firstRow="1" w:lastColumn="0" w:lastRow="0" w:noHBand="0" w:noVBand="1" w:val="04A0"/>
      </w:tblPr>
      <w:tblGrid>
        <w:gridCol w:w="4917"/>
        <w:gridCol w:w="4917"/>
      </w:tblGrid>
      <w:tr>
        <w:trPr>
          <w:tblHeader w:val="true"/>
          <w:cantSplit/>
        </w:trPr>
        <w:tc>
          <w:tcPr>
            <w:tcW w:type="dxa" w:w="2592"/>
            <w:shd w:fill="171A3A"/>
            <w:tcMar>
              <w:top w:w="100" w:type="dxa"/>
              <w:start w:w="100" w:type="dxa"/>
              <w:bottom w:w="100" w:type="dxa"/>
              <w:end w:w="100" w:type="dxa"/>
            </w:tcMar>
            <w:vAlign w:val="center"/>
          </w:tcPr>
          <w:p>
            <w:pPr>
              <w:jc w:val="center"/>
            </w:pPr>
            <w:r>
              <w:rPr>
                <w:rFonts w:ascii="Liberation Sans" w:hAnsi="Liberation Sans"/>
                <w:b/>
                <w:color w:val="FFFFFF"/>
                <w:sz w:val="16"/>
              </w:rPr>
              <w:t>Field</w:t>
            </w:r>
          </w:p>
        </w:tc>
        <w:tc>
          <w:tcPr>
            <w:tcW w:type="dxa" w:w="6696"/>
            <w:shd w:fill="171A3A"/>
            <w:tcMar>
              <w:top w:w="100" w:type="dxa"/>
              <w:start w:w="100" w:type="dxa"/>
              <w:bottom w:w="100" w:type="dxa"/>
              <w:end w:w="100" w:type="dxa"/>
            </w:tcMar>
            <w:vAlign w:val="center"/>
          </w:tcPr>
          <w:p>
            <w:pPr>
              <w:jc w:val="center"/>
            </w:pPr>
            <w:r>
              <w:rPr>
                <w:rFonts w:ascii="Liberation Sans" w:hAnsi="Liberation Sans"/>
                <w:b/>
                <w:color w:val="FFFFFF"/>
                <w:sz w:val="16"/>
              </w:rPr>
              <w:t>Example</w:t>
            </w:r>
          </w:p>
        </w:tc>
      </w:tr>
      <w:tr>
        <w:trPr>
          <w:cantSplit/>
        </w:trPr>
        <w:tc>
          <w:tcPr>
            <w:tcW w:type="dxa" w:w="2592"/>
            <w:tcMar>
              <w:top w:w="90" w:type="dxa"/>
              <w:start w:w="100" w:type="dxa"/>
              <w:bottom w:w="90" w:type="dxa"/>
              <w:end w:w="100" w:type="dxa"/>
            </w:tcMar>
            <w:vAlign w:val="top"/>
          </w:tcPr>
          <w:p>
            <w:r>
              <w:rPr>
                <w:rFonts w:ascii="Liberation Sans" w:hAnsi="Liberation Sans"/>
                <w:color w:val="171A3A"/>
                <w:sz w:val="16"/>
              </w:rPr>
              <w:t>Room</w:t>
            </w:r>
          </w:p>
        </w:tc>
        <w:tc>
          <w:tcPr>
            <w:tcW w:type="dxa" w:w="6696"/>
            <w:tcMar>
              <w:top w:w="90" w:type="dxa"/>
              <w:start w:w="100" w:type="dxa"/>
              <w:bottom w:w="90" w:type="dxa"/>
              <w:end w:w="100" w:type="dxa"/>
            </w:tcMar>
            <w:vAlign w:val="top"/>
          </w:tcPr>
          <w:p>
            <w:r>
              <w:rPr>
                <w:rFonts w:ascii="Liberation Sans" w:hAnsi="Liberation Sans"/>
                <w:color w:val="171A3A"/>
                <w:sz w:val="16"/>
              </w:rPr>
              <w:t>Indore — Authorized Private Campus Gate A</w:t>
            </w:r>
          </w:p>
        </w:tc>
      </w:tr>
      <w:tr>
        <w:trPr>
          <w:cantSplit/>
        </w:trPr>
        <w:tc>
          <w:tcPr>
            <w:tcW w:type="dxa" w:w="2592"/>
            <w:tcMar>
              <w:top w:w="90" w:type="dxa"/>
              <w:start w:w="100" w:type="dxa"/>
              <w:bottom w:w="90" w:type="dxa"/>
              <w:end w:w="100" w:type="dxa"/>
            </w:tcMar>
            <w:vAlign w:val="top"/>
            <w:shd w:fill="F8F9FC"/>
          </w:tcPr>
          <w:p>
            <w:r>
              <w:rPr>
                <w:rFonts w:ascii="Liberation Sans" w:hAnsi="Liberation Sans"/>
                <w:color w:val="171A3A"/>
                <w:sz w:val="16"/>
              </w:rPr>
              <w:t>Question</w:t>
            </w:r>
          </w:p>
        </w:tc>
        <w:tc>
          <w:tcPr>
            <w:tcW w:type="dxa" w:w="6696"/>
            <w:tcMar>
              <w:top w:w="90" w:type="dxa"/>
              <w:start w:w="100" w:type="dxa"/>
              <w:bottom w:w="90" w:type="dxa"/>
              <w:end w:w="100" w:type="dxa"/>
            </w:tcMar>
            <w:vAlign w:val="top"/>
            <w:shd w:fill="F8F9FC"/>
          </w:tcPr>
          <w:p>
            <w:r>
              <w:rPr>
                <w:rFonts w:ascii="Liberation Sans" w:hAnsi="Liberation Sans"/>
                <w:color w:val="171A3A"/>
                <w:sz w:val="16"/>
              </w:rPr>
              <w:t>How many vehicles will enter between 19:05 and 19:15 IST?</w:t>
            </w:r>
          </w:p>
        </w:tc>
      </w:tr>
      <w:tr>
        <w:trPr>
          <w:cantSplit/>
        </w:trPr>
        <w:tc>
          <w:tcPr>
            <w:tcW w:type="dxa" w:w="2592"/>
            <w:tcMar>
              <w:top w:w="90" w:type="dxa"/>
              <w:start w:w="100" w:type="dxa"/>
              <w:bottom w:w="90" w:type="dxa"/>
              <w:end w:w="100" w:type="dxa"/>
            </w:tcMar>
            <w:vAlign w:val="top"/>
          </w:tcPr>
          <w:p>
            <w:r>
              <w:rPr>
                <w:rFonts w:ascii="Liberation Sans" w:hAnsi="Liberation Sans"/>
                <w:color w:val="171A3A"/>
                <w:sz w:val="16"/>
              </w:rPr>
              <w:t>Outcomes</w:t>
            </w:r>
          </w:p>
        </w:tc>
        <w:tc>
          <w:tcPr>
            <w:tcW w:type="dxa" w:w="6696"/>
            <w:tcMar>
              <w:top w:w="90" w:type="dxa"/>
              <w:start w:w="100" w:type="dxa"/>
              <w:bottom w:w="90" w:type="dxa"/>
              <w:end w:w="100" w:type="dxa"/>
            </w:tcMar>
            <w:vAlign w:val="top"/>
          </w:tcPr>
          <w:p>
            <w:r>
              <w:rPr>
                <w:rFonts w:ascii="Liberation Sans" w:hAnsi="Liberation Sans"/>
                <w:color w:val="171A3A"/>
                <w:sz w:val="16"/>
              </w:rPr>
              <w:t>&lt; 100 / 100–125 / 126–150 / 151–175 / &gt; 175</w:t>
            </w:r>
          </w:p>
        </w:tc>
      </w:tr>
      <w:tr>
        <w:trPr>
          <w:cantSplit/>
        </w:trPr>
        <w:tc>
          <w:tcPr>
            <w:tcW w:type="dxa" w:w="2592"/>
            <w:tcMar>
              <w:top w:w="90" w:type="dxa"/>
              <w:start w:w="100" w:type="dxa"/>
              <w:bottom w:w="90" w:type="dxa"/>
              <w:end w:w="100" w:type="dxa"/>
            </w:tcMar>
            <w:vAlign w:val="top"/>
            <w:shd w:fill="F8F9FC"/>
          </w:tcPr>
          <w:p>
            <w:r>
              <w:rPr>
                <w:rFonts w:ascii="Liberation Sans" w:hAnsi="Liberation Sans"/>
                <w:color w:val="171A3A"/>
                <w:sz w:val="16"/>
              </w:rPr>
              <w:t>Prediction window</w:t>
            </w:r>
          </w:p>
        </w:tc>
        <w:tc>
          <w:tcPr>
            <w:tcW w:type="dxa" w:w="6696"/>
            <w:tcMar>
              <w:top w:w="90" w:type="dxa"/>
              <w:start w:w="100" w:type="dxa"/>
              <w:bottom w:w="90" w:type="dxa"/>
              <w:end w:w="100" w:type="dxa"/>
            </w:tcMar>
            <w:vAlign w:val="top"/>
            <w:shd w:fill="F8F9FC"/>
          </w:tcPr>
          <w:p>
            <w:r>
              <w:rPr>
                <w:rFonts w:ascii="Liberation Sans" w:hAnsi="Liberation Sans"/>
                <w:color w:val="171A3A"/>
                <w:sz w:val="16"/>
              </w:rPr>
              <w:t>19:00–19:05 IST</w:t>
            </w:r>
          </w:p>
        </w:tc>
      </w:tr>
      <w:tr>
        <w:trPr>
          <w:cantSplit/>
        </w:trPr>
        <w:tc>
          <w:tcPr>
            <w:tcW w:type="dxa" w:w="2592"/>
            <w:tcMar>
              <w:top w:w="90" w:type="dxa"/>
              <w:start w:w="100" w:type="dxa"/>
              <w:bottom w:w="90" w:type="dxa"/>
              <w:end w:w="100" w:type="dxa"/>
            </w:tcMar>
            <w:vAlign w:val="top"/>
          </w:tcPr>
          <w:p>
            <w:r>
              <w:rPr>
                <w:rFonts w:ascii="Liberation Sans" w:hAnsi="Liberation Sans"/>
                <w:color w:val="171A3A"/>
                <w:sz w:val="16"/>
              </w:rPr>
              <w:t>Observation window</w:t>
            </w:r>
          </w:p>
        </w:tc>
        <w:tc>
          <w:tcPr>
            <w:tcW w:type="dxa" w:w="6696"/>
            <w:tcMar>
              <w:top w:w="90" w:type="dxa"/>
              <w:start w:w="100" w:type="dxa"/>
              <w:bottom w:w="90" w:type="dxa"/>
              <w:end w:w="100" w:type="dxa"/>
            </w:tcMar>
            <w:vAlign w:val="top"/>
          </w:tcPr>
          <w:p>
            <w:r>
              <w:rPr>
                <w:rFonts w:ascii="Liberation Sans" w:hAnsi="Liberation Sans"/>
                <w:color w:val="171A3A"/>
                <w:sz w:val="16"/>
              </w:rPr>
              <w:t>19:05–19:15 IST</w:t>
            </w:r>
          </w:p>
        </w:tc>
      </w:tr>
      <w:tr>
        <w:trPr>
          <w:cantSplit/>
        </w:trPr>
        <w:tc>
          <w:tcPr>
            <w:tcW w:type="dxa" w:w="2592"/>
            <w:tcMar>
              <w:top w:w="90" w:type="dxa"/>
              <w:start w:w="100" w:type="dxa"/>
              <w:bottom w:w="90" w:type="dxa"/>
              <w:end w:w="100" w:type="dxa"/>
            </w:tcMar>
            <w:vAlign w:val="top"/>
            <w:shd w:fill="F8F9FC"/>
          </w:tcPr>
          <w:p>
            <w:r>
              <w:rPr>
                <w:rFonts w:ascii="Liberation Sans" w:hAnsi="Liberation Sans"/>
                <w:color w:val="171A3A"/>
                <w:sz w:val="16"/>
              </w:rPr>
              <w:t>Collateral</w:t>
            </w:r>
          </w:p>
        </w:tc>
        <w:tc>
          <w:tcPr>
            <w:tcW w:type="dxa" w:w="6696"/>
            <w:tcMar>
              <w:top w:w="90" w:type="dxa"/>
              <w:start w:w="100" w:type="dxa"/>
              <w:bottom w:w="90" w:type="dxa"/>
              <w:end w:w="100" w:type="dxa"/>
            </w:tcMar>
            <w:vAlign w:val="top"/>
            <w:shd w:fill="F8F9FC"/>
          </w:tcPr>
          <w:p>
            <w:r>
              <w:rPr>
                <w:rFonts w:ascii="Liberation Sans" w:hAnsi="Liberation Sans"/>
                <w:color w:val="171A3A"/>
                <w:sz w:val="16"/>
              </w:rPr>
              <w:t>Native USDC on Base; capped market pool</w:t>
            </w:r>
          </w:p>
        </w:tc>
      </w:tr>
      <w:tr>
        <w:trPr>
          <w:cantSplit/>
        </w:trPr>
        <w:tc>
          <w:tcPr>
            <w:tcW w:type="dxa" w:w="2592"/>
            <w:tcMar>
              <w:top w:w="90" w:type="dxa"/>
              <w:start w:w="100" w:type="dxa"/>
              <w:bottom w:w="90" w:type="dxa"/>
              <w:end w:w="100" w:type="dxa"/>
            </w:tcMar>
            <w:vAlign w:val="top"/>
          </w:tcPr>
          <w:p>
            <w:r>
              <w:rPr>
                <w:rFonts w:ascii="Liberation Sans" w:hAnsi="Liberation Sans"/>
                <w:color w:val="171A3A"/>
                <w:sz w:val="16"/>
              </w:rPr>
              <w:t>Resolution rule</w:t>
            </w:r>
          </w:p>
        </w:tc>
        <w:tc>
          <w:tcPr>
            <w:tcW w:type="dxa" w:w="6696"/>
            <w:tcMar>
              <w:top w:w="90" w:type="dxa"/>
              <w:start w:w="100" w:type="dxa"/>
              <w:bottom w:w="90" w:type="dxa"/>
              <w:end w:w="100" w:type="dxa"/>
            </w:tcMar>
            <w:vAlign w:val="top"/>
          </w:tcPr>
          <w:p>
            <w:r>
              <w:rPr>
                <w:rFonts w:ascii="Liberation Sans" w:hAnsi="Liberation Sans"/>
                <w:color w:val="171A3A"/>
                <w:sz w:val="16"/>
              </w:rPr>
              <w:t>Vehicles whose tracked centroid crosses the inward line during the window</w:t>
            </w:r>
          </w:p>
        </w:tc>
      </w:tr>
      <w:tr>
        <w:trPr>
          <w:cantSplit/>
        </w:trPr>
        <w:tc>
          <w:tcPr>
            <w:tcW w:type="dxa" w:w="2592"/>
            <w:tcMar>
              <w:top w:w="90" w:type="dxa"/>
              <w:start w:w="100" w:type="dxa"/>
              <w:bottom w:w="90" w:type="dxa"/>
              <w:end w:w="100" w:type="dxa"/>
            </w:tcMar>
            <w:vAlign w:val="top"/>
            <w:shd w:fill="F8F9FC"/>
          </w:tcPr>
          <w:p>
            <w:r>
              <w:rPr>
                <w:rFonts w:ascii="Liberation Sans" w:hAnsi="Liberation Sans"/>
                <w:color w:val="171A3A"/>
                <w:sz w:val="16"/>
              </w:rPr>
              <w:t>Minimum uptime</w:t>
            </w:r>
          </w:p>
        </w:tc>
        <w:tc>
          <w:tcPr>
            <w:tcW w:type="dxa" w:w="6696"/>
            <w:tcMar>
              <w:top w:w="90" w:type="dxa"/>
              <w:start w:w="100" w:type="dxa"/>
              <w:bottom w:w="90" w:type="dxa"/>
              <w:end w:w="100" w:type="dxa"/>
            </w:tcMar>
            <w:vAlign w:val="top"/>
            <w:shd w:fill="F8F9FC"/>
          </w:tcPr>
          <w:p>
            <w:r>
              <w:rPr>
                <w:rFonts w:ascii="Liberation Sans" w:hAnsi="Liberation Sans"/>
                <w:color w:val="171A3A"/>
                <w:sz w:val="16"/>
              </w:rPr>
              <w:t>99% during observation window</w:t>
            </w:r>
          </w:p>
        </w:tc>
      </w:tr>
      <w:tr>
        <w:trPr>
          <w:cantSplit/>
        </w:trPr>
        <w:tc>
          <w:tcPr>
            <w:tcW w:type="dxa" w:w="2592"/>
            <w:tcMar>
              <w:top w:w="90" w:type="dxa"/>
              <w:start w:w="100" w:type="dxa"/>
              <w:bottom w:w="90" w:type="dxa"/>
              <w:end w:w="100" w:type="dxa"/>
            </w:tcMar>
            <w:vAlign w:val="top"/>
          </w:tcPr>
          <w:p>
            <w:r>
              <w:rPr>
                <w:rFonts w:ascii="Liberation Sans" w:hAnsi="Liberation Sans"/>
                <w:color w:val="171A3A"/>
                <w:sz w:val="16"/>
              </w:rPr>
              <w:t>Observers</w:t>
            </w:r>
          </w:p>
        </w:tc>
        <w:tc>
          <w:tcPr>
            <w:tcW w:type="dxa" w:w="6696"/>
            <w:tcMar>
              <w:top w:w="90" w:type="dxa"/>
              <w:start w:w="100" w:type="dxa"/>
              <w:bottom w:w="90" w:type="dxa"/>
              <w:end w:w="100" w:type="dxa"/>
            </w:tcMar>
            <w:vAlign w:val="top"/>
          </w:tcPr>
          <w:p>
            <w:r>
              <w:rPr>
                <w:rFonts w:ascii="Liberation Sans" w:hAnsi="Liberation Sans"/>
                <w:color w:val="171A3A"/>
                <w:sz w:val="16"/>
              </w:rPr>
              <w:t>Edge log + primary DeepStream counter + independent verifier</w:t>
            </w:r>
          </w:p>
        </w:tc>
      </w:tr>
      <w:tr>
        <w:trPr>
          <w:cantSplit/>
        </w:trPr>
        <w:tc>
          <w:tcPr>
            <w:tcW w:type="dxa" w:w="2592"/>
            <w:tcMar>
              <w:top w:w="90" w:type="dxa"/>
              <w:start w:w="100" w:type="dxa"/>
              <w:bottom w:w="90" w:type="dxa"/>
              <w:end w:w="100" w:type="dxa"/>
            </w:tcMar>
            <w:vAlign w:val="top"/>
            <w:shd w:fill="F8F9FC"/>
          </w:tcPr>
          <w:p>
            <w:r>
              <w:rPr>
                <w:rFonts w:ascii="Liberation Sans" w:hAnsi="Liberation Sans"/>
                <w:color w:val="171A3A"/>
                <w:sz w:val="16"/>
              </w:rPr>
              <w:t>Fast finalization</w:t>
            </w:r>
          </w:p>
        </w:tc>
        <w:tc>
          <w:tcPr>
            <w:tcW w:type="dxa" w:w="6696"/>
            <w:tcMar>
              <w:top w:w="90" w:type="dxa"/>
              <w:start w:w="100" w:type="dxa"/>
              <w:bottom w:w="90" w:type="dxa"/>
              <w:end w:w="100" w:type="dxa"/>
            </w:tcMar>
            <w:vAlign w:val="top"/>
            <w:shd w:fill="F8F9FC"/>
          </w:tcPr>
          <w:p>
            <w:r>
              <w:rPr>
                <w:rFonts w:ascii="Liberation Sans" w:hAnsi="Liberation Sans"/>
                <w:color w:val="171A3A"/>
                <w:sz w:val="16"/>
              </w:rPr>
              <w:t>2 matching signatures; 10-minute challenge window</w:t>
            </w:r>
          </w:p>
        </w:tc>
      </w:tr>
      <w:tr>
        <w:trPr>
          <w:cantSplit/>
        </w:trPr>
        <w:tc>
          <w:tcPr>
            <w:tcW w:type="dxa" w:w="2592"/>
            <w:tcMar>
              <w:top w:w="90" w:type="dxa"/>
              <w:start w:w="100" w:type="dxa"/>
              <w:bottom w:w="90" w:type="dxa"/>
              <w:end w:w="100" w:type="dxa"/>
            </w:tcMar>
            <w:vAlign w:val="top"/>
          </w:tcPr>
          <w:p>
            <w:r>
              <w:rPr>
                <w:rFonts w:ascii="Liberation Sans" w:hAnsi="Liberation Sans"/>
                <w:color w:val="171A3A"/>
                <w:sz w:val="16"/>
              </w:rPr>
              <w:t>Invalid conditions</w:t>
            </w:r>
          </w:p>
        </w:tc>
        <w:tc>
          <w:tcPr>
            <w:tcW w:type="dxa" w:w="6696"/>
            <w:tcMar>
              <w:top w:w="90" w:type="dxa"/>
              <w:start w:w="100" w:type="dxa"/>
              <w:bottom w:w="90" w:type="dxa"/>
              <w:end w:w="100" w:type="dxa"/>
            </w:tcMar>
            <w:vAlign w:val="top"/>
          </w:tcPr>
          <w:p>
            <w:r>
              <w:rPr>
                <w:rFonts w:ascii="Liberation Sans" w:hAnsi="Liberation Sans"/>
                <w:color w:val="171A3A"/>
                <w:sz w:val="16"/>
              </w:rPr>
              <w:t>Uptime failure, visibility failure, timestamp mismatch, evidence failure or observer divergence</w:t>
            </w:r>
          </w:p>
        </w:tc>
      </w:tr>
      <w:tr>
        <w:trPr>
          <w:cantSplit/>
        </w:trPr>
        <w:tc>
          <w:tcPr>
            <w:tcW w:type="dxa" w:w="2592"/>
            <w:tcMar>
              <w:top w:w="90" w:type="dxa"/>
              <w:start w:w="100" w:type="dxa"/>
              <w:bottom w:w="90" w:type="dxa"/>
              <w:end w:w="100" w:type="dxa"/>
            </w:tcMar>
            <w:vAlign w:val="top"/>
            <w:shd w:fill="F8F9FC"/>
          </w:tcPr>
          <w:p>
            <w:r>
              <w:rPr>
                <w:rFonts w:ascii="Liberation Sans" w:hAnsi="Liberation Sans"/>
                <w:color w:val="171A3A"/>
                <w:sz w:val="16"/>
              </w:rPr>
              <w:t>Evidence</w:t>
            </w:r>
          </w:p>
        </w:tc>
        <w:tc>
          <w:tcPr>
            <w:tcW w:type="dxa" w:w="6696"/>
            <w:tcMar>
              <w:top w:w="90" w:type="dxa"/>
              <w:start w:w="100" w:type="dxa"/>
              <w:bottom w:w="90" w:type="dxa"/>
              <w:end w:w="100" w:type="dxa"/>
            </w:tcMar>
            <w:vAlign w:val="top"/>
            <w:shd w:fill="F8F9FC"/>
          </w:tcPr>
          <w:p>
            <w:r>
              <w:rPr>
                <w:rFonts w:ascii="Liberation Sans" w:hAnsi="Liberation Sans"/>
                <w:color w:val="171A3A"/>
                <w:sz w:val="16"/>
              </w:rPr>
              <w:t>Encrypted anonymized replay, aggregate events, model versions and on-chain evidence root</w:t>
            </w:r>
          </w:p>
        </w:tc>
      </w:tr>
    </w:tbl>
    <w:p>
      <w:pPr>
        <w:spacing w:after="0"/>
      </w:pPr>
    </w:p>
    <w:p>
      <w:pPr>
        <w:pStyle w:val="Heading1"/>
        <w:keepNext/>
        <w:pageBreakBefore/>
      </w:pPr>
      <w:r>
        <w:rPr>
          <w:rFonts w:ascii="Liberation Sans" w:hAnsi="Liberation Sans"/>
        </w:rPr>
        <w:t>Appendix B — Research references</w:t>
      </w:r>
    </w:p>
    <w:p>
      <w:pPr>
        <w:spacing w:after="100"/>
      </w:pPr>
      <w:r>
        <w:rPr>
          <w:rFonts w:ascii="Liberation Sans" w:hAnsi="Liberation Sans"/>
          <w:b/>
          <w:color w:val="6C5CE7"/>
          <w:sz w:val="18"/>
        </w:rPr>
        <w:t xml:space="preserve">[1] </w:t>
      </w:r>
      <w:hyperlink r:id="rId13">
        <w:r>
          <w:rPr>
            <w:color w:val="4F46E5"/>
            <w:u w:val="single"/>
            <w:rFonts w:ascii="Liberation Sans" w:hAnsi="Liberation Sans"/>
          </w:rPr>
          <w:t>Base — Request for Builders: Funding the Future of Global Finance</w:t>
        </w:r>
      </w:hyperlink>
    </w:p>
    <w:p>
      <w:pPr>
        <w:spacing w:after="100"/>
      </w:pPr>
      <w:r>
        <w:rPr>
          <w:rFonts w:ascii="Liberation Sans" w:hAnsi="Liberation Sans"/>
          <w:b/>
          <w:color w:val="6C5CE7"/>
          <w:sz w:val="18"/>
        </w:rPr>
        <w:t xml:space="preserve">[2] </w:t>
      </w:r>
      <w:hyperlink r:id="rId14">
        <w:r>
          <w:rPr>
            <w:color w:val="4F46E5"/>
            <w:u w:val="single"/>
            <w:rFonts w:ascii="Liberation Sans" w:hAnsi="Liberation Sans"/>
          </w:rPr>
          <w:t>Base Account overview</w:t>
        </w:r>
      </w:hyperlink>
    </w:p>
    <w:p>
      <w:pPr>
        <w:spacing w:after="100"/>
      </w:pPr>
      <w:r>
        <w:rPr>
          <w:rFonts w:ascii="Liberation Sans" w:hAnsi="Liberation Sans"/>
          <w:b/>
          <w:color w:val="6C5CE7"/>
          <w:sz w:val="18"/>
        </w:rPr>
        <w:t xml:space="preserve">[3] </w:t>
      </w:r>
      <w:hyperlink r:id="rId15">
        <w:r>
          <w:rPr>
            <w:color w:val="4F46E5"/>
            <w:u w:val="single"/>
            <w:rFonts w:ascii="Liberation Sans" w:hAnsi="Liberation Sans"/>
          </w:rPr>
          <w:t>Base — Sponsor gas with paymasters</w:t>
        </w:r>
      </w:hyperlink>
    </w:p>
    <w:p>
      <w:pPr>
        <w:spacing w:after="100"/>
      </w:pPr>
      <w:r>
        <w:rPr>
          <w:rFonts w:ascii="Liberation Sans" w:hAnsi="Liberation Sans"/>
          <w:b/>
          <w:color w:val="6C5CE7"/>
          <w:sz w:val="18"/>
        </w:rPr>
        <w:t xml:space="preserve">[4] </w:t>
      </w:r>
      <w:hyperlink r:id="rId16">
        <w:r>
          <w:rPr>
            <w:color w:val="4F46E5"/>
            <w:u w:val="single"/>
            <w:rFonts w:ascii="Liberation Sans" w:hAnsi="Liberation Sans"/>
          </w:rPr>
          <w:t>Polymarket — Trading overview and hybrid CLOB</w:t>
        </w:r>
      </w:hyperlink>
    </w:p>
    <w:p>
      <w:pPr>
        <w:spacing w:after="100"/>
      </w:pPr>
      <w:r>
        <w:rPr>
          <w:rFonts w:ascii="Liberation Sans" w:hAnsi="Liberation Sans"/>
          <w:b/>
          <w:color w:val="6C5CE7"/>
          <w:sz w:val="18"/>
        </w:rPr>
        <w:t xml:space="preserve">[5] </w:t>
      </w:r>
      <w:hyperlink r:id="rId17">
        <w:r>
          <w:rPr>
            <w:color w:val="4F46E5"/>
            <w:u w:val="single"/>
            <w:rFonts w:ascii="Liberation Sans" w:hAnsi="Liberation Sans"/>
          </w:rPr>
          <w:t>UMA — Supported network information and monitoring guidance</w:t>
        </w:r>
      </w:hyperlink>
    </w:p>
    <w:p>
      <w:pPr>
        <w:spacing w:after="100"/>
      </w:pPr>
      <w:r>
        <w:rPr>
          <w:rFonts w:ascii="Liberation Sans" w:hAnsi="Liberation Sans"/>
          <w:b/>
          <w:color w:val="6C5CE7"/>
          <w:sz w:val="18"/>
        </w:rPr>
        <w:t xml:space="preserve">[6] </w:t>
      </w:r>
      <w:hyperlink r:id="rId18">
        <w:r>
          <w:rPr>
            <w:color w:val="4F46E5"/>
            <w:u w:val="single"/>
            <w:rFonts w:ascii="Liberation Sans" w:hAnsi="Liberation Sans"/>
          </w:rPr>
          <w:t>UMA — Optimistic Oracle v3 documentation</w:t>
        </w:r>
      </w:hyperlink>
    </w:p>
    <w:p>
      <w:pPr>
        <w:spacing w:after="100"/>
      </w:pPr>
      <w:r>
        <w:rPr>
          <w:rFonts w:ascii="Liberation Sans" w:hAnsi="Liberation Sans"/>
          <w:b/>
          <w:color w:val="6C5CE7"/>
          <w:sz w:val="18"/>
        </w:rPr>
        <w:t xml:space="preserve">[7] </w:t>
      </w:r>
      <w:hyperlink r:id="rId19">
        <w:r>
          <w:rPr>
            <w:color w:val="4F46E5"/>
            <w:u w:val="single"/>
            <w:rFonts w:ascii="Liberation Sans" w:hAnsi="Liberation Sans"/>
          </w:rPr>
          <w:t>Robinhood — Robinhood Chain mainnet announcement, 1 July 2026</w:t>
        </w:r>
      </w:hyperlink>
    </w:p>
    <w:p>
      <w:pPr>
        <w:spacing w:after="100"/>
      </w:pPr>
      <w:r>
        <w:rPr>
          <w:rFonts w:ascii="Liberation Sans" w:hAnsi="Liberation Sans"/>
          <w:b/>
          <w:color w:val="6C5CE7"/>
          <w:sz w:val="18"/>
        </w:rPr>
        <w:t xml:space="preserve">[8] </w:t>
      </w:r>
      <w:hyperlink r:id="rId20">
        <w:r>
          <w:rPr>
            <w:color w:val="4F46E5"/>
            <w:u w:val="single"/>
            <w:rFonts w:ascii="Liberation Sans" w:hAnsi="Liberation Sans"/>
          </w:rPr>
          <w:t>Robinhood — Chain testnet and 2026 Open House commitment</w:t>
        </w:r>
      </w:hyperlink>
    </w:p>
    <w:p>
      <w:pPr>
        <w:spacing w:after="100"/>
      </w:pPr>
      <w:r>
        <w:rPr>
          <w:rFonts w:ascii="Liberation Sans" w:hAnsi="Liberation Sans"/>
          <w:b/>
          <w:color w:val="6C5CE7"/>
          <w:sz w:val="18"/>
        </w:rPr>
        <w:t xml:space="preserve">[9] </w:t>
      </w:r>
      <w:hyperlink r:id="rId21">
        <w:r>
          <w:rPr>
            <w:color w:val="4F46E5"/>
            <w:u w:val="single"/>
            <w:rFonts w:ascii="Liberation Sans" w:hAnsi="Liberation Sans"/>
          </w:rPr>
          <w:t>NVIDIA — DeepStream reference application and multi-stream inputs</w:t>
        </w:r>
      </w:hyperlink>
    </w:p>
    <w:p>
      <w:pPr>
        <w:spacing w:after="100"/>
      </w:pPr>
      <w:r>
        <w:rPr>
          <w:rFonts w:ascii="Liberation Sans" w:hAnsi="Liberation Sans"/>
          <w:b/>
          <w:color w:val="6C5CE7"/>
          <w:sz w:val="18"/>
        </w:rPr>
        <w:t xml:space="preserve">[10] </w:t>
      </w:r>
      <w:hyperlink r:id="rId22">
        <w:r>
          <w:rPr>
            <w:color w:val="4F46E5"/>
            <w:u w:val="single"/>
            <w:rFonts w:ascii="Liberation Sans" w:hAnsi="Liberation Sans"/>
          </w:rPr>
          <w:t>LiveKit — Ingress overview</w:t>
        </w:r>
      </w:hyperlink>
    </w:p>
    <w:p>
      <w:pPr>
        <w:spacing w:after="100"/>
      </w:pPr>
      <w:r>
        <w:rPr>
          <w:rFonts w:ascii="Liberation Sans" w:hAnsi="Liberation Sans"/>
          <w:b/>
          <w:color w:val="6C5CE7"/>
          <w:sz w:val="18"/>
        </w:rPr>
        <w:t xml:space="preserve">[11] </w:t>
      </w:r>
      <w:hyperlink r:id="rId23">
        <w:r>
          <w:rPr>
            <w:color w:val="4F46E5"/>
            <w:u w:val="single"/>
            <w:rFonts w:ascii="Liberation Sans" w:hAnsi="Liberation Sans"/>
          </w:rPr>
          <w:t>NATS — JetStream consumers</w:t>
        </w:r>
      </w:hyperlink>
    </w:p>
    <w:p>
      <w:pPr>
        <w:spacing w:after="100"/>
      </w:pPr>
      <w:r>
        <w:rPr>
          <w:rFonts w:ascii="Liberation Sans" w:hAnsi="Liberation Sans"/>
          <w:b/>
          <w:color w:val="6C5CE7"/>
          <w:sz w:val="18"/>
        </w:rPr>
        <w:t xml:space="preserve">[12] </w:t>
      </w:r>
      <w:hyperlink r:id="rId24">
        <w:r>
          <w:rPr>
            <w:color w:val="4F46E5"/>
            <w:u w:val="single"/>
            <w:rFonts w:ascii="Liberation Sans" w:hAnsi="Liberation Sans"/>
          </w:rPr>
          <w:t>Tiger Data/Timescale — Hypertables</w:t>
        </w:r>
      </w:hyperlink>
    </w:p>
    <w:p>
      <w:pPr>
        <w:spacing w:after="100"/>
      </w:pPr>
      <w:r>
        <w:rPr>
          <w:rFonts w:ascii="Liberation Sans" w:hAnsi="Liberation Sans"/>
          <w:b/>
          <w:color w:val="6C5CE7"/>
          <w:sz w:val="18"/>
        </w:rPr>
        <w:t xml:space="preserve">[13] </w:t>
      </w:r>
      <w:hyperlink r:id="rId25">
        <w:r>
          <w:rPr>
            <w:color w:val="4F46E5"/>
            <w:u w:val="single"/>
            <w:rFonts w:ascii="Liberation Sans" w:hAnsi="Liberation Sans"/>
          </w:rPr>
          <w:t>OpenZeppelin — Access control and security utilities</w:t>
        </w:r>
      </w:hyperlink>
    </w:p>
    <w:p>
      <w:pPr>
        <w:spacing w:after="100"/>
      </w:pPr>
      <w:r>
        <w:rPr>
          <w:rFonts w:ascii="Liberation Sans" w:hAnsi="Liberation Sans"/>
          <w:b/>
          <w:color w:val="6C5CE7"/>
          <w:sz w:val="18"/>
        </w:rPr>
        <w:t xml:space="preserve">[14] </w:t>
      </w:r>
      <w:hyperlink r:id="rId26">
        <w:r>
          <w:rPr>
            <w:color w:val="4F46E5"/>
            <w:u w:val="single"/>
            <w:rFonts w:ascii="Liberation Sans" w:hAnsi="Liberation Sans"/>
          </w:rPr>
          <w:t>Safe — Smart account and multisignature documentation</w:t>
        </w:r>
      </w:hyperlink>
    </w:p>
    <w:p>
      <w:pPr>
        <w:spacing w:after="100"/>
      </w:pPr>
      <w:r>
        <w:rPr>
          <w:rFonts w:ascii="Liberation Sans" w:hAnsi="Liberation Sans"/>
          <w:b/>
          <w:color w:val="6C5CE7"/>
          <w:sz w:val="18"/>
        </w:rPr>
        <w:t xml:space="preserve">[15] </w:t>
      </w:r>
      <w:hyperlink r:id="rId27">
        <w:r>
          <w:rPr>
            <w:color w:val="4F46E5"/>
            <w:u w:val="single"/>
            <w:rFonts w:ascii="Liberation Sans" w:hAnsi="Liberation Sans"/>
          </w:rPr>
          <w:t>Government of India, MeitY — Digital Personal Data Protection Act, 2023</w:t>
        </w:r>
      </w:hyperlink>
    </w:p>
    <w:p>
      <w:pPr>
        <w:spacing w:after="100"/>
      </w:pPr>
      <w:r>
        <w:rPr>
          <w:rFonts w:ascii="Liberation Sans" w:hAnsi="Liberation Sans"/>
          <w:b/>
          <w:color w:val="6C5CE7"/>
          <w:sz w:val="18"/>
        </w:rPr>
        <w:t xml:space="preserve">[16] </w:t>
      </w:r>
      <w:hyperlink r:id="rId28">
        <w:r>
          <w:rPr>
            <w:color w:val="4F46E5"/>
            <w:u w:val="single"/>
            <w:rFonts w:ascii="Liberation Sans" w:hAnsi="Liberation Sans"/>
          </w:rPr>
          <w:t>Government of India, MeitY — Digital Personal Data Protection Rules, 2025</w:t>
        </w:r>
      </w:hyperlink>
    </w:p>
    <w:p>
      <w:pPr>
        <w:spacing w:after="100"/>
      </w:pPr>
      <w:r>
        <w:rPr>
          <w:rFonts w:ascii="Liberation Sans" w:hAnsi="Liberation Sans"/>
          <w:b/>
          <w:color w:val="6C5CE7"/>
          <w:sz w:val="18"/>
        </w:rPr>
        <w:t xml:space="preserve">[17] </w:t>
      </w:r>
      <w:hyperlink r:id="rId29">
        <w:r>
          <w:rPr>
            <w:color w:val="4F46E5"/>
            <w:u w:val="single"/>
            <w:rFonts w:ascii="Liberation Sans" w:hAnsi="Liberation Sans"/>
          </w:rPr>
          <w:t>India Code — Promotion and Regulation of Online Gaming Act, 2025</w:t>
        </w:r>
      </w:hyperlink>
    </w:p>
    <w:p>
      <w:pPr>
        <w:spacing w:after="100"/>
      </w:pPr>
      <w:r>
        <w:rPr>
          <w:rFonts w:ascii="Liberation Sans" w:hAnsi="Liberation Sans"/>
          <w:b/>
          <w:i w:val="0"/>
          <w:color w:val="6C5CE7"/>
          <w:sz w:val="18"/>
        </w:rPr>
        <w:t xml:space="preserve">[18] </w:t>
      </w:r>
      <w:hyperlink r:id="rId30">
        <w:r>
          <w:rPr>
            <w:color w:val="4F46E5"/>
            <w:u w:val="single"/>
            <w:rFonts w:ascii="Liberation Sans" w:hAnsi="Liberation Sans"/>
            <w:sz w:val="18"/>
          </w:rPr>
          <w:t>155.io — Official site, Rush Hour launch timeline and operator partnerships</w:t>
        </w:r>
      </w:hyperlink>
    </w:p>
    <w:p>
      <w:pPr>
        <w:spacing w:after="100"/>
      </w:pPr>
      <w:r>
        <w:rPr>
          <w:rFonts w:ascii="Liberation Sans" w:hAnsi="Liberation Sans"/>
          <w:b/>
          <w:i w:val="0"/>
          <w:color w:val="6C5CE7"/>
          <w:sz w:val="18"/>
        </w:rPr>
        <w:t xml:space="preserve">[19] </w:t>
      </w:r>
      <w:hyperlink r:id="rId31">
        <w:r>
          <w:rPr>
            <w:color w:val="4F46E5"/>
            <w:u w:val="single"/>
            <w:rFonts w:ascii="Liberation Sans" w:hAnsi="Liberation Sans"/>
            <w:sz w:val="18"/>
          </w:rPr>
          <w:t>Twitch — Channel Points Predictions</w:t>
        </w:r>
      </w:hyperlink>
    </w:p>
    <w:sectPr w:rsidR="00FC693F" w:rsidRPr="0006063C" w:rsidSect="00034616">
      <w:headerReference w:type="default" r:id="rId9"/>
      <w:footerReference w:type="default" r:id="rId10"/>
      <w:pgSz w:w="11909" w:h="16834"/>
      <w:pgMar w:top="1008" w:right="1037" w:bottom="936" w:left="103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576" w:val="right"/>
      </w:tabs>
      <w:jc w:val="left"/>
    </w:pPr>
    <w:r>
      <w:rPr>
        <w:rFonts w:ascii="Liberation Sans" w:hAnsi="Liberation Sans"/>
        <w:sz w:val="15"/>
      </w:rPr>
      <w:t>Working strategy • Updated 19 July 2026</w:t>
    </w:r>
    <w:r>
      <w:tab/>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3" w:color="D8DCE8"/>
      </w:pBdr>
    </w:pPr>
    <w:r>
      <w:rPr>
        <w:rFonts w:ascii="Liberation Sans" w:hAnsi="Liberation Sans"/>
        <w:b/>
        <w:color w:val="667085"/>
        <w:sz w:val="15"/>
      </w:rPr>
      <w:t>SCRY  /  PRODUCT &amp; TECHNICAL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Liberation Sans" w:hAnsi="Liberation Sans"/>
      <w:color w:val="171A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Liberation Sans" w:hAnsi="Liberation Sans"/>
      <w:b/>
      <w:bCs/>
      <w:color w:val="171A3A"/>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Liberation Sans" w:hAnsi="Liberation Sans"/>
      <w:b/>
      <w:bCs/>
      <w:color w:val="6C5CE7"/>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b/>
      <w:bCs/>
      <w:color w:val="00AFC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Liberation Sans" w:hAnsi="Liberation Sans"/>
      <w:b/>
      <w:color w:val="171A3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Liberation Sans" w:hAnsi="Liberation Sans"/>
      <w:b w:val="0"/>
      <w:i/>
      <w:iCs/>
      <w:color w:val="667085"/>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sz w:val="20"/>
    </w:rPr>
  </w:style>
  <w:style w:type="paragraph" w:styleId="ListBullet2">
    <w:name w:val="List Bullet 2"/>
    <w:basedOn w:val="Normal"/>
    <w:uiPriority w:val="99"/>
    <w:unhideWhenUsed/>
    <w:rsid w:val="00326F90"/>
    <w:pPr>
      <w:numPr>
        <w:numId w:val="2"/>
      </w:numPr>
      <w:contextualSpacing/>
    </w:pPr>
    <w:rPr>
      <w:rFonts w:ascii="Liberation Sans" w:hAnsi="Liberation San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sz w:val="20"/>
    </w:rPr>
  </w:style>
  <w:style w:type="paragraph" w:styleId="ListNumber2">
    <w:name w:val="List Number 2"/>
    <w:basedOn w:val="Normal"/>
    <w:uiPriority w:val="99"/>
    <w:unhideWhenUsed/>
    <w:rsid w:val="0029639D"/>
    <w:pPr>
      <w:numPr>
        <w:numId w:val="6"/>
      </w:numPr>
      <w:contextualSpacing/>
    </w:pPr>
    <w:rPr>
      <w:rFonts w:ascii="Liberation Sans" w:hAnsi="Liberation Sans"/>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blog.base.org/request-for-builders-1" TargetMode="External"/><Relationship Id="rId14" Type="http://schemas.openxmlformats.org/officeDocument/2006/relationships/hyperlink" Target="https://docs.base.org/base-account/overview/what-is-base-account" TargetMode="External"/><Relationship Id="rId15" Type="http://schemas.openxmlformats.org/officeDocument/2006/relationships/hyperlink" Target="https://docs.base.org/base-account/improve-ux/sponsor-gas/paymasters" TargetMode="External"/><Relationship Id="rId16" Type="http://schemas.openxmlformats.org/officeDocument/2006/relationships/hyperlink" Target="https://docs.polymarket.com/trading/overview" TargetMode="External"/><Relationship Id="rId17" Type="http://schemas.openxmlformats.org/officeDocument/2006/relationships/hyperlink" Target="https://docs.uma.xyz/resources/network-addresses" TargetMode="External"/><Relationship Id="rId18" Type="http://schemas.openxmlformats.org/officeDocument/2006/relationships/hyperlink" Target="https://docs.uma.xyz/developers/optimistic-oracle-v3" TargetMode="External"/><Relationship Id="rId19" Type="http://schemas.openxmlformats.org/officeDocument/2006/relationships/hyperlink" Target="https://robinhood.com/us/en/newsroom/robinhood-accelerates-global-expansion-robinhood-chain-mainnet-stock-tokens-agentic-trading/" TargetMode="External"/><Relationship Id="rId20" Type="http://schemas.openxmlformats.org/officeDocument/2006/relationships/hyperlink" Target="https://robinhood.com/us/en/newsroom/robinhood-chain-launches-public-testnet/" TargetMode="External"/><Relationship Id="rId21" Type="http://schemas.openxmlformats.org/officeDocument/2006/relationships/hyperlink" Target="https://docs.nvidia.com/metropolis/deepstream/dev-guide/text/DS_ref_app_deepstream.html" TargetMode="External"/><Relationship Id="rId22" Type="http://schemas.openxmlformats.org/officeDocument/2006/relationships/hyperlink" Target="https://docs.livekit.io/transport/media/ingress-egress/" TargetMode="External"/><Relationship Id="rId23" Type="http://schemas.openxmlformats.org/officeDocument/2006/relationships/hyperlink" Target="https://docs.nats.io/nats-concepts/jetstream/consumers" TargetMode="External"/><Relationship Id="rId24" Type="http://schemas.openxmlformats.org/officeDocument/2006/relationships/hyperlink" Target="https://www.tigerdata.com/docs/reference/timescaledb/hypertables" TargetMode="External"/><Relationship Id="rId25" Type="http://schemas.openxmlformats.org/officeDocument/2006/relationships/hyperlink" Target="https://docs.openzeppelin.com/contracts/5.x/api/access" TargetMode="External"/><Relationship Id="rId26" Type="http://schemas.openxmlformats.org/officeDocument/2006/relationships/hyperlink" Target="https://docs.safe.global/advanced/smart-account-overview" TargetMode="External"/><Relationship Id="rId27" Type="http://schemas.openxmlformats.org/officeDocument/2006/relationships/hyperlink" Target="https://www.meity.gov.in/static/uploads/2024/06/2bf1f0e9f04e6fb4f8fef35e82c42aa5.pdf" TargetMode="External"/><Relationship Id="rId28" Type="http://schemas.openxmlformats.org/officeDocument/2006/relationships/hyperlink" Target="https://www.meity.gov.in/static/uploads/2025/11/53450e6e5dc0bfa85ebd78686cadad39.pdf" TargetMode="External"/><Relationship Id="rId29" Type="http://schemas.openxmlformats.org/officeDocument/2006/relationships/hyperlink" Target="https://upload.indiacode.nic.in/view-casepdf?id=AC_CEN_45_0_00004_2025-32_1778133559220&amp;type=act" TargetMode="External"/><Relationship Id="rId30" Type="http://schemas.openxmlformats.org/officeDocument/2006/relationships/hyperlink" Target="https://155.io/" TargetMode="External"/><Relationship Id="rId31" Type="http://schemas.openxmlformats.org/officeDocument/2006/relationships/hyperlink" Target="https://help.twitch.tv/s/article/channel-points-predi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Scry — Product and Technical Strategy</dc:title>
  <dc:subject>Execution-ready strategy for a multi-stream live prediction network on Base</dc:subject>
  <dc:creator>python-docx</dc:creator>
  <cp:keywords>Scry, prediction markets, live video, computer vision, Base, Proof of Observation, AI agents</cp:keywords>
  <dc:description>Final polished edition updated with direct competitor analysis and launch differentiation.</dc:description>
  <cp:lastModifiedBy/>
  <cp:revision>1</cp:revision>
  <dcterms:created xsi:type="dcterms:W3CDTF">2013-12-23T23:15:00Z</dcterms:created>
  <dcterms:modified xsi:type="dcterms:W3CDTF">2013-12-23T23:15:00Z</dcterms:modified>
  <cp:category/>
</cp:coreProperties>
</file>