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 — design do combate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 (sem MCP)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ou gdUnit4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na Fase 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Verificar uso comercial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v0.1 aguardando aprovação: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com licença comercial clara; guardar comprovantes e prompts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(ferramenta a escolher)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Codex CLI 0.156.1 via tools/gen_image.ps1 (a ponte MCP 0.114 é incompatível com os modelos da conta)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Detalhar a história de O Coração de Éter: protagonista, grupo principal, antagonista e estrutura em atos.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Criar o Guia de Estilo: paleta fixa, tamanhos de sprite, prompt-base steampunk.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Escrever o GDD do combate híbrido (fórmulas, fila CTB, janelas de timing).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input map e framework de testes; iniciar a Fase 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Escolher a ferramenta de IA de áudio.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2026-09-25T01:33:38.797Z</dcterms:created>
  <dcterms:modified xsi:type="dcterms:W3CDTF">2026-09-25T01:33:38.798Z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