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 — decisões fundamentais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— Pré-produção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Em planejamento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 (sem MCP)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ou gdUnit4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na Fase 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Múltiplos finais (opcional).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~32×48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Proposta: Kael, Eco, Lyra, Brann, Mira, Selene, Isolde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Verificar uso comercial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Rascunho v0.1: docs/Historia_O_Coracao_de_Eter.docx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Fórmulas de dano, turnos CTB, timing, status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com licença comercial clara; guardar comprovantes e prompts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(ferramenta a escolher)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Codex CLI 0.156.1 via tools/gen_image.ps1 (a ponte MCP 0.114 é incompatível com os modelos da conta)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Detalhar a história de O Coração de Éter: protagonista, grupo principal, antagonista e estrutura em atos.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Criar o Guia de Estilo: paleta fixa, tamanhos de sprite, prompt-base steampunk.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Escrever o GDD do combate híbrido (fórmulas, fila CTB, janelas de timing).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Configurar input map e framework de testes; iniciar a Fase 1.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Escolher a ferramenta de IA de áudio.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2026-09-25T01:02:05.031Z</dcterms:created>
  <dcterms:modified xsi:type="dcterms:W3CDTF">2026-09-25T01:02:05.032Z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