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 —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— Pré-produção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Em planejamento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 (sem MCP)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ou gdUnit4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na Fase 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Verificar uso comercial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v0.1 aguardando aprovação: docs/Guia_de_Estilo.docx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Fórmulas de dano, turnos CTB, timing, status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Validar a sensação do sistema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H-06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com licença comercial clara; guardar comprovantes e prompts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(ferramenta a escolher)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Codex CLI 0.156.1 via tools/gen_image.ps1 (a ponte MCP 0.114 é incompatível com os modelos da conta)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Detalhar a história de O Coração de Éter: protagonista, grupo principal, antagonista e estrutura em atos.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Criar o Guia de Estilo: paleta fixa, tamanhos de sprite, prompt-base steampunk.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Escrever o GDD do combate híbrido (fórmulas, fila CTB, janelas de timing).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Configurar input map e framework de testes; iniciar a Fase 1.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Escolher a ferramenta de IA de áudio.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2026-09-25T01:26:46.651Z</dcterms:created>
  <dcterms:modified xsi:type="dcterms:W3CDTF">2026-09-25T01:26:46.651Z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