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4"/>
          <w:szCs w:val="64"/>
        </w:rPr>
        <w:t xml:space="preserve">PROJETO RPG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0.2 — decisões fundamentais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Fase 0 — Pré-produção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 planejamento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Clique com o botão direito no sumário e escolha "Atualizar campo" para gerar/atualizar os números de página.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tools\codex-cli, via tools\gen_image.ps1 (sem MCP)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GUT ou gdUnit4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na Fase 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Múltiplos finais (opcional).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~32×48 px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40+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v0.2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Verificar uso comercial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Fórmulas de dano, turnos CTB, timing, status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Validar a sensação do sistema híbrido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ferramenta com licença comercial clara; guardar comprovantes e prompts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IA (ferramenta a escolher)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 CLI 0.156.1 via tools/gen_image.ps1 (a ponte MCP 0.114 é incompatível com os modelos da conta)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Detalhar a história de O Coração de Éter: protagonista, grupo principal, antagonista e estrutura em atos.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Criar o Guia de Estilo: paleta fixa, tamanhos de sprite, prompt-base steampunk.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Escrever o GDD do combate híbrido (fórmulas, fila CTB, janelas de timing).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Configurar input map e framework de testes; iniciar a Fase 1.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Escolher a ferramenta de IA de áudio.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2026-09-25T00:51:46.025Z</dcterms:created>
  <dcterms:modified xsi:type="dcterms:W3CDTF">2026-09-25T00:51:46.026Z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