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9B35C7" w14:textId="4CE1CD65" w:rsidR="00726DD8" w:rsidRDefault="00705857" w:rsidP="00705857">
      <w:pPr>
        <w:jc w:val="center"/>
        <w:rPr>
          <w:b/>
          <w:u w:val="single"/>
        </w:rPr>
      </w:pPr>
      <w:r w:rsidRPr="00705857">
        <w:rPr>
          <w:b/>
          <w:u w:val="single"/>
        </w:rPr>
        <w:t xml:space="preserve">Concise Critical </w:t>
      </w:r>
      <w:r w:rsidR="004855EA">
        <w:rPr>
          <w:b/>
          <w:u w:val="single"/>
        </w:rPr>
        <w:t xml:space="preserve">Notes: </w:t>
      </w:r>
      <w:r w:rsidRPr="00705857">
        <w:rPr>
          <w:b/>
          <w:u w:val="single"/>
        </w:rPr>
        <w:t xml:space="preserve"> </w:t>
      </w:r>
      <w:r w:rsidR="00BE0C15">
        <w:rPr>
          <w:b/>
          <w:u w:val="single"/>
        </w:rPr>
        <w:t>Articles and papers</w:t>
      </w:r>
    </w:p>
    <w:tbl>
      <w:tblPr>
        <w:tblStyle w:val="Tablaconcuadrcula"/>
        <w:tblW w:w="0" w:type="auto"/>
        <w:tblLook w:val="04A0" w:firstRow="1" w:lastRow="0" w:firstColumn="1" w:lastColumn="0" w:noHBand="0" w:noVBand="1"/>
      </w:tblPr>
      <w:tblGrid>
        <w:gridCol w:w="2235"/>
        <w:gridCol w:w="3503"/>
        <w:gridCol w:w="1752"/>
        <w:gridCol w:w="1752"/>
      </w:tblGrid>
      <w:tr w:rsidR="00705857" w14:paraId="269B35CA" w14:textId="77777777" w:rsidTr="00705857">
        <w:tc>
          <w:tcPr>
            <w:tcW w:w="2235" w:type="dxa"/>
            <w:tcMar>
              <w:top w:w="85" w:type="dxa"/>
              <w:bottom w:w="85" w:type="dxa"/>
            </w:tcMar>
          </w:tcPr>
          <w:p w14:paraId="269B35C8" w14:textId="6815F6FA" w:rsidR="00705857" w:rsidRDefault="00705857" w:rsidP="00705857">
            <w:r>
              <w:t>Name of author</w:t>
            </w:r>
            <w:r w:rsidR="00BE0C15">
              <w:t>(s)</w:t>
            </w:r>
          </w:p>
        </w:tc>
        <w:tc>
          <w:tcPr>
            <w:tcW w:w="7007" w:type="dxa"/>
            <w:gridSpan w:val="3"/>
            <w:tcMar>
              <w:top w:w="85" w:type="dxa"/>
              <w:bottom w:w="85" w:type="dxa"/>
            </w:tcMar>
          </w:tcPr>
          <w:p w14:paraId="269B35C9" w14:textId="5B2BFB33" w:rsidR="00705857" w:rsidRDefault="00A10949" w:rsidP="00705857">
            <w:r>
              <w:t xml:space="preserve">Jacob T. </w:t>
            </w:r>
            <w:proofErr w:type="spellStart"/>
            <w:r>
              <w:t>Biehl</w:t>
            </w:r>
            <w:proofErr w:type="spellEnd"/>
            <w:r>
              <w:t xml:space="preserve"> and Brian P. Bailey</w:t>
            </w:r>
          </w:p>
        </w:tc>
      </w:tr>
      <w:tr w:rsidR="00705857" w14:paraId="269B35CD" w14:textId="77777777" w:rsidTr="00705857">
        <w:tc>
          <w:tcPr>
            <w:tcW w:w="2235" w:type="dxa"/>
            <w:tcMar>
              <w:top w:w="85" w:type="dxa"/>
              <w:bottom w:w="85" w:type="dxa"/>
            </w:tcMar>
          </w:tcPr>
          <w:p w14:paraId="269B35CB" w14:textId="28A1D9BB" w:rsidR="00705857" w:rsidRDefault="00705857" w:rsidP="00BE0C15">
            <w:r>
              <w:t xml:space="preserve">Full title of </w:t>
            </w:r>
            <w:r w:rsidR="00BE0C15">
              <w:t>article</w:t>
            </w:r>
          </w:p>
        </w:tc>
        <w:tc>
          <w:tcPr>
            <w:tcW w:w="7007" w:type="dxa"/>
            <w:gridSpan w:val="3"/>
            <w:tcMar>
              <w:top w:w="85" w:type="dxa"/>
              <w:bottom w:w="85" w:type="dxa"/>
            </w:tcMar>
          </w:tcPr>
          <w:p w14:paraId="46A297CD" w14:textId="77777777" w:rsidR="00551220" w:rsidRDefault="00551220" w:rsidP="00551220">
            <w:r>
              <w:t>Improving Scalability and Awareness in Iconic Interfaces</w:t>
            </w:r>
          </w:p>
          <w:p w14:paraId="269B35CC" w14:textId="66A66D16" w:rsidR="00705857" w:rsidRDefault="00551220" w:rsidP="00551220">
            <w:r>
              <w:t>for Multiple-Device Environments</w:t>
            </w:r>
          </w:p>
        </w:tc>
      </w:tr>
      <w:tr w:rsidR="00BE0C15" w14:paraId="269B35D6" w14:textId="77777777" w:rsidTr="00AA7F2D">
        <w:tc>
          <w:tcPr>
            <w:tcW w:w="2235" w:type="dxa"/>
            <w:tcMar>
              <w:top w:w="85" w:type="dxa"/>
              <w:bottom w:w="85" w:type="dxa"/>
            </w:tcMar>
          </w:tcPr>
          <w:p w14:paraId="269B35D4" w14:textId="77777777" w:rsidR="00BE0C15" w:rsidRDefault="00BE0C15" w:rsidP="00705857">
            <w:r>
              <w:t>Year published</w:t>
            </w:r>
          </w:p>
        </w:tc>
        <w:tc>
          <w:tcPr>
            <w:tcW w:w="3503" w:type="dxa"/>
            <w:tcMar>
              <w:top w:w="85" w:type="dxa"/>
              <w:bottom w:w="85" w:type="dxa"/>
            </w:tcMar>
          </w:tcPr>
          <w:p w14:paraId="4BC1797F" w14:textId="771FAF55" w:rsidR="00BE0C15" w:rsidRDefault="00551220" w:rsidP="00B41FFA">
            <w:pPr>
              <w:jc w:val="center"/>
            </w:pPr>
            <w:r>
              <w:rPr>
                <w:rFonts w:ascii="Verdana" w:hAnsi="Verdana"/>
                <w:color w:val="000000"/>
                <w:sz w:val="20"/>
                <w:szCs w:val="20"/>
                <w:shd w:val="clear" w:color="auto" w:fill="FFFFFF"/>
              </w:rPr>
              <w:t>2006 </w:t>
            </w:r>
          </w:p>
        </w:tc>
        <w:tc>
          <w:tcPr>
            <w:tcW w:w="1752" w:type="dxa"/>
          </w:tcPr>
          <w:p w14:paraId="1B82F567" w14:textId="7C7FE803" w:rsidR="00BE0C15" w:rsidRDefault="00BE0C15" w:rsidP="00B41FFA">
            <w:pPr>
              <w:jc w:val="center"/>
            </w:pPr>
            <w:r>
              <w:t>Month</w:t>
            </w:r>
          </w:p>
        </w:tc>
        <w:tc>
          <w:tcPr>
            <w:tcW w:w="1752" w:type="dxa"/>
          </w:tcPr>
          <w:p w14:paraId="269B35D5" w14:textId="7C703149" w:rsidR="00BE0C15" w:rsidRDefault="00551220" w:rsidP="00B41FFA">
            <w:pPr>
              <w:jc w:val="center"/>
            </w:pPr>
            <w:r>
              <w:rPr>
                <w:rFonts w:ascii="Verdana" w:hAnsi="Verdana"/>
                <w:color w:val="000000"/>
                <w:sz w:val="20"/>
                <w:szCs w:val="20"/>
                <w:shd w:val="clear" w:color="auto" w:fill="FFFFFF"/>
              </w:rPr>
              <w:t>May 23</w:t>
            </w:r>
          </w:p>
        </w:tc>
      </w:tr>
      <w:tr w:rsidR="00BE0C15" w14:paraId="269B35D9" w14:textId="77777777" w:rsidTr="00091815">
        <w:tc>
          <w:tcPr>
            <w:tcW w:w="2235" w:type="dxa"/>
            <w:tcBorders>
              <w:bottom w:val="single" w:sz="4" w:space="0" w:color="auto"/>
            </w:tcBorders>
            <w:tcMar>
              <w:top w:w="85" w:type="dxa"/>
              <w:bottom w:w="85" w:type="dxa"/>
            </w:tcMar>
          </w:tcPr>
          <w:p w14:paraId="269B35D7" w14:textId="7C22AAAA" w:rsidR="00BE0C15" w:rsidRDefault="00BE0C15" w:rsidP="00705857">
            <w:r>
              <w:t>Volume number</w:t>
            </w:r>
          </w:p>
        </w:tc>
        <w:tc>
          <w:tcPr>
            <w:tcW w:w="3503" w:type="dxa"/>
            <w:tcBorders>
              <w:bottom w:val="single" w:sz="4" w:space="0" w:color="auto"/>
            </w:tcBorders>
            <w:tcMar>
              <w:top w:w="85" w:type="dxa"/>
              <w:bottom w:w="85" w:type="dxa"/>
            </w:tcMar>
          </w:tcPr>
          <w:p w14:paraId="2CCA48EA" w14:textId="15964CCA" w:rsidR="00BE0C15" w:rsidRDefault="00551220" w:rsidP="00B41FFA">
            <w:pPr>
              <w:jc w:val="center"/>
            </w:pPr>
            <w:r>
              <w:t>1</w:t>
            </w:r>
          </w:p>
        </w:tc>
        <w:tc>
          <w:tcPr>
            <w:tcW w:w="1752" w:type="dxa"/>
            <w:tcBorders>
              <w:bottom w:val="single" w:sz="4" w:space="0" w:color="auto"/>
            </w:tcBorders>
          </w:tcPr>
          <w:p w14:paraId="30CEBB66" w14:textId="4EB91D7A" w:rsidR="00BE0C15" w:rsidRDefault="00BE0C15" w:rsidP="00B41FFA">
            <w:pPr>
              <w:jc w:val="center"/>
            </w:pPr>
            <w:r>
              <w:t>Issue number</w:t>
            </w:r>
          </w:p>
        </w:tc>
        <w:tc>
          <w:tcPr>
            <w:tcW w:w="1752" w:type="dxa"/>
            <w:tcBorders>
              <w:bottom w:val="single" w:sz="4" w:space="0" w:color="auto"/>
            </w:tcBorders>
          </w:tcPr>
          <w:p w14:paraId="269B35D8" w14:textId="420C8D11" w:rsidR="00BE0C15" w:rsidRDefault="00551220" w:rsidP="00B41FFA">
            <w:pPr>
              <w:jc w:val="center"/>
            </w:pPr>
            <w:r>
              <w:t>1</w:t>
            </w:r>
          </w:p>
        </w:tc>
      </w:tr>
      <w:tr w:rsidR="005927A1" w14:paraId="269B35DB" w14:textId="77777777" w:rsidTr="005927A1">
        <w:trPr>
          <w:trHeight w:val="107"/>
        </w:trPr>
        <w:tc>
          <w:tcPr>
            <w:tcW w:w="9242" w:type="dxa"/>
            <w:gridSpan w:val="4"/>
            <w:shd w:val="clear" w:color="auto" w:fill="D9D9D9" w:themeFill="background1" w:themeFillShade="D9"/>
            <w:tcMar>
              <w:top w:w="0" w:type="dxa"/>
              <w:bottom w:w="0" w:type="dxa"/>
            </w:tcMar>
          </w:tcPr>
          <w:p w14:paraId="269B35DA" w14:textId="77777777" w:rsidR="005927A1" w:rsidRDefault="005927A1" w:rsidP="00B41FFA">
            <w:pPr>
              <w:jc w:val="center"/>
            </w:pPr>
          </w:p>
        </w:tc>
      </w:tr>
      <w:tr w:rsidR="00BE0C15" w:rsidRPr="007521FA" w14:paraId="269B35DE" w14:textId="77777777" w:rsidTr="00BE0C15">
        <w:trPr>
          <w:trHeight w:val="1178"/>
        </w:trPr>
        <w:tc>
          <w:tcPr>
            <w:tcW w:w="2235" w:type="dxa"/>
            <w:tcMar>
              <w:top w:w="85" w:type="dxa"/>
              <w:bottom w:w="85" w:type="dxa"/>
            </w:tcMar>
          </w:tcPr>
          <w:p w14:paraId="269B35DC" w14:textId="681BB201" w:rsidR="00BE0C15" w:rsidRDefault="00BE0C15" w:rsidP="00BE0C15">
            <w:r>
              <w:t>Hypothesis: What is the paper setting out to prove? Are research hypotheses supported?</w:t>
            </w:r>
          </w:p>
        </w:tc>
        <w:tc>
          <w:tcPr>
            <w:tcW w:w="7007" w:type="dxa"/>
            <w:gridSpan w:val="3"/>
            <w:tcBorders>
              <w:bottom w:val="nil"/>
            </w:tcBorders>
            <w:tcMar>
              <w:top w:w="85" w:type="dxa"/>
              <w:bottom w:w="85" w:type="dxa"/>
            </w:tcMar>
          </w:tcPr>
          <w:p w14:paraId="269B35DD" w14:textId="1E9E43C0" w:rsidR="00BE0C15" w:rsidRPr="007521FA" w:rsidRDefault="007521FA" w:rsidP="007521FA">
            <w:pPr>
              <w:rPr>
                <w:lang w:val="en-US"/>
              </w:rPr>
            </w:pPr>
            <w:r>
              <w:br/>
            </w:r>
            <w:r>
              <w:rPr>
                <w:rFonts w:ascii="Arial" w:hAnsi="Arial" w:cs="Arial"/>
                <w:color w:val="212121"/>
                <w:shd w:val="clear" w:color="auto" w:fill="FFFFFF"/>
              </w:rPr>
              <w:t xml:space="preserve">The author states that there is no system to solve complex design problems where users can exchange design </w:t>
            </w:r>
            <w:proofErr w:type="spellStart"/>
            <w:r>
              <w:rPr>
                <w:rFonts w:ascii="Arial" w:hAnsi="Arial" w:cs="Arial"/>
                <w:color w:val="212121"/>
                <w:shd w:val="clear" w:color="auto" w:fill="FFFFFF"/>
              </w:rPr>
              <w:t>artifacts</w:t>
            </w:r>
            <w:proofErr w:type="spellEnd"/>
            <w:r>
              <w:rPr>
                <w:rFonts w:ascii="Arial" w:hAnsi="Arial" w:cs="Arial"/>
                <w:color w:val="212121"/>
                <w:shd w:val="clear" w:color="auto" w:fill="FFFFFF"/>
              </w:rPr>
              <w:t xml:space="preserve"> between personal devices, propagation </w:t>
            </w:r>
            <w:proofErr w:type="spellStart"/>
            <w:r>
              <w:rPr>
                <w:rFonts w:ascii="Arial" w:hAnsi="Arial" w:cs="Arial"/>
                <w:color w:val="212121"/>
                <w:shd w:val="clear" w:color="auto" w:fill="FFFFFF"/>
              </w:rPr>
              <w:t>artifacts</w:t>
            </w:r>
            <w:proofErr w:type="spellEnd"/>
            <w:r>
              <w:rPr>
                <w:rFonts w:ascii="Arial" w:hAnsi="Arial" w:cs="Arial"/>
                <w:color w:val="212121"/>
                <w:shd w:val="clear" w:color="auto" w:fill="FFFFFF"/>
              </w:rPr>
              <w:t xml:space="preserve"> on shared screens for later review and comparison, and generate new ideas together.</w:t>
            </w:r>
            <w:r>
              <w:t xml:space="preserve"> </w:t>
            </w:r>
            <w:r>
              <w:br/>
            </w:r>
            <w:r>
              <w:rPr>
                <w:rFonts w:ascii="Arial" w:hAnsi="Arial" w:cs="Arial"/>
                <w:color w:val="212121"/>
                <w:shd w:val="clear" w:color="auto" w:fill="FFFFFF"/>
              </w:rPr>
              <w:t>the authors have compared similar systems that have failed or not completed</w:t>
            </w:r>
            <w:r>
              <w:rPr>
                <w:rFonts w:ascii="Arial" w:hAnsi="Arial" w:cs="Arial"/>
                <w:color w:val="212121"/>
                <w:shd w:val="clear" w:color="auto" w:fill="FFFFFF"/>
              </w:rPr>
              <w:t>.</w:t>
            </w:r>
          </w:p>
        </w:tc>
      </w:tr>
      <w:tr w:rsidR="00BE0C15" w:rsidRPr="007521FA" w14:paraId="269B35E1" w14:textId="77777777" w:rsidTr="003D2CDE">
        <w:trPr>
          <w:trHeight w:val="1178"/>
        </w:trPr>
        <w:tc>
          <w:tcPr>
            <w:tcW w:w="2235" w:type="dxa"/>
            <w:tcMar>
              <w:top w:w="85" w:type="dxa"/>
              <w:bottom w:w="85" w:type="dxa"/>
            </w:tcMar>
          </w:tcPr>
          <w:p w14:paraId="269B35DF" w14:textId="2CB0C6E5" w:rsidR="00BE0C15" w:rsidRPr="007521FA" w:rsidRDefault="00BE0C15" w:rsidP="00BE0C15">
            <w:pPr>
              <w:rPr>
                <w:lang w:val="en-US"/>
              </w:rPr>
            </w:pPr>
            <w:r w:rsidRPr="007521FA">
              <w:rPr>
                <w:lang w:val="en-US"/>
              </w:rPr>
              <w:t>What is the theoretical position underlying the research? Type of theory?</w:t>
            </w:r>
          </w:p>
        </w:tc>
        <w:tc>
          <w:tcPr>
            <w:tcW w:w="7007" w:type="dxa"/>
            <w:gridSpan w:val="3"/>
            <w:tcMar>
              <w:top w:w="85" w:type="dxa"/>
              <w:bottom w:w="85" w:type="dxa"/>
            </w:tcMar>
          </w:tcPr>
          <w:p w14:paraId="269B35E0" w14:textId="557024CE" w:rsidR="00BE0C15" w:rsidRPr="007521FA" w:rsidRDefault="007521FA" w:rsidP="00BE0C15">
            <w:pPr>
              <w:rPr>
                <w:lang w:val="en-US"/>
              </w:rPr>
            </w:pPr>
            <w:r>
              <w:rPr>
                <w:rFonts w:ascii="Arial" w:hAnsi="Arial" w:cs="Arial"/>
                <w:color w:val="212121"/>
                <w:shd w:val="clear" w:color="auto" w:fill="FFFFFF"/>
              </w:rPr>
              <w:t>The aim is to create a multi-device environment. Which is claimed would greatly help the simultaneous work of several devices and people in a local environment. The article explains that the whole system is based on research that managed to affirm that this benefits a lot as well as the correct way is developed.</w:t>
            </w:r>
          </w:p>
        </w:tc>
      </w:tr>
      <w:tr w:rsidR="00BE0C15" w14:paraId="269B35E4" w14:textId="77777777" w:rsidTr="003D2CDE">
        <w:trPr>
          <w:trHeight w:val="1178"/>
        </w:trPr>
        <w:tc>
          <w:tcPr>
            <w:tcW w:w="2235" w:type="dxa"/>
            <w:tcMar>
              <w:top w:w="85" w:type="dxa"/>
              <w:bottom w:w="85" w:type="dxa"/>
            </w:tcMar>
          </w:tcPr>
          <w:p w14:paraId="269B35E2" w14:textId="290AEE1F" w:rsidR="00BE0C15" w:rsidRDefault="00BE0C15" w:rsidP="00BE0C15">
            <w:proofErr w:type="spellStart"/>
            <w:r w:rsidRPr="007521FA">
              <w:rPr>
                <w:lang w:val="es-MX"/>
              </w:rPr>
              <w:t>What</w:t>
            </w:r>
            <w:proofErr w:type="spellEnd"/>
            <w:r w:rsidRPr="007521FA">
              <w:rPr>
                <w:lang w:val="es-MX"/>
              </w:rPr>
              <w:t xml:space="preserve"> </w:t>
            </w:r>
            <w:proofErr w:type="spellStart"/>
            <w:r w:rsidRPr="007521FA">
              <w:rPr>
                <w:lang w:val="es-MX"/>
              </w:rPr>
              <w:t>is</w:t>
            </w:r>
            <w:proofErr w:type="spellEnd"/>
            <w:r w:rsidRPr="007521FA">
              <w:rPr>
                <w:lang w:val="es-MX"/>
              </w:rPr>
              <w:t xml:space="preserve"> </w:t>
            </w:r>
            <w:proofErr w:type="spellStart"/>
            <w:r w:rsidRPr="007521FA">
              <w:rPr>
                <w:lang w:val="es-MX"/>
              </w:rPr>
              <w:t>the</w:t>
            </w:r>
            <w:proofErr w:type="spellEnd"/>
            <w:r w:rsidRPr="007521FA">
              <w:rPr>
                <w:lang w:val="es-MX"/>
              </w:rPr>
              <w:t xml:space="preserve"> </w:t>
            </w:r>
            <w:proofErr w:type="spellStart"/>
            <w:r w:rsidRPr="007521FA">
              <w:rPr>
                <w:lang w:val="es-MX"/>
              </w:rPr>
              <w:t>key</w:t>
            </w:r>
            <w:proofErr w:type="spellEnd"/>
            <w:r w:rsidRPr="007521FA">
              <w:rPr>
                <w:lang w:val="es-MX"/>
              </w:rPr>
              <w:t xml:space="preserve"> </w:t>
            </w:r>
            <w:proofErr w:type="spellStart"/>
            <w:r w:rsidRPr="007521FA">
              <w:rPr>
                <w:lang w:val="es-MX"/>
              </w:rPr>
              <w:t>lit</w:t>
            </w:r>
            <w:r>
              <w:t>erature</w:t>
            </w:r>
            <w:proofErr w:type="spellEnd"/>
            <w:r>
              <w:t xml:space="preserve"> used as background to the article or paper?</w:t>
            </w:r>
          </w:p>
        </w:tc>
        <w:tc>
          <w:tcPr>
            <w:tcW w:w="7007" w:type="dxa"/>
            <w:gridSpan w:val="3"/>
            <w:tcMar>
              <w:top w:w="85" w:type="dxa"/>
              <w:bottom w:w="85" w:type="dxa"/>
            </w:tcMar>
          </w:tcPr>
          <w:p w14:paraId="2D9AE36B" w14:textId="77777777" w:rsidR="007521FA" w:rsidRDefault="007521FA" w:rsidP="00BE0C15">
            <w:proofErr w:type="spellStart"/>
            <w:r>
              <w:t>Bederson</w:t>
            </w:r>
            <w:proofErr w:type="spellEnd"/>
            <w:r>
              <w:t xml:space="preserve">, B.B., J. </w:t>
            </w:r>
            <w:proofErr w:type="spellStart"/>
            <w:r>
              <w:t>Grosjean</w:t>
            </w:r>
            <w:proofErr w:type="spellEnd"/>
            <w:r>
              <w:t xml:space="preserve"> and J. Meyer. Toolkit Design for Interactive Structured Graphics. IEEE Transactions on Software Engineering, 30 (8), 535-546, 2004.</w:t>
            </w:r>
          </w:p>
          <w:p w14:paraId="43CA0843" w14:textId="77777777" w:rsidR="007521FA" w:rsidRDefault="007521FA" w:rsidP="00BE0C15">
            <w:r>
              <w:t xml:space="preserve"> [2] </w:t>
            </w:r>
            <w:proofErr w:type="spellStart"/>
            <w:r>
              <w:t>Biehl</w:t>
            </w:r>
            <w:proofErr w:type="spellEnd"/>
            <w:r>
              <w:t xml:space="preserve">, J.T. and B.P. Bailey. ARIS: An Interface for Application Relocation in an Interactive Space. Proceedings of Graphics Interface, 2004, 107-116. [3] </w:t>
            </w:r>
            <w:proofErr w:type="spellStart"/>
            <w:r>
              <w:t>Biehl</w:t>
            </w:r>
            <w:proofErr w:type="spellEnd"/>
            <w:r>
              <w:t xml:space="preserve">, J.T. and B.P. Bailey. A Toolset for Constructing and Supporting Iconic Interfaces for Interactive Workspaces. Proc. INTERACT, 2005, 699-712. </w:t>
            </w:r>
          </w:p>
          <w:p w14:paraId="33152341" w14:textId="77777777" w:rsidR="007521FA" w:rsidRDefault="007521FA" w:rsidP="00BE0C15">
            <w:r>
              <w:t xml:space="preserve">[4] Chang, B. and D. </w:t>
            </w:r>
            <w:proofErr w:type="spellStart"/>
            <w:r>
              <w:t>Ungar</w:t>
            </w:r>
            <w:proofErr w:type="spellEnd"/>
            <w:r>
              <w:t xml:space="preserve">. Animation: From Cartoons to the User Interface. UIST, 1993, 45-55. </w:t>
            </w:r>
          </w:p>
          <w:p w14:paraId="269B35E3" w14:textId="38ABD4F2" w:rsidR="00BE0C15" w:rsidRDefault="007521FA" w:rsidP="00BE0C15">
            <w:r>
              <w:t xml:space="preserve">[5] </w:t>
            </w:r>
            <w:proofErr w:type="spellStart"/>
            <w:r>
              <w:t>Endsley</w:t>
            </w:r>
            <w:proofErr w:type="spellEnd"/>
            <w:r>
              <w:t xml:space="preserve">, M.R. Direct Measurement of Situation Awareness: Validity and Use of SAGAT. in </w:t>
            </w:r>
            <w:proofErr w:type="spellStart"/>
            <w:r>
              <w:t>Endsley</w:t>
            </w:r>
            <w:proofErr w:type="spellEnd"/>
            <w:r>
              <w:t>, M.R. and Garland, D.J. eds. Situation Awareness Analysis and Measurement, Lawrence Erlbaum Associates, Mahwah, NJ, 2000, 147-174.</w:t>
            </w:r>
          </w:p>
        </w:tc>
      </w:tr>
      <w:tr w:rsidR="00BE0C15" w:rsidRPr="00CA76B8" w14:paraId="269B35E7" w14:textId="77777777" w:rsidTr="003D2CDE">
        <w:trPr>
          <w:trHeight w:val="1178"/>
        </w:trPr>
        <w:tc>
          <w:tcPr>
            <w:tcW w:w="2235" w:type="dxa"/>
            <w:tcMar>
              <w:top w:w="85" w:type="dxa"/>
              <w:bottom w:w="85" w:type="dxa"/>
            </w:tcMar>
          </w:tcPr>
          <w:p w14:paraId="269B35E5" w14:textId="76F3C26F" w:rsidR="00BE0C15" w:rsidRDefault="00BE0C15" w:rsidP="00BE0C15">
            <w:r>
              <w:t>Which research methods are used?</w:t>
            </w:r>
          </w:p>
        </w:tc>
        <w:tc>
          <w:tcPr>
            <w:tcW w:w="7007" w:type="dxa"/>
            <w:gridSpan w:val="3"/>
            <w:tcMar>
              <w:top w:w="85" w:type="dxa"/>
              <w:bottom w:w="85" w:type="dxa"/>
            </w:tcMar>
          </w:tcPr>
          <w:p w14:paraId="230259AA" w14:textId="1C849DED" w:rsidR="00BE0C15" w:rsidRPr="00B116B3" w:rsidRDefault="00CA76B8" w:rsidP="00BE0C15">
            <w:pPr>
              <w:rPr>
                <w:rFonts w:cstheme="minorHAnsi"/>
                <w:color w:val="212121"/>
                <w:shd w:val="clear" w:color="auto" w:fill="FFFFFF"/>
              </w:rPr>
            </w:pPr>
            <w:r w:rsidRPr="00B116B3">
              <w:rPr>
                <w:rFonts w:ascii="Arial" w:hAnsi="Arial" w:cs="Arial"/>
              </w:rPr>
              <w:br/>
            </w:r>
            <w:r w:rsidRPr="00B116B3">
              <w:rPr>
                <w:rFonts w:cstheme="minorHAnsi"/>
                <w:color w:val="212121"/>
                <w:shd w:val="clear" w:color="auto" w:fill="FFFFFF"/>
              </w:rPr>
              <w:t>They have done repetitive tests buying the use that people have with the system also the way to behave and work faster with their p</w:t>
            </w:r>
            <w:r w:rsidR="00B116B3" w:rsidRPr="00B116B3">
              <w:rPr>
                <w:rFonts w:cstheme="minorHAnsi"/>
                <w:color w:val="212121"/>
                <w:shd w:val="clear" w:color="auto" w:fill="FFFFFF"/>
              </w:rPr>
              <w:t>eers and the available devices.</w:t>
            </w:r>
          </w:p>
          <w:p w14:paraId="451A67D8" w14:textId="77777777" w:rsidR="00CA76B8" w:rsidRPr="00B116B3" w:rsidRDefault="00CA76B8" w:rsidP="00BE0C15">
            <w:pPr>
              <w:rPr>
                <w:rFonts w:cstheme="minorHAnsi"/>
                <w:color w:val="212121"/>
                <w:shd w:val="clear" w:color="auto" w:fill="FFFFFF"/>
              </w:rPr>
            </w:pPr>
          </w:p>
          <w:p w14:paraId="269B35E6" w14:textId="036AAF99" w:rsidR="00CA76B8" w:rsidRPr="00CA76B8" w:rsidRDefault="00CA76B8" w:rsidP="00BE0C15">
            <w:pPr>
              <w:rPr>
                <w:lang w:val="en-US"/>
              </w:rPr>
            </w:pPr>
            <w:r w:rsidRPr="00B116B3">
              <w:rPr>
                <w:rFonts w:cstheme="minorHAnsi"/>
              </w:rPr>
              <w:t>When a user arrived, the activities were explained, the first interface was demonstrated, and the user practiced using it. The user performed the organizing activity in the low clutter condition (4 applications, 1 per screen) and then performed a similar activity in the high clutter condition (11 applications, 2-4 per screen). The user was asked to perform the activities as quickly as possible. Upon completion, the user filled out a questionnaire. This process was repeated for the second interface, using a counter-balanced order.</w:t>
            </w:r>
            <w:r w:rsidRPr="00B116B3">
              <w:rPr>
                <w:rFonts w:ascii="Arial" w:hAnsi="Arial" w:cs="Arial"/>
              </w:rPr>
              <w:t xml:space="preserve"> Camta</w:t>
            </w:r>
            <w:bookmarkStart w:id="0" w:name="_GoBack"/>
            <w:bookmarkEnd w:id="0"/>
            <w:r w:rsidRPr="00B116B3">
              <w:rPr>
                <w:rFonts w:ascii="Arial" w:hAnsi="Arial" w:cs="Arial"/>
              </w:rPr>
              <w:t xml:space="preserve">sia was used to record a user’s on-screen </w:t>
            </w:r>
            <w:r w:rsidRPr="00B116B3">
              <w:rPr>
                <w:rFonts w:ascii="Arial" w:hAnsi="Arial" w:cs="Arial"/>
              </w:rPr>
              <w:lastRenderedPageBreak/>
              <w:t>interaction</w:t>
            </w:r>
            <w:r>
              <w:t>.</w:t>
            </w:r>
          </w:p>
        </w:tc>
      </w:tr>
      <w:tr w:rsidR="00BE0C15" w:rsidRPr="00CA76B8" w14:paraId="269B35EA" w14:textId="77777777" w:rsidTr="003D2CDE">
        <w:trPr>
          <w:trHeight w:val="1178"/>
        </w:trPr>
        <w:tc>
          <w:tcPr>
            <w:tcW w:w="2235" w:type="dxa"/>
            <w:tcMar>
              <w:top w:w="85" w:type="dxa"/>
              <w:bottom w:w="85" w:type="dxa"/>
            </w:tcMar>
          </w:tcPr>
          <w:p w14:paraId="269B35E8" w14:textId="52CFD83A" w:rsidR="00BE0C15" w:rsidRDefault="00BE0C15" w:rsidP="00BE0C15">
            <w:r>
              <w:lastRenderedPageBreak/>
              <w:t>What kind of sample is used?</w:t>
            </w:r>
          </w:p>
        </w:tc>
        <w:tc>
          <w:tcPr>
            <w:tcW w:w="7007" w:type="dxa"/>
            <w:gridSpan w:val="3"/>
            <w:tcMar>
              <w:top w:w="85" w:type="dxa"/>
              <w:bottom w:w="85" w:type="dxa"/>
            </w:tcMar>
          </w:tcPr>
          <w:p w14:paraId="269B35E9" w14:textId="08B78A71" w:rsidR="00BE0C15" w:rsidRPr="00CA76B8" w:rsidRDefault="00CA76B8" w:rsidP="00BE0C15">
            <w:pPr>
              <w:rPr>
                <w:lang w:val="en-US"/>
              </w:rPr>
            </w:pPr>
            <w:r>
              <w:br/>
            </w:r>
            <w:r>
              <w:rPr>
                <w:rFonts w:ascii="Arial" w:hAnsi="Arial" w:cs="Arial"/>
                <w:color w:val="212121"/>
                <w:shd w:val="clear" w:color="auto" w:fill="FFFFFF"/>
              </w:rPr>
              <w:t>He gives the example that it is impossible for a user to move quickly between the available devices and share the information of these with their colleagues as well as share ideas quickly.</w:t>
            </w:r>
          </w:p>
        </w:tc>
      </w:tr>
      <w:tr w:rsidR="00BE0C15" w14:paraId="269B35ED" w14:textId="77777777" w:rsidTr="003D2CDE">
        <w:trPr>
          <w:trHeight w:val="1178"/>
        </w:trPr>
        <w:tc>
          <w:tcPr>
            <w:tcW w:w="2235" w:type="dxa"/>
            <w:tcMar>
              <w:top w:w="85" w:type="dxa"/>
              <w:bottom w:w="85" w:type="dxa"/>
            </w:tcMar>
          </w:tcPr>
          <w:p w14:paraId="269B35EB" w14:textId="402429ED" w:rsidR="00BE0C15" w:rsidRDefault="00BE0C15" w:rsidP="00BE0C15">
            <w:r>
              <w:t>Key results</w:t>
            </w:r>
          </w:p>
        </w:tc>
        <w:tc>
          <w:tcPr>
            <w:tcW w:w="7007" w:type="dxa"/>
            <w:gridSpan w:val="3"/>
            <w:tcMar>
              <w:top w:w="85" w:type="dxa"/>
              <w:bottom w:w="85" w:type="dxa"/>
            </w:tcMar>
          </w:tcPr>
          <w:p w14:paraId="706FC049" w14:textId="77777777" w:rsidR="00CA76B8" w:rsidRDefault="00CA76B8" w:rsidP="00CA76B8">
            <w:r>
              <w:t>Existing implementations of iconic interfaces scale poorly for</w:t>
            </w:r>
          </w:p>
          <w:p w14:paraId="0A30A377" w14:textId="77777777" w:rsidR="00CA76B8" w:rsidRDefault="00CA76B8" w:rsidP="00CA76B8">
            <w:r>
              <w:t>large numbers of applications and do not allow users to maintain</w:t>
            </w:r>
          </w:p>
          <w:p w14:paraId="06FBB1EC" w14:textId="77777777" w:rsidR="00CA76B8" w:rsidRDefault="00CA76B8" w:rsidP="00CA76B8">
            <w:r>
              <w:t>adequate awareness of the workspace. This paper demonstrated</w:t>
            </w:r>
          </w:p>
          <w:p w14:paraId="00E56C3A" w14:textId="77777777" w:rsidR="00CA76B8" w:rsidRDefault="00CA76B8" w:rsidP="00CA76B8">
            <w:r>
              <w:t>how zooming and animation-based interactions could be used to</w:t>
            </w:r>
          </w:p>
          <w:p w14:paraId="7C75971A" w14:textId="77777777" w:rsidR="00CA76B8" w:rsidRDefault="00CA76B8" w:rsidP="00CA76B8">
            <w:r>
              <w:t>improve scalability and how application icons and portal views</w:t>
            </w:r>
          </w:p>
          <w:p w14:paraId="269B35EC" w14:textId="4632BCD4" w:rsidR="00BE0C15" w:rsidRDefault="00CA76B8" w:rsidP="00CA76B8">
            <w:r>
              <w:t>with real-time updates could be used to enhance awareness.</w:t>
            </w:r>
          </w:p>
        </w:tc>
      </w:tr>
      <w:tr w:rsidR="00BE0C15" w14:paraId="269B35F0" w14:textId="77777777" w:rsidTr="003D2CDE">
        <w:trPr>
          <w:trHeight w:val="1178"/>
        </w:trPr>
        <w:tc>
          <w:tcPr>
            <w:tcW w:w="2235" w:type="dxa"/>
            <w:tcMar>
              <w:top w:w="85" w:type="dxa"/>
              <w:bottom w:w="85" w:type="dxa"/>
            </w:tcMar>
          </w:tcPr>
          <w:p w14:paraId="269B35EE" w14:textId="53D436AE" w:rsidR="00BE0C15" w:rsidRDefault="00BE0C15" w:rsidP="00BE0C15">
            <w:r w:rsidRPr="003349FF">
              <w:t>Key conclusions or recommendations</w:t>
            </w:r>
          </w:p>
        </w:tc>
        <w:tc>
          <w:tcPr>
            <w:tcW w:w="7007" w:type="dxa"/>
            <w:gridSpan w:val="3"/>
            <w:tcMar>
              <w:top w:w="85" w:type="dxa"/>
              <w:bottom w:w="85" w:type="dxa"/>
            </w:tcMar>
          </w:tcPr>
          <w:p w14:paraId="470B5127" w14:textId="77777777" w:rsidR="00CA76B8" w:rsidRDefault="00CA76B8" w:rsidP="00CA76B8">
            <w:r>
              <w:t>Results from a user study confirmed the improved efficacy of</w:t>
            </w:r>
          </w:p>
          <w:p w14:paraId="18351A37" w14:textId="77777777" w:rsidR="00CA76B8" w:rsidRDefault="00CA76B8" w:rsidP="00CA76B8">
            <w:r>
              <w:t>these techniques. These interaction techniques can be used to</w:t>
            </w:r>
          </w:p>
          <w:p w14:paraId="269B35EF" w14:textId="483B69AD" w:rsidR="00BE0C15" w:rsidRDefault="00CA76B8" w:rsidP="00CA76B8">
            <w:r>
              <w:t>improve the broader class of iconic and portal-based interfaces.</w:t>
            </w:r>
          </w:p>
        </w:tc>
      </w:tr>
      <w:tr w:rsidR="000E3946" w14:paraId="2D4C80D4" w14:textId="77777777" w:rsidTr="00295276">
        <w:trPr>
          <w:trHeight w:val="6031"/>
        </w:trPr>
        <w:tc>
          <w:tcPr>
            <w:tcW w:w="2235" w:type="dxa"/>
            <w:tcMar>
              <w:top w:w="85" w:type="dxa"/>
              <w:bottom w:w="85" w:type="dxa"/>
            </w:tcMar>
          </w:tcPr>
          <w:p w14:paraId="106A4893" w14:textId="77777777" w:rsidR="000E3946" w:rsidRDefault="000E3946" w:rsidP="00295276">
            <w:pPr>
              <w:rPr>
                <w:b/>
              </w:rPr>
            </w:pPr>
            <w:r>
              <w:rPr>
                <w:b/>
              </w:rPr>
              <w:t>Strengths of the research</w:t>
            </w:r>
          </w:p>
          <w:p w14:paraId="586EEB45" w14:textId="77777777" w:rsidR="000E3946" w:rsidRDefault="000E3946" w:rsidP="00295276">
            <w:pPr>
              <w:rPr>
                <w:b/>
              </w:rPr>
            </w:pPr>
          </w:p>
          <w:p w14:paraId="324494ED" w14:textId="77777777" w:rsidR="000E3946" w:rsidRDefault="000E3946" w:rsidP="00295276">
            <w:r w:rsidRPr="00494DCB">
              <w:t>- How does it advance our understanding</w:t>
            </w:r>
            <w:r>
              <w:t xml:space="preserve"> of the subject or how to research it?</w:t>
            </w:r>
          </w:p>
          <w:p w14:paraId="0C12204B" w14:textId="77777777" w:rsidR="000E3946" w:rsidRDefault="000E3946" w:rsidP="00295276">
            <w:r>
              <w:t>- Are there appropriate hypotheses, methods to test the hypotheses, sample sizes or types, controls for variables, recommendations?</w:t>
            </w:r>
          </w:p>
          <w:p w14:paraId="2E6D88B5" w14:textId="77777777" w:rsidR="000E3946" w:rsidRPr="00494DCB" w:rsidRDefault="000E3946" w:rsidP="00295276">
            <w:r>
              <w:t>- Considerations of ethics?</w:t>
            </w:r>
          </w:p>
        </w:tc>
        <w:tc>
          <w:tcPr>
            <w:tcW w:w="7007" w:type="dxa"/>
            <w:gridSpan w:val="3"/>
            <w:tcMar>
              <w:top w:w="85" w:type="dxa"/>
              <w:bottom w:w="85" w:type="dxa"/>
            </w:tcMar>
          </w:tcPr>
          <w:p w14:paraId="0727B209" w14:textId="77777777" w:rsidR="000E3946" w:rsidRPr="00B116B3" w:rsidRDefault="00B116B3" w:rsidP="00295276">
            <w:pPr>
              <w:rPr>
                <w:rFonts w:cstheme="minorHAnsi"/>
              </w:rPr>
            </w:pPr>
            <w:r w:rsidRPr="00B116B3">
              <w:rPr>
                <w:rFonts w:cstheme="minorHAnsi"/>
              </w:rPr>
              <w:t>Overall, the empirical results confirm that our new interaction techniques have made significant strides towards meeting our goals of improving scalability and enhancing awareness. These techniques advance the use of iconic interfaces for managing applications in MDEs.</w:t>
            </w:r>
          </w:p>
          <w:p w14:paraId="3526AC98" w14:textId="77777777" w:rsidR="00B116B3" w:rsidRPr="00B116B3" w:rsidRDefault="00B116B3" w:rsidP="00295276">
            <w:pPr>
              <w:rPr>
                <w:rFonts w:cstheme="minorHAnsi"/>
              </w:rPr>
            </w:pPr>
          </w:p>
          <w:p w14:paraId="3B2248B8" w14:textId="344A1644" w:rsidR="00B116B3" w:rsidRDefault="00B116B3" w:rsidP="00295276">
            <w:r w:rsidRPr="00B116B3">
              <w:rPr>
                <w:rFonts w:cstheme="minorHAnsi"/>
              </w:rPr>
              <w:br/>
            </w:r>
            <w:r w:rsidRPr="00B116B3">
              <w:rPr>
                <w:rFonts w:cstheme="minorHAnsi"/>
                <w:color w:val="212121"/>
                <w:shd w:val="clear" w:color="auto" w:fill="FFFFFF"/>
              </w:rPr>
              <w:t>T</w:t>
            </w:r>
            <w:r w:rsidRPr="00B116B3">
              <w:rPr>
                <w:rFonts w:cstheme="minorHAnsi"/>
                <w:color w:val="212121"/>
                <w:shd w:val="clear" w:color="auto" w:fill="FFFFFF"/>
              </w:rPr>
              <w:t>he methods and metrics to test these hypotheses are the response time of the user to perform tasks as well as pair them with other people through other devices in a local environment which comparing time and interaction with humans has been corroborated a marked improvement.</w:t>
            </w:r>
          </w:p>
        </w:tc>
      </w:tr>
      <w:tr w:rsidR="000E3946" w14:paraId="1B8BD468" w14:textId="77777777" w:rsidTr="00295276">
        <w:trPr>
          <w:trHeight w:val="6031"/>
        </w:trPr>
        <w:tc>
          <w:tcPr>
            <w:tcW w:w="2235" w:type="dxa"/>
            <w:tcMar>
              <w:top w:w="85" w:type="dxa"/>
              <w:bottom w:w="85" w:type="dxa"/>
            </w:tcMar>
          </w:tcPr>
          <w:p w14:paraId="6AF71184" w14:textId="77777777" w:rsidR="000E3946" w:rsidRDefault="000E3946" w:rsidP="00295276">
            <w:pPr>
              <w:rPr>
                <w:b/>
              </w:rPr>
            </w:pPr>
            <w:r w:rsidRPr="00F11A7E">
              <w:rPr>
                <w:b/>
              </w:rPr>
              <w:lastRenderedPageBreak/>
              <w:t>Weaknesses of the research:</w:t>
            </w:r>
          </w:p>
          <w:p w14:paraId="2367E041" w14:textId="77777777" w:rsidR="000E3946" w:rsidRDefault="000E3946" w:rsidP="00295276">
            <w:pPr>
              <w:rPr>
                <w:b/>
              </w:rPr>
            </w:pPr>
          </w:p>
          <w:p w14:paraId="6312D548" w14:textId="77777777" w:rsidR="000E3946" w:rsidRDefault="000E3946" w:rsidP="00295276">
            <w:r>
              <w:t>- In what ways is it limited? When and where would it not apply?</w:t>
            </w:r>
          </w:p>
          <w:p w14:paraId="648D29C8" w14:textId="77777777" w:rsidR="000E3946" w:rsidRPr="00F11A7E" w:rsidRDefault="000E3946" w:rsidP="00295276">
            <w:r>
              <w:t xml:space="preserve">- What are the flaws in the research, in the hypotheses, research design and methods, sample size and type, conclusions drawn on the basis of the results? </w:t>
            </w:r>
          </w:p>
        </w:tc>
        <w:tc>
          <w:tcPr>
            <w:tcW w:w="7007" w:type="dxa"/>
            <w:gridSpan w:val="3"/>
            <w:tcMar>
              <w:top w:w="85" w:type="dxa"/>
              <w:bottom w:w="85" w:type="dxa"/>
            </w:tcMar>
          </w:tcPr>
          <w:p w14:paraId="735DFCF8" w14:textId="5DF52A04" w:rsidR="00B116B3" w:rsidRPr="00B116B3" w:rsidRDefault="00B116B3" w:rsidP="00295276">
            <w:pPr>
              <w:rPr>
                <w:u w:val="single"/>
              </w:rPr>
            </w:pPr>
            <w:r>
              <w:t>P</w:t>
            </w:r>
            <w:r w:rsidRPr="00B116B3">
              <w:t>oints to improve</w:t>
            </w:r>
            <w:r>
              <w:t>.</w:t>
            </w:r>
          </w:p>
          <w:p w14:paraId="670BD0D2" w14:textId="77777777" w:rsidR="00B116B3" w:rsidRDefault="00B116B3" w:rsidP="00295276"/>
          <w:p w14:paraId="611745FA" w14:textId="77BE9FF7" w:rsidR="00B116B3" w:rsidRDefault="00B116B3" w:rsidP="00295276">
            <w:r>
              <w:t>Improve scalability. Users must be able to better interact with representations when they are fully or partially occluded due to the clutter of an active working context, i.e., many applications are open. Scalability also includes being able to interact with small representations of applications when using a mouse, stylus, or touch screen, al</w:t>
            </w:r>
            <w:r>
              <w:t xml:space="preserve">l of which are common in MDEs. </w:t>
            </w:r>
          </w:p>
          <w:p w14:paraId="5B3B02C5" w14:textId="77777777" w:rsidR="00B116B3" w:rsidRDefault="00B116B3" w:rsidP="00295276"/>
          <w:p w14:paraId="1688DCD0" w14:textId="54E473CB" w:rsidR="000E3946" w:rsidRDefault="00B116B3" w:rsidP="00295276">
            <w:r>
              <w:t xml:space="preserve"> Provide better awareness of the workspace. This includes communicating which task </w:t>
            </w:r>
            <w:proofErr w:type="spellStart"/>
            <w:r>
              <w:t>artifacts</w:t>
            </w:r>
            <w:proofErr w:type="spellEnd"/>
            <w:r>
              <w:t xml:space="preserve"> (applications) are being viewed, which </w:t>
            </w:r>
            <w:proofErr w:type="spellStart"/>
            <w:r>
              <w:t>artifacts</w:t>
            </w:r>
            <w:proofErr w:type="spellEnd"/>
            <w:r>
              <w:t xml:space="preserve"> are on which screens, when a switch is made, etc. These cues are important for co-located groups [18], but absent from most management interfaces for MDEs.</w:t>
            </w:r>
          </w:p>
        </w:tc>
      </w:tr>
    </w:tbl>
    <w:p w14:paraId="269B35F1" w14:textId="77777777" w:rsidR="003C226C" w:rsidRDefault="003C226C" w:rsidP="00705857"/>
    <w:p w14:paraId="269B35F2" w14:textId="66BE2ACC" w:rsidR="00705857" w:rsidRPr="00705857" w:rsidRDefault="00705857" w:rsidP="00705857"/>
    <w:sectPr w:rsidR="00705857" w:rsidRPr="007058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9BB40" w14:textId="77777777" w:rsidR="001E4420" w:rsidRDefault="001E4420" w:rsidP="00B41FFA">
      <w:pPr>
        <w:spacing w:after="0" w:line="240" w:lineRule="auto"/>
      </w:pPr>
      <w:r>
        <w:separator/>
      </w:r>
    </w:p>
  </w:endnote>
  <w:endnote w:type="continuationSeparator" w:id="0">
    <w:p w14:paraId="3613E7DA" w14:textId="77777777" w:rsidR="001E4420" w:rsidRDefault="001E4420" w:rsidP="00B41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1CAA84" w14:textId="77777777" w:rsidR="001E4420" w:rsidRDefault="001E4420" w:rsidP="00B41FFA">
      <w:pPr>
        <w:spacing w:after="0" w:line="240" w:lineRule="auto"/>
      </w:pPr>
      <w:r>
        <w:separator/>
      </w:r>
    </w:p>
  </w:footnote>
  <w:footnote w:type="continuationSeparator" w:id="0">
    <w:p w14:paraId="7B881017" w14:textId="77777777" w:rsidR="001E4420" w:rsidRDefault="001E4420" w:rsidP="00B41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1121C"/>
    <w:multiLevelType w:val="hybridMultilevel"/>
    <w:tmpl w:val="793EB7A4"/>
    <w:lvl w:ilvl="0" w:tplc="08504B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681398"/>
    <w:multiLevelType w:val="hybridMultilevel"/>
    <w:tmpl w:val="CC3EF6B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 w15:restartNumberingAfterBreak="0">
    <w:nsid w:val="446F295D"/>
    <w:multiLevelType w:val="hybridMultilevel"/>
    <w:tmpl w:val="96E421F0"/>
    <w:lvl w:ilvl="0" w:tplc="A23A0B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857"/>
    <w:rsid w:val="0009774C"/>
    <w:rsid w:val="000E3946"/>
    <w:rsid w:val="001E4420"/>
    <w:rsid w:val="00264A75"/>
    <w:rsid w:val="0028279F"/>
    <w:rsid w:val="00343CD9"/>
    <w:rsid w:val="00380C9F"/>
    <w:rsid w:val="003C226C"/>
    <w:rsid w:val="003D2CDE"/>
    <w:rsid w:val="004855EA"/>
    <w:rsid w:val="00494DCB"/>
    <w:rsid w:val="00551220"/>
    <w:rsid w:val="005571D8"/>
    <w:rsid w:val="005927A1"/>
    <w:rsid w:val="00705857"/>
    <w:rsid w:val="00726DD8"/>
    <w:rsid w:val="007521FA"/>
    <w:rsid w:val="00766E2F"/>
    <w:rsid w:val="009C7EC4"/>
    <w:rsid w:val="00A10949"/>
    <w:rsid w:val="00AC6054"/>
    <w:rsid w:val="00AE3EC4"/>
    <w:rsid w:val="00B116B3"/>
    <w:rsid w:val="00B41FFA"/>
    <w:rsid w:val="00BE0C15"/>
    <w:rsid w:val="00CA76B8"/>
    <w:rsid w:val="00CC4B9C"/>
    <w:rsid w:val="00E20436"/>
    <w:rsid w:val="00E62E83"/>
    <w:rsid w:val="00EF6810"/>
    <w:rsid w:val="00F07E57"/>
    <w:rsid w:val="00F11A7E"/>
    <w:rsid w:val="00FD7A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35C7"/>
  <w15:docId w15:val="{E7AE4804-A3DC-4893-B790-6986092E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62E83"/>
    <w:pPr>
      <w:keepNext/>
      <w:keepLines/>
      <w:spacing w:before="480" w:after="0"/>
      <w:outlineLvl w:val="0"/>
    </w:pPr>
    <w:rPr>
      <w:rFonts w:ascii="Verdana" w:eastAsiaTheme="majorEastAsia" w:hAnsi="Verdana"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62E83"/>
    <w:pPr>
      <w:pBdr>
        <w:bottom w:val="single" w:sz="8" w:space="4" w:color="4F81BD" w:themeColor="accent1"/>
      </w:pBdr>
      <w:spacing w:after="300" w:line="240" w:lineRule="auto"/>
      <w:contextualSpacing/>
    </w:pPr>
    <w:rPr>
      <w:rFonts w:ascii="Verdana" w:eastAsiaTheme="majorEastAsia" w:hAnsi="Verdana" w:cstheme="majorBidi"/>
      <w:color w:val="17365D" w:themeColor="text2" w:themeShade="BF"/>
      <w:spacing w:val="5"/>
      <w:kern w:val="28"/>
      <w:sz w:val="36"/>
      <w:szCs w:val="52"/>
    </w:rPr>
  </w:style>
  <w:style w:type="character" w:customStyle="1" w:styleId="TtuloCar">
    <w:name w:val="Título Car"/>
    <w:basedOn w:val="Fuentedeprrafopredeter"/>
    <w:link w:val="Ttulo"/>
    <w:uiPriority w:val="10"/>
    <w:rsid w:val="00E62E83"/>
    <w:rPr>
      <w:rFonts w:ascii="Verdana" w:eastAsiaTheme="majorEastAsia" w:hAnsi="Verdana" w:cstheme="majorBidi"/>
      <w:color w:val="17365D" w:themeColor="text2" w:themeShade="BF"/>
      <w:spacing w:val="5"/>
      <w:kern w:val="28"/>
      <w:sz w:val="36"/>
      <w:szCs w:val="52"/>
    </w:rPr>
  </w:style>
  <w:style w:type="character" w:customStyle="1" w:styleId="Ttulo1Car">
    <w:name w:val="Título 1 Car"/>
    <w:basedOn w:val="Fuentedeprrafopredeter"/>
    <w:link w:val="Ttulo1"/>
    <w:uiPriority w:val="9"/>
    <w:rsid w:val="00E62E83"/>
    <w:rPr>
      <w:rFonts w:ascii="Verdana" w:eastAsiaTheme="majorEastAsia" w:hAnsi="Verdana" w:cstheme="majorBidi"/>
      <w:b/>
      <w:bCs/>
      <w:color w:val="365F91" w:themeColor="accent1" w:themeShade="BF"/>
      <w:sz w:val="28"/>
      <w:szCs w:val="28"/>
    </w:rPr>
  </w:style>
  <w:style w:type="table" w:styleId="Tablaconcuadrcula">
    <w:name w:val="Table Grid"/>
    <w:basedOn w:val="Tablanormal"/>
    <w:uiPriority w:val="59"/>
    <w:rsid w:val="00705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41FF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41FFA"/>
  </w:style>
  <w:style w:type="paragraph" w:styleId="Piedepgina">
    <w:name w:val="footer"/>
    <w:basedOn w:val="Normal"/>
    <w:link w:val="PiedepginaCar"/>
    <w:uiPriority w:val="99"/>
    <w:unhideWhenUsed/>
    <w:rsid w:val="00B41FF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41FFA"/>
  </w:style>
  <w:style w:type="paragraph" w:styleId="Textodeglobo">
    <w:name w:val="Balloon Text"/>
    <w:basedOn w:val="Normal"/>
    <w:link w:val="TextodegloboCar"/>
    <w:uiPriority w:val="99"/>
    <w:semiHidden/>
    <w:unhideWhenUsed/>
    <w:rsid w:val="00B41F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1FFA"/>
    <w:rPr>
      <w:rFonts w:ascii="Tahoma" w:hAnsi="Tahoma" w:cs="Tahoma"/>
      <w:sz w:val="16"/>
      <w:szCs w:val="16"/>
    </w:rPr>
  </w:style>
  <w:style w:type="paragraph" w:styleId="Prrafodelista">
    <w:name w:val="List Paragraph"/>
    <w:basedOn w:val="Normal"/>
    <w:uiPriority w:val="34"/>
    <w:qFormat/>
    <w:rsid w:val="00494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04f6b0ee-6b02-4758-aeb5-0b98652579e6">74VZ4Y6PZPXK-14-204</_dlc_DocId>
    <_dlc_DocIdUrl xmlns="04f6b0ee-6b02-4758-aeb5-0b98652579e6">
      <Url>https://sp.falmouth.ac.uk/sites/sas/_layouts/DocIdRedir.aspx?ID=74VZ4Y6PZPXK-14-204</Url>
      <Description>74VZ4Y6PZPXK-14-204</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EEA3673E9B3E048B64623EDB7DF5FB4" ma:contentTypeVersion="1" ma:contentTypeDescription="Create a new document." ma:contentTypeScope="" ma:versionID="2ac07a056fa0b0f13f6781c4b0e53ae4">
  <xsd:schema xmlns:xsd="http://www.w3.org/2001/XMLSchema" xmlns:xs="http://www.w3.org/2001/XMLSchema" xmlns:p="http://schemas.microsoft.com/office/2006/metadata/properties" xmlns:ns2="04f6b0ee-6b02-4758-aeb5-0b98652579e6" targetNamespace="http://schemas.microsoft.com/office/2006/metadata/properties" ma:root="true" ma:fieldsID="bb717d60f498c78c2f965be4a1def011" ns2:_="">
    <xsd:import namespace="04f6b0ee-6b02-4758-aeb5-0b98652579e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f6b0ee-6b02-4758-aeb5-0b98652579e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DC1C27-3B09-4DB8-A69C-43D059A4388A}">
  <ds:schemaRefs>
    <ds:schemaRef ds:uri="http://schemas.microsoft.com/sharepoint/events"/>
  </ds:schemaRefs>
</ds:datastoreItem>
</file>

<file path=customXml/itemProps2.xml><?xml version="1.0" encoding="utf-8"?>
<ds:datastoreItem xmlns:ds="http://schemas.openxmlformats.org/officeDocument/2006/customXml" ds:itemID="{1900CE35-4040-42F6-BF15-4BC139A2582D}">
  <ds:schemaRefs>
    <ds:schemaRef ds:uri="http://schemas.microsoft.com/sharepoint/v3/contenttype/forms"/>
  </ds:schemaRefs>
</ds:datastoreItem>
</file>

<file path=customXml/itemProps3.xml><?xml version="1.0" encoding="utf-8"?>
<ds:datastoreItem xmlns:ds="http://schemas.openxmlformats.org/officeDocument/2006/customXml" ds:itemID="{9C1F8FB4-7B59-459D-86EB-64336BC9E385}">
  <ds:schemaRefs>
    <ds:schemaRef ds:uri="http://schemas.microsoft.com/office/2006/metadata/properties"/>
    <ds:schemaRef ds:uri="http://schemas.microsoft.com/office/infopath/2007/PartnerControls"/>
    <ds:schemaRef ds:uri="04f6b0ee-6b02-4758-aeb5-0b98652579e6"/>
  </ds:schemaRefs>
</ds:datastoreItem>
</file>

<file path=customXml/itemProps4.xml><?xml version="1.0" encoding="utf-8"?>
<ds:datastoreItem xmlns:ds="http://schemas.openxmlformats.org/officeDocument/2006/customXml" ds:itemID="{FB162E55-D934-4E3D-862F-FEE7C20833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f6b0ee-6b02-4758-aeb5-0b98652579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821</Words>
  <Characters>4519</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College Falmouth</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 Brown</dc:creator>
  <cp:lastModifiedBy>LUIS JAVIER MARTINEZ FERNANDEZ</cp:lastModifiedBy>
  <cp:revision>8</cp:revision>
  <dcterms:created xsi:type="dcterms:W3CDTF">2016-09-22T10:58:00Z</dcterms:created>
  <dcterms:modified xsi:type="dcterms:W3CDTF">2019-02-17T23:13:00Z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7c4a668e-d9f2-42e7-a259-dce11c828514</vt:lpwstr>
  </property>
  <property fmtid="{D5CDD505-2E9C-101B-9397-08002B2CF9AE}" pid="3" name="ContentTypeId">
    <vt:lpwstr>0x010100CEEA3673E9B3E048B64623EDB7DF5FB4</vt:lpwstr>
  </property>
</Properties>
</file>