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Property Transformation Website Requirements</w:t>
      </w:r>
    </w:p>
    <w:p>
      <w:r>
        <w:t>Business and software specification</w:t>
      </w:r>
    </w:p>
    <w:p>
      <w:r>
        <w:t>Prepared for Rudyard Madoro and the business owner | Updated 4 October 2026 | Version 1.2</w:t>
      </w:r>
    </w:p>
    <w:p>
      <w:pPr>
        <w:pStyle w:val="Heading1"/>
      </w:pPr>
      <w:r>
        <w:t>1 Purpose and recommended direction</w:t>
      </w:r>
    </w:p>
    <w:p>
      <w:r>
        <w:t>Build a professional, mobile friendly website that turns the owner's experience in transforming older houses into rental and short stay units into a credible service offering for other property owners. The website must demonstrate completed work, explain the delivery process and generate actionable enquiries for construction, renovations, conversions, extensions, interior design, cabinetry, maintenance and supporting materials services.</w:t>
      </w:r>
    </w:p>
    <w:p>
      <w:r>
        <w:t>The recommended launch is a portfolio and lead management platform with a practical administration area. Its service structure must give property transformation, custom cabinetry and board sales clear commercial identities. Board sales are a strong standalone business serving homeowners, carpenters, installers, contractors and DIY customers, whether or not they purchase construction services. Customers can buy boards, request cutting and related workshop services, or commission supply-only and complete fix-and-supply cabinetry and woodwork. Selected hardware remains a supporting offer. Each customer should immediately understand the available purchase or service options and the next step after enquiring.</w:t>
      </w:r>
    </w:p>
    <w:p>
      <w:r>
        <w:t>This specification is intended for implementation planning, UX design, backlog creation, development and acceptance testing. All requirements labelled Must are launch requirements; Should requirements are the next improvements; Could requirements need separate prioritisation. Estimated effort and suggested commercial policies are planning recommendations, not supplier quotations or existing business commitments.</w:t>
      </w:r>
    </w:p>
    <w:p>
      <w:pPr>
        <w:pStyle w:val="Heading1"/>
      </w:pPr>
      <w:r>
        <w:t>2 Business facts assumptions and decisions</w:t>
      </w:r>
    </w:p>
    <w:p>
      <w:pPr>
        <w:pStyle w:val="Heading2"/>
      </w:pPr>
      <w:r>
        <w:t>2 1 Established business context</w:t>
      </w:r>
    </w:p>
    <w:p>
      <w:r>
        <w:t>The owner has three residential properties. He buys older houses with additional land, converts existing buildings into bachelor and one bedroom units, and builds additional adjoining units. Units are used for rentals and some for Airbnb. He develops his own layouts and interior and exterior style. A team already performs construction, renovations, conversions, extensions, maintenance and new construction. A cabinetry workshop has machinery and equipment producing kitchens, wardrobes, vanities, TV units and furniture components.</w:t>
      </w:r>
    </w:p>
    <w:p>
      <w:r>
        <w:t>The commercial offering includes services for other property owners, standalone board sales, and cabinetry and related woodwork. Board supply is an established part of the offering and must be prominently marketed in its own right. Boards may be sold for customer projects or used by the business to manufacture and install kitchens, cabinets, wardrobes, vanities, TV units and other confirmed woodwork. General hardware retail, a paid assessment service, professional design partnerships, project financing and property management remain proposals requiring owner confirmation.</w:t>
      </w:r>
    </w:p>
    <w:p>
      <w:pPr>
        <w:pStyle w:val="Heading2"/>
      </w:pPr>
      <w:r>
        <w:t>2 2 Planning assumptions</w:t>
      </w:r>
    </w:p>
    <w:p>
      <w:r>
        <w:t>Assume an English language launch and a primarily local service market. South Africa is the provisional jurisdiction for privacy and professional practice considerations; confirm the country, municipality, service radius and currency before finalising policies or publishing local claims. If the business operates elsewhere, adapt these requirements to that jurisdiction. The business name, domain, logo, legal entity, addresses and contact details remain owner decisions. Do not assume that the project context name Takura Properties is the approved trading name.</w:t>
      </w:r>
    </w:p>
    <w:p>
      <w:r>
        <w:t>Assume the website markets services rather than purchasing properties from the public or offering investment participation. The owner must clarify whether clients pay for work under ordinary service contracts, enter joint ventures, lease their land or receive a managed development service. Launch should present a client funded service unless a different commercial model is expressly approved.</w:t>
      </w:r>
    </w:p>
    <w:p>
      <w:r>
        <w:t>Assume the existing properties can be photographed with appropriate permissions. No unit counts, project costs, completion dates, qualifications, certifications, rental yields, testimonials or guarantees may be invented. Existing owner projects should be labelled as the company's own portfolio developments when applicable.</w:t>
      </w:r>
    </w:p>
    <w:p>
      <w:pPr>
        <w:pStyle w:val="Heading2"/>
      </w:pPr>
      <w:r>
        <w:t>2 3 Pending business decisions and placeholder policy</w:t>
      </w:r>
    </w:p>
    <w:p>
      <w:r>
        <w:t>Development and design may proceed using labelled, configurable dummy values. The following business decisions will be updated as they are confirmed; actual claims and fulfilment policies require approval before live publication. Confirm the trading name and service territory; immediately saleable services; board ranges, brands, finishes, thicknesses, full-sheet sizes and stock or sourcing arrangements; minimum order quantities; workshop capabilities and limits; cutting, edging and drilling availability; cabinetry installation scope; and collection and delivery rules. Board selling is confirmed as a standalone business. The detailed product range and fulfilment policies must still be agreed before publication. Confirm how external customers will be served without disrupting existing property work.</w:t>
      </w:r>
    </w:p>
    <w:p>
      <w:r>
        <w:t>Agree who owns incoming enquiries, who prepares and approves quotes, whether site visits are free or paid, the business hours and response target, quote validity, warranty terms and customer contract process. Identify any registered design or engineering partners and evidence supporting registration or accreditation claims. Agree photography permissions, available content, implementation budget, operating budget and maintenance responsibility.</w:t>
      </w:r>
    </w:p>
    <w:p>
      <w:pPr>
        <w:pStyle w:val="Heading1"/>
      </w:pPr>
      <w:r>
        <w:t>3 Business positioning and service structure</w:t>
      </w:r>
    </w:p>
    <w:p>
      <w:pPr>
        <w:pStyle w:val="Heading2"/>
      </w:pPr>
      <w:r>
        <w:t>3 1 Main value proposition</w:t>
      </w:r>
    </w:p>
    <w:p>
      <w:r>
        <w:t>Proposed message: We help property owners transform older homes and underused space into practical, well finished accommodation, with construction, interiors and cabinetry coordinated through one delivery team.</w:t>
      </w:r>
    </w:p>
    <w:p>
      <w:r>
        <w:t>Present operational experience, board supply and control of the cabinetry workshop as concrete strengths. Give standalone board customers a clear path to product information and quotations. For property and cabinetry customers, show how coordinated board selection, fabrication, installation, interiors and construction simplify delivery. Treat additional rental income as a possible customer objective, never a guaranteed outcome. Feasibility, approvals, market demand, costs and operating conditions determine the result.</w:t>
      </w:r>
    </w:p>
    <w:p>
      <w:pPr>
        <w:pStyle w:val="Heading2"/>
      </w:pPr>
      <w:r>
        <w:t>3 2 Service families</w:t>
      </w:r>
    </w:p>
    <w:tbl>
      <w:tblPr>
        <w:tblW w:type="auto" w:w="0"/>
        <w:jc w:val="center"/>
        <w:tblLayout w:type="fixed"/>
        <w:tblLook w:firstColumn="1" w:firstRow="1" w:lastColumn="0" w:lastRow="0" w:noHBand="0" w:noVBand="1" w:val="04A0"/>
      </w:tblPr>
      <w:tblGrid>
        <w:gridCol w:w="2484"/>
        <w:gridCol w:w="2484"/>
        <w:gridCol w:w="2484"/>
        <w:gridCol w:w="2484"/>
      </w:tblGrid>
      <w:tr>
        <w:trPr>
          <w:tblHeader/>
          <w:cantSplit/>
        </w:trPr>
        <w:tc>
          <w:tcPr>
            <w:tcW w:type="dxa" w:w="1872"/>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Family</w:t>
            </w:r>
          </w:p>
        </w:tc>
        <w:tc>
          <w:tcPr>
            <w:tcW w:type="dxa" w:w="2304"/>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Customer need</w:t>
            </w:r>
          </w:p>
        </w:tc>
        <w:tc>
          <w:tcPr>
            <w:tcW w:type="dxa" w:w="3600"/>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Website offer</w:t>
            </w:r>
          </w:p>
        </w:tc>
        <w:tc>
          <w:tcPr>
            <w:tcW w:type="dxa" w:w="2160"/>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Main enquiry action</w:t>
            </w:r>
          </w:p>
        </w:tc>
      </w:tr>
      <w:tr>
        <w:trPr>
          <w:cantSplit/>
          <w:cantSplit/>
        </w:trPr>
        <w:tc>
          <w:tcPr>
            <w:tcW w:type="dxa" w:w="18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Property transformation</w:t>
            </w:r>
          </w:p>
        </w:tc>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Reuse an older home or assess additional units on land</w:t>
            </w:r>
          </w:p>
        </w:tc>
        <w:tc>
          <w:tcPr>
            <w:tcW w:type="dxa" w:w="360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Conversion assessment, renovation, extension and coordinated fit out</w:t>
            </w:r>
          </w:p>
        </w:tc>
        <w:tc>
          <w:tcPr>
            <w:tcW w:type="dxa" w:w="216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Request a property assessment</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Construction and maintenance</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Build, repair or improve a property</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New construction, extensions, repairs and planned maintenance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Request a construction quote</w:t>
            </w:r>
          </w:p>
        </w:tc>
      </w:tr>
      <w:tr>
        <w:trPr>
          <w:cantSplit/>
          <w:cantSplit/>
        </w:trPr>
        <w:tc>
          <w:tcPr>
            <w:tcW w:type="dxa" w:w="18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Interior design and finishing</w:t>
            </w:r>
          </w:p>
        </w:tc>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Make accommodation practical and attractive</w:t>
            </w:r>
          </w:p>
        </w:tc>
        <w:tc>
          <w:tcPr>
            <w:tcW w:type="dxa" w:w="360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Layout concepts, finish selection and furnishing coordination within confirmed capability</w:t>
            </w:r>
          </w:p>
        </w:tc>
        <w:tc>
          <w:tcPr>
            <w:tcW w:type="dxa" w:w="216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Discuss interior requirements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Custom cabinetry</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Buy manufactured woodwork with or without installation</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Supply-only and fix-and-supply kitchens, cabinets, wardrobes, vanities, TV units and components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Request a cabinetry quote</w:t>
            </w:r>
          </w:p>
        </w:tc>
      </w:tr>
      <w:tr>
        <w:trPr>
          <w:cantSplit/>
          <w:cantSplit/>
        </w:trPr>
        <w:tc>
          <w:tcPr>
            <w:tcW w:type="dxa" w:w="18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Board sales and workshop</w:t>
            </w:r>
          </w:p>
        </w:tc>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Buy boards independently or with processing services</w:t>
            </w:r>
          </w:p>
        </w:tc>
        <w:tc>
          <w:tcPr>
            <w:tcW w:type="dxa" w:w="360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Standalone board sales, full sheets, cut-to-size supply and confirmed edging or drilling; related fittings</w:t>
            </w:r>
          </w:p>
        </w:tc>
        <w:tc>
          <w:tcPr>
            <w:tcW w:type="dxa" w:w="216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Request a board quote or submit a cutting list</w:t>
            </w:r>
          </w:p>
        </w:tc>
      </w:tr>
    </w:tbl>
    <w:p>
      <w:pPr>
        <w:spacing w:after="40"/>
      </w:pPr>
    </w:p>
    <w:p>
      <w:r>
        <w:t>Hardware should support the main business: nails, screws, hinges, handles, drawer runners, adhesives, sealants, paint and painting accessories are sensible candidate categories. Publish only categories the owner can fulfil. Distinguish painting labour from paint supply. Avoid presenting a complete hardware store when only selected items can be sourced.</w:t>
      </w:r>
    </w:p>
    <w:p>
      <w:pPr>
        <w:pStyle w:val="Heading2"/>
      </w:pPr>
      <w:r>
        <w:t>3 3 Possible commercial packages</w:t>
      </w:r>
    </w:p>
    <w:p>
      <w:r>
        <w:t>Offer clearly defined commercial options: boards only; boards with cutting and confirmed edging or drilling; supply-only manufactured cabinetry or furniture components; and complete fix-and-supply cabinetry and woodwork. Fix and supply means the business supplies the agreed materials, manufactures or prepares the work, and installs it at the customer site under an approved scope. Apply these options to kitchens, cabinets, wardrobes, vanities, TV units and other confirmed woodwork. Also offer property assessment, conversion and construction, rental-ready fit out and short-stay styling where operationally validated. Each option needs deliverables, exclusions, pricing basis, delivery or installation terms and responsibility for measurement verification. Plumbing, electrical work, structural changes, appliances and countertops are included only when expressly quoted.</w:t>
      </w:r>
    </w:p>
    <w:p>
      <w:pPr>
        <w:pStyle w:val="Heading1"/>
      </w:pPr>
      <w:r>
        <w:t>4 Audiences goals and measures</w:t>
      </w:r>
    </w:p>
    <w:p>
      <w:pPr>
        <w:pStyle w:val="Heading2"/>
      </w:pPr>
      <w:r>
        <w:t>4 1 Customer groups</w:t>
      </w:r>
    </w:p>
    <w:p>
      <w:r>
        <w:t>Property owners need evidence that an older house or spare land can be assessed responsibly, and want clarity on scope, cost and disruption. Landlords and small developers care about durable finishes, repeatable unit layouts, maintenance and staged delivery. Short stay operators care about presentation, storage, cleaning, furnishing and photography readiness. Homeowners buying cabinetry need material choices, dimensions, installation scope and examples. Standalone board buyers include carpenters, cabinet makers, installers, contractors, homeowners and DIY customers. They need product specifications, full-sheet or cut-to-size options, quantities, price quotations and reliable collection or delivery information. Board buyers must be served without being required to purchase cabinetry or construction services.</w:t>
      </w:r>
    </w:p>
    <w:p>
      <w:r>
        <w:t>Tenants and Airbnb guests are a secondary audience. The main website should not route construction enquiries into accommodation booking journeys. If accommodation is later advertised, provide a clearly separate section linking to verified booking listings.</w:t>
      </w:r>
    </w:p>
    <w:p>
      <w:pPr>
        <w:pStyle w:val="Heading2"/>
      </w:pPr>
      <w:r>
        <w:t>4 2 Goals and proposed measurement</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2304"/>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Goal</w:t>
            </w:r>
          </w:p>
        </w:tc>
        <w:tc>
          <w:tcPr>
            <w:tcW w:type="dxa" w:w="3888"/>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Measure</w:t>
            </w:r>
          </w:p>
        </w:tc>
        <w:tc>
          <w:tcPr>
            <w:tcW w:type="dxa" w:w="3744"/>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Initial target or approach</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Generate useful enquiries</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Qualified enquiries by service and area</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Establish a first 30 day baseline; set owner approved monthly targets</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Respond consistently</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Business hours elapsed to first human response</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Proposed target within one business day; advertise only once operationally achievable</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Convert enquiries to work</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Assessment, quote and won rates</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Review monthly by service and source; define stages consistently</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Demonstrate craftsmanship</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Case study to enquiry conversion</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Compare project detail pages and service pages after sufficient traffic</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Grow board and workshop sales</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Board sales and cutting enquiries, quoted value and repeat orders</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Track board-only sales, processing services, accepted work and repeat customers</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Reduce administration</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Unassigned leads and overdue follow ups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Every valid enquiry assigned or visible in the unassigned queue</w:t>
            </w:r>
          </w:p>
        </w:tc>
      </w:tr>
    </w:tbl>
    <w:p>
      <w:pPr>
        <w:spacing w:after="40"/>
      </w:pPr>
    </w:p>
    <w:p>
      <w:r>
        <w:t>Track acquisition source, landing page, service selection, form start, successful persisted submission, phone click and WhatsApp click. A WhatsApp click is not evidence of an actual enquiry or won job. Never transmit names, phone numbers, exact addresses, uploaded plans or enquiry text to analytics providers.</w:t>
      </w:r>
    </w:p>
    <w:p>
      <w:pPr>
        <w:pStyle w:val="Heading1"/>
      </w:pPr>
      <w:r>
        <w:t>5 Scope and release priorities</w:t>
      </w:r>
    </w:p>
    <w:p>
      <w:pPr>
        <w:pStyle w:val="Heading2"/>
      </w:pPr>
      <w:r>
        <w:t>5 1 Launch scope</w:t>
      </w:r>
    </w:p>
    <w:p>
      <w:r>
        <w:t>Must include public service pages, a project portfolio, cabinetry gallery, dedicated board sales pages and catalogue, cutting and related workshop information, supporting materials and hardware pages, service area information, about and contact pages, frequently asked questions, privacy and website terms, accessible responsive layouts, SEO foundations, secure quotation request forms, private attachments, staff notifications, lead assignment and follow up, controlled content editing, and operating monitoring and backups.</w:t>
      </w:r>
    </w:p>
    <w:p>
      <w:r>
        <w:t>Launch quote handling should allow an authorised employee to upload an externally prepared quote PDF, record its version and send it through a controlled customer link or email notification. A complete estimating engine is unnecessary for launch. Do not ask customers to register before requesting a quote.</w:t>
      </w:r>
    </w:p>
    <w:p>
      <w:pPr>
        <w:pStyle w:val="Heading2"/>
      </w:pPr>
      <w:r>
        <w:t>5 2 Later phases</w:t>
      </w:r>
    </w:p>
    <w:p>
      <w:r>
        <w:t>Should add a structured online cutting list editor, editorial resources, customer status access, signed quote acceptance, online site visit scheduling, advanced quote preparation and trade enquiry baskets. Could add deposit payments, a materials shop, inventory integration, a project progress portal, approved ROI scenarios and accommodation links. Each requires its own operations and security review.</w:t>
      </w:r>
    </w:p>
    <w:p>
      <w:pPr>
        <w:pStyle w:val="Heading2"/>
      </w:pPr>
      <w:r>
        <w:t>5 3 Outside the launch scope</w:t>
      </w:r>
    </w:p>
    <w:p>
      <w:r>
        <w:t>Exclude a full rental management system, tenant applications, Airbnb availability synchronisation, construction accounting, procurement ERP, machine control, automatic cut optimisation, instant guaranteed project costing, engineering design, automatic planning approval and binding online investment offers. Add them only through an explicit scope change with a defined owner.</w:t>
      </w:r>
    </w:p>
    <w:p>
      <w:pPr>
        <w:pStyle w:val="Heading1"/>
      </w:pPr>
      <w:r>
        <w:t>6 Sitemap and page requirements</w:t>
      </w:r>
    </w:p>
    <w:p>
      <w:pPr>
        <w:pStyle w:val="Heading2"/>
      </w:pPr>
      <w:r>
        <w:t>6 1 Main navigation</w:t>
      </w:r>
    </w:p>
    <w:p>
      <w:r>
        <w:t>Use Home, Property Transformation, Services, Projects, Cabinetry, Boards and Workshop, About and Contact. Give Boards and Workshop a prominent top-level navigation entry, with Board Sales, Cutting Services and Supporting Hardware beneath it. Put a prominent Request a Quote button in the header. Services can contain construction, renovation, conversions, extensions, interiors and maintenance without crowding the top navigation. Footer links include service areas, FAQs, resources when published, privacy, terms and accessible contact information.</w:t>
      </w:r>
    </w:p>
    <w:p>
      <w:pPr>
        <w:pStyle w:val="Heading2"/>
      </w:pPr>
      <w:r>
        <w:t>6 2 Home page</w:t>
      </w:r>
    </w:p>
    <w:p>
      <w:r>
        <w:rPr>
          <w:b/>
        </w:rPr>
        <w:t xml:space="preserve">FR 01 Must. </w:t>
      </w:r>
      <w:r>
        <w:t>Explain the business and service region immediately, using a genuine completed project image. Primary action is Request a Property Assessment; secondary action is View Our Work. Provide equally clear service cards for Custom Cabinetry and Board Sales, each with its own enquiry action. Include selected projects, the working process, board ranges and workshop capability, verified trust evidence and a final enquiry action. Do not use a heavy autoplay video as the default hero.</w:t>
      </w:r>
    </w:p>
    <w:p>
      <w:r>
        <w:rPr>
          <w:b/>
        </w:rPr>
        <w:t xml:space="preserve">Acceptance: </w:t>
      </w:r>
      <w:r>
        <w:t>On a mobile viewport, a visitor can identify the business, service region and primary action without opening navigation. Every service card links to a specific relevant page, and a featured project opens its own case study.</w:t>
      </w:r>
    </w:p>
    <w:p>
      <w:pPr>
        <w:pStyle w:val="Heading2"/>
      </w:pPr>
      <w:r>
        <w:t>6 3 Property transformation page</w:t>
      </w:r>
    </w:p>
    <w:p>
      <w:r>
        <w:rPr>
          <w:b/>
        </w:rPr>
        <w:t xml:space="preserve">FR 02 Must. </w:t>
      </w:r>
      <w:r>
        <w:t>Explain conversions into bachelor or one bedroom accommodation and the assessment of additional units on available land. Describe site assessment, concept development, approvals coordination where available, construction, cabinetry, interiors and handover. Address access, parking, drainage, services capacity, privacy, sound separation, maintenance access, tenant disruption and local planning constraints as assessment topics. Show relevant project evidence and realistic boundaries of the service.</w:t>
      </w:r>
    </w:p>
    <w:p>
      <w:r>
        <w:rPr>
          <w:b/>
        </w:rPr>
        <w:t xml:space="preserve">Acceptance: </w:t>
      </w:r>
      <w:r>
        <w:t>The assessment action preselects property transformation in the enquiry form. The page clearly states that a site and planning assessment is needed before confirming unit capacity, scope or cost. No automated unit count or guaranteed rental income appears.</w:t>
      </w:r>
    </w:p>
    <w:p>
      <w:pPr>
        <w:pStyle w:val="Heading2"/>
      </w:pPr>
      <w:r>
        <w:t>6 4 Individual service pages</w:t>
      </w:r>
    </w:p>
    <w:p>
      <w:r>
        <w:rPr>
          <w:b/>
        </w:rPr>
        <w:t xml:space="preserve">FR 03 Must. </w:t>
      </w:r>
      <w:r>
        <w:t>Each launch service has a clear title, customer problem, offered work, deliverables, exclusions, process, relevant project examples, FAQs and contextual quote action. Interior pages should show the owner's design style through authentic imagery and practical explanations of finishes and layouts. Describe professional design involvement accurately rather than implying that conceptual styling replaces registered architectural services.</w:t>
      </w:r>
    </w:p>
    <w:p>
      <w:r>
        <w:rPr>
          <w:b/>
        </w:rPr>
        <w:t xml:space="preserve">Acceptance: </w:t>
      </w:r>
      <w:r>
        <w:t>Each page's quote action preselects the service while allowing the visitor to change it or select additional services. Services marked unavailable cannot be selected on the form.</w:t>
      </w:r>
    </w:p>
    <w:p>
      <w:pPr>
        <w:pStyle w:val="Heading2"/>
      </w:pPr>
      <w:r>
        <w:t>6 5 Projects and case studies</w:t>
      </w:r>
    </w:p>
    <w:p>
      <w:r>
        <w:rPr>
          <w:b/>
        </w:rPr>
        <w:t xml:space="preserve">FR 04 Must. </w:t>
      </w:r>
      <w:r>
        <w:t>Provide project cards and filters for transformation, construction, renovation, interiors and cabinetry. Use one project record with multiple categories rather than duplicating the same case study. Details include project title, approximate location, owner development or external customer designation, original problem, work performed, practical design decisions, results supported by evidence, photo captions and a relevant enquiry action.</w:t>
      </w:r>
    </w:p>
    <w:p>
      <w:r>
        <w:rPr>
          <w:b/>
        </w:rPr>
        <w:t xml:space="preserve">FR 05 Should. </w:t>
      </w:r>
      <w:r>
        <w:t>Provide accessible before and after comparisons with side by side images or a keyboard operated slider. Label before, during and after explicitly. Optional fields include duration, area, unit count, materials and project value range only when verified and approved for publication.</w:t>
      </w:r>
    </w:p>
    <w:p>
      <w:r>
        <w:rPr>
          <w:b/>
        </w:rPr>
        <w:t xml:space="preserve">Acceptance: </w:t>
      </w:r>
      <w:r>
        <w:t>Filters show matching records and a helpful empty state. Gallery overlays support keyboard navigation and escape to close. Public photos do not expose tenants, vehicle plates, private plans or exact residential addresses without permission. An AI visualisation or proposed concept is labelled and never presented as completed work.</w:t>
      </w:r>
    </w:p>
    <w:p>
      <w:pPr>
        <w:pStyle w:val="Heading2"/>
      </w:pPr>
      <w:r>
        <w:t>6 6 Cabinetry page and gallery</w:t>
      </w:r>
    </w:p>
    <w:p>
      <w:r>
        <w:rPr>
          <w:b/>
        </w:rPr>
        <w:t xml:space="preserve">FR 06 Must. </w:t>
      </w:r>
      <w:r>
        <w:t>Showcase kitchens, cabinets, wardrobes, vanities, TV units and furniture components. Explain design discussion, measurement verification, board and hardware selection, manufacture, installation where offered and handover. Clearly present supply-only and fix-and-supply options. Fix-and-supply quotes cover the agreed board materials, fabrication, fittings and installation labour, with explicit exclusions. Show finish and storage examples with captions, workshop information and links to the standalone board sales range.</w:t>
      </w:r>
    </w:p>
    <w:p>
      <w:r>
        <w:rPr>
          <w:b/>
        </w:rPr>
        <w:t xml:space="preserve">Acceptance: </w:t>
      </w:r>
      <w:r>
        <w:t>The visitor can request a cabinetry quote from a gallery item, with the item reference added to the request. Sample colours are described as indicative and physical confirmation is offered where available.</w:t>
      </w:r>
    </w:p>
    <w:p>
      <w:pPr>
        <w:pStyle w:val="Heading2"/>
      </w:pPr>
      <w:r>
        <w:t>6 7 Board sales workshop and supporting hardware pages</w:t>
      </w:r>
    </w:p>
    <w:p>
      <w:r>
        <w:rPr>
          <w:b/>
        </w:rPr>
        <w:t xml:space="preserve">FR 07 Must. </w:t>
      </w:r>
      <w:r>
        <w:t>Give standalone board sales a dedicated landing page and catalogue independent of construction enquiries. Clearly offer boards for customers who fabricate or install their own cabinetry, wardrobes and related woodwork, and boards used in the business's supply-only or fix-and-supply services. Present confirmed board types, brands, colours or finishes, thicknesses, sheet dimensions and intended uses. Separate full-sheet sales from cutting and other processing services. Describe available edging, drilling, maximum part limits, customer-supplied material policy, collection, delivery, operating hours and quotation process. Publish only products and operations that can be fulfilled.</w:t>
      </w:r>
    </w:p>
    <w:p>
      <w:r>
        <w:t>Show an editable board catalogue with filters for material type, finish or colour, thickness and sheet size. Board records include product or SKU, specification, unit of sale, image, stock or sourced-on-request wording and a Request Board Quote action. Prices are optional and must be maintained with clear tax and validity information if published; otherwise use quotation-only pricing. Add related cutting, edging and fitting options as optional extras. Selected nails, screws, adhesives, paint and other hardware remain in a supporting category. Do not imply live stock or price information when manually managed.</w:t>
      </w:r>
    </w:p>
    <w:p>
      <w:r>
        <w:t>Acceptance: A visitor can request full boards without selecting construction, cabinetry installation or cutting. Request Board Quote carries the chosen product and specification into the enquiry form. Submit a Cutting List opens the workshop route. A customer can request board supply plus processing or delivery in one enquiry. Unsupported materials and operations remain unpublished. Enquiry submission does not create a paid order or reserve stock.</w:t>
      </w:r>
    </w:p>
    <w:p>
      <w:pPr>
        <w:pStyle w:val="Heading2"/>
      </w:pPr>
      <w:r>
        <w:t>6 8 Supporting pages</w:t>
      </w:r>
    </w:p>
    <w:p>
      <w:r>
        <w:rPr>
          <w:b/>
        </w:rPr>
        <w:t xml:space="preserve">FR 08 Must. </w:t>
      </w:r>
      <w:r>
        <w:t>About covers the owner, team and experience, using verified history and capabilities. Contact gives phone, WhatsApp if used, email, operating hours, service areas and workshop address only if public access is permitted. FAQs explain assessments, approvals responsibilities, quote process, measurements, timelines and workmanship terms without unsupported promises.</w:t>
      </w:r>
    </w:p>
    <w:p>
      <w:r>
        <w:rPr>
          <w:b/>
        </w:rPr>
        <w:t xml:space="preserve">FR 09 Should. </w:t>
      </w:r>
      <w:r>
        <w:t>Publish useful resources on property conversion considerations, small kitchen layouts, durable rental interiors, board selection and preparing a cutting list. Use actual expertise, an identified author or reviewer and a review date. Avoid duplicate location pages or mass generated generic articles.</w:t>
      </w:r>
    </w:p>
    <w:p>
      <w:r>
        <w:rPr>
          <w:b/>
        </w:rPr>
        <w:t xml:space="preserve">Acceptance: </w:t>
      </w:r>
      <w:r>
        <w:t>Published contact links work on mobile. Maps have a text alternative and can load only after visitor interaction if appropriate. Every legal and policy page is accessible from the footer.</w:t>
      </w:r>
    </w:p>
    <w:p>
      <w:pPr>
        <w:pStyle w:val="Heading1"/>
      </w:pPr>
      <w:r>
        <w:t>7 Customer journeys and interaction design</w:t>
      </w:r>
    </w:p>
    <w:p>
      <w:pPr>
        <w:pStyle w:val="Heading2"/>
      </w:pPr>
      <w:r>
        <w:t>7 1 Property owner journey</w:t>
      </w:r>
    </w:p>
    <w:p>
      <w:r>
        <w:t>A visitor arrives from search or referral, reviews conversion examples, reads the assessment process, selects their project type, provides suburb, property description, intended use and available photos, and requests contact. Staff qualify the location and ownership or authorisation, clarify the objective, arrange an assessment if appropriate, prepare a scoped quote, follow up and record the outcome.</w:t>
      </w:r>
    </w:p>
    <w:p>
      <w:pPr>
        <w:pStyle w:val="Heading2"/>
      </w:pPr>
      <w:r>
        <w:t>7 2 Cabinetry journey</w:t>
      </w:r>
    </w:p>
    <w:p>
      <w:r>
        <w:t>A visitor reviews examples, chooses kitchen, cabinets, wardrobes or another product, selects supply only or fix and supply, provides approximate dimensions or requests measuring help, selects a finish preference if known and submits photos or a sketch. The cabinetry team confirms measurements, site conditions, board materials, fittings, fabrication and any installation scope before issuing a formal quote. The customer may instead follow a link to buy boards for their own fabrication work.</w:t>
      </w:r>
    </w:p>
    <w:p>
      <w:pPr>
        <w:pStyle w:val="Heading2"/>
      </w:pPr>
      <w:r>
        <w:t>7 3 Workshop customer journey</w:t>
      </w:r>
    </w:p>
    <w:p>
      <w:r>
        <w:t>A trade or DIY customer opens Board Sales, selects a confirmed board product or describes a requirement, specifies full sheets or cut-to-size supply, adds quantity and collection or delivery preference, and requests a quote. No cutting list is required for full-sheet sales. Customers requesting cutting upload a list or request assistance and specify any edging or drilling. Staff confirm product availability, processing capability, price and lead time. Workshop production begins only after the approved specifications and commercial conditions are confirmed.</w:t>
      </w:r>
    </w:p>
    <w:p>
      <w:pPr>
        <w:pStyle w:val="Heading2"/>
      </w:pPr>
      <w:r>
        <w:t>7 4 General experience rules</w:t>
      </w:r>
    </w:p>
    <w:p>
      <w:r>
        <w:rPr>
          <w:b/>
        </w:rPr>
        <w:t xml:space="preserve">FR 10 Must. </w:t>
      </w:r>
      <w:r>
        <w:t>Keep forms short initially, reveal only relevant fields and explain why important information is requested. Provide Back and Next, a clear progress indicator, review before submission and field level error messages that preserve entered data. Allow Not sure for budget, dimensions, intended unit count and materials when reasonable. Do not require a precise street address at first contact.</w:t>
      </w:r>
    </w:p>
    <w:p>
      <w:r>
        <w:t>Use a mobile bottom action bar only if it does not obscure content, form controls or accessibility focus. Keep WhatsApp as an alternative contact path, not the sole route. Opening a WhatsApp link must be user initiated and contain no private form data by default.</w:t>
      </w:r>
    </w:p>
    <w:p>
      <w:r>
        <w:rPr>
          <w:b/>
        </w:rPr>
        <w:t xml:space="preserve">Acceptance: </w:t>
      </w:r>
      <w:r>
        <w:t>A customer can complete a valid basic enquiry without attachments, a budget figure or an account. A maintenance enquiry can be completed through a short version. Validation errors place focus on an error summary and preserve entered values.</w:t>
      </w:r>
    </w:p>
    <w:p>
      <w:pPr>
        <w:pStyle w:val="Heading1"/>
      </w:pPr>
      <w:r>
        <w:t>8 Quotation request forms</w:t>
      </w:r>
    </w:p>
    <w:p>
      <w:pPr>
        <w:pStyle w:val="Heading2"/>
      </w:pPr>
      <w:r>
        <w:t>8 1 Common fields</w:t>
      </w:r>
    </w:p>
    <w:p>
      <w:r>
        <w:rPr>
          <w:b/>
        </w:rPr>
        <w:t xml:space="preserve">FR 11 Must. </w:t>
      </w:r>
      <w:r>
        <w:t>Collect full name, at least one usable contact method, preferred contact channel, service selections, suburb or town, short description and an acknowledgement of the linked privacy notice. Require a phone number for call or WhatsApp preference, and an email address for email preference. Use international friendly number validation and normalise where possible. Offer business name, budget band, desired start period and attachments as optional fields.</w:t>
      </w:r>
    </w:p>
    <w:p>
      <w:r>
        <w:t>Marketing opt in must be separate, optional and unchecked. Store privacy notice version and submission time. Do not make marketing permission a condition of receiving a quote. Explain how enquiry details will be used and who will contact the visitor.</w:t>
      </w:r>
    </w:p>
    <w:p>
      <w:pPr>
        <w:pStyle w:val="Heading2"/>
      </w:pPr>
      <w:r>
        <w:t>8 2 Conditional fields by enquiry type</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2304"/>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Type</w:t>
            </w:r>
          </w:p>
        </w:tc>
        <w:tc>
          <w:tcPr>
            <w:tcW w:type="dxa" w:w="3888"/>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Required information beyond common fields</w:t>
            </w:r>
          </w:p>
        </w:tc>
        <w:tc>
          <w:tcPr>
            <w:tcW w:type="dxa" w:w="3744"/>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Optional or not sure information</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Property transformation</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Owner or authorised representative status; existing house or additional land; intended rental, short stay or personal use</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Approximate land and building area in square metres, desired unit type and number, occupied status, existing plans, approval status</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Construction and extension</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Nature of requested work and location</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Approximate area, existing structure, drawing status, utilities and target period</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Renovation and maintenance</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Affected room or building area and description</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Urgency, occupancy, photos, access restrictions and preferred visit period</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Interiors</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Rooms involved and objective</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Style references, furnishings, approximate room sizes and finish preferences</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Cabinetry</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Product type; supply only, fix and supply or undecided</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Dimensions in millimetres, measurement assistance, layout, board or finish, hardware preferences, existing worktop or plumbing constraints</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 cutting</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Upload a list or request help preparing one; material supply preference</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Material and thickness, grain direction, edging, quantities, timing, collection or delivery</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Materials</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Category or item and requested quantity with unit</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Brand, specification, substitute acceptance, delivery and required date</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Board sales</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Board product or requested type; quantity and unit; full sheets or cut-to-size supply</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Finish, thickness and size if not already selected; cutting, edging or drilling; collection or delivery; required date</w:t>
            </w:r>
          </w:p>
        </w:tc>
      </w:tr>
    </w:tbl>
    <w:p>
      <w:pPr>
        <w:spacing w:after="40"/>
      </w:pPr>
    </w:p>
    <w:p>
      <w:r>
        <w:rPr>
          <w:b/>
        </w:rPr>
        <w:t xml:space="preserve">FR 12 Must. </w:t>
      </w:r>
      <w:r>
        <w:t>Support more than one service in an enquiry using a common request plus separate service sections. Assign one accountable lead owner and allow collaborators. Never send multiple unrelated acknowledgement emails for the same submission.</w:t>
      </w:r>
    </w:p>
    <w:p>
      <w:pPr>
        <w:pStyle w:val="Heading2"/>
      </w:pPr>
      <w:r>
        <w:t>8 3 Cutting list specification</w:t>
      </w:r>
    </w:p>
    <w:p>
      <w:r>
        <w:rPr>
          <w:b/>
        </w:rPr>
        <w:t xml:space="preserve">FR 13 Must. </w:t>
      </w:r>
      <w:r>
        <w:t>At launch accept a PDF, image or XLSX cutting list and provide clear downloadable or on page instructions. List fields are part identifier, material or board code, finish or colour, thickness in millimetres, length, width, quantity, grain direction, four individual edge treatments, drilling instructions and notes. State whether submitted measurements mean finished part sizes or saw cut sizes; the workshop must select and document one convention before launch.</w:t>
      </w:r>
    </w:p>
    <w:p>
      <w:r>
        <w:t>Define edge references with a labelled diagram or instructions: length side A, length side B, width side A and width side B. Record edging material and thickness rather than a single ambiguous yes or no. Keep grain orientation distinct from rotation permission. Group parts by material, finish and thickness. Customer supplied boards require a workshop inspection policy.</w:t>
      </w:r>
    </w:p>
    <w:p>
      <w:r>
        <w:rPr>
          <w:b/>
        </w:rPr>
        <w:t xml:space="preserve">FR 14 Should. </w:t>
      </w:r>
      <w:r>
        <w:t>Add an online table editor with add, duplicate, delete and material group actions. Validate positive finite dimensions, positive integer quantities, confirmed material options and machine limits. Set a configurable maximum row count, initially 200, and paginate or virtualise appropriately. Support manual review for unknown materials. Do not silently rotate grain sensitive panels or treat an incomplete list as production ready.</w:t>
      </w:r>
    </w:p>
    <w:p>
      <w:r>
        <w:rPr>
          <w:b/>
        </w:rPr>
        <w:t xml:space="preserve">Acceptance: </w:t>
      </w:r>
      <w:r>
        <w:t>Launch requests accept either a valid attachment or an explicit request for measurement or list preparation help. In the later editor, invalid rows are identified before submission; copied rows preserve edge and grain specifications; out of range parts are flagged. An uploaded spreadsheet is stored as a document at launch, not automatically executed or parsed.</w:t>
      </w:r>
    </w:p>
    <w:p>
      <w:pPr>
        <w:pStyle w:val="Heading2"/>
      </w:pPr>
      <w:r>
        <w:t>8 4 Attachments and submission behaviour</w:t>
      </w:r>
    </w:p>
    <w:p>
      <w:r>
        <w:rPr>
          <w:b/>
        </w:rPr>
        <w:t xml:space="preserve">FR 15 Must. </w:t>
      </w:r>
      <w:r>
        <w:t>Accept JPEG, PNG, WebP, PDF and XLSX, with up to five files and 10 MB per file as an initial configurable limit. Explain allowed files and limits before upload. Exclude executables, macro enabled workbooks, archives and arbitrary CAD files at launch. Provide upload progress, removal, scan pending state and retry. Staff request alternative file formats through a controlled process if needed.</w:t>
      </w:r>
    </w:p>
    <w:p>
      <w:r>
        <w:rPr>
          <w:b/>
        </w:rPr>
        <w:t xml:space="preserve">FR 16 Must. </w:t>
      </w:r>
      <w:r>
        <w:t>A successful submission creates a persistent record and a unique reference. Show the reference and next step only after the server confirms persistence. An idempotency key prevents a retry or double tap from creating duplicate records. Form details and files must be associated atomically where practical; failed or abandoned upload sessions expire and are cleaned up.</w:t>
      </w:r>
    </w:p>
    <w:p>
      <w:r>
        <w:t>Acknowledgement email is sent when email is available. A phone only customer sees an on screen acknowledgement and receives staff contact through the selected channel. Optional customer messaging automation is a later integration. Notification failures must not destroy a stored enquiry or cause the interface to report a false submission failure.</w:t>
      </w:r>
    </w:p>
    <w:p>
      <w:r>
        <w:rPr>
          <w:b/>
        </w:rPr>
        <w:t xml:space="preserve">Acceptance: </w:t>
      </w:r>
      <w:r>
        <w:t>Simulated email outage leaves the enquiry accessible to staff, marks delivery pending and retries. A network retry with the same key returns the original reference. Suspicious files remain quarantined and cannot be downloaded by staff until cleared. If scanning is unavailable, uploads remain pending rather than becoming public.</w:t>
      </w:r>
    </w:p>
    <w:p>
      <w:pPr>
        <w:pStyle w:val="Heading1"/>
      </w:pPr>
      <w:r>
        <w:t>9 Staff lead and quotation workflow</w:t>
      </w:r>
    </w:p>
    <w:p>
      <w:pPr>
        <w:pStyle w:val="Heading2"/>
      </w:pPr>
      <w:r>
        <w:t>9 1 Enquiry state model</w:t>
      </w:r>
    </w:p>
    <w:p>
      <w:r>
        <w:rPr>
          <w:b/>
        </w:rPr>
        <w:t xml:space="preserve">FR 17 Must. </w:t>
      </w:r>
      <w:r>
        <w:t>Use New, Contacted, Awaiting Information, Assessment Scheduled, Assessment Complete, Quote in Preparation, Quote Sent, Won, Lost and Closed. Workshop enquiries can move from Contacted directly to Quote in Preparation. Invalid or abusive entries can be marked Spam with a reason. Every change records actor, timestamp and optional explanatory note. Allow correction or reopening by authorised staff with an audit reason.</w:t>
      </w:r>
    </w:p>
    <w:p>
      <w:r>
        <w:t>Won means a business approved commercial confirmation exists and its evidence is recorded. A button click or an email open alone must not mark a job won. Quote acceptance is handled through the owner's approved contract process at launch. Quotation expired is a quote state, not necessarily a lost enquiry.</w:t>
      </w:r>
    </w:p>
    <w:p>
      <w:pPr>
        <w:pStyle w:val="Heading2"/>
      </w:pPr>
      <w:r>
        <w:t>9 2 Assignment and follow up</w:t>
      </w:r>
    </w:p>
    <w:p>
      <w:r>
        <w:rPr>
          <w:b/>
        </w:rPr>
        <w:t xml:space="preserve">FR 18 Must. </w:t>
      </w:r>
      <w:r>
        <w:t>Route service families to designated teams, flag out of area enquiries for review, and provide an unassigned queue. Store one owner, priority, follow up date, source, associated project and internal notes. Mixed enquiries have one coordinator. Email alerts direct employees to an authenticated record and do not attach private customer plans by default.</w:t>
      </w:r>
    </w:p>
    <w:p>
      <w:r>
        <w:t>Display new enquiries, overdue follow ups and outstanding scans. Apply reminders only during configured operating hours. Proposed internal targets are first contact within one business day and an agreed quote date after information or assessment is complete. Avoid promising a final construction quote within 24 hours without operational support.</w:t>
      </w:r>
    </w:p>
    <w:p>
      <w:pPr>
        <w:pStyle w:val="Heading2"/>
      </w:pPr>
      <w:r>
        <w:t>9 3 Quotes</w:t>
      </w:r>
    </w:p>
    <w:p>
      <w:r>
        <w:rPr>
          <w:b/>
        </w:rPr>
        <w:t xml:space="preserve">FR 19 Must. </w:t>
      </w:r>
      <w:r>
        <w:t>Allow authorised estimators to attach a reviewed quote PDF and record quote number, revision, amount, currency, tax treatment, issue date, expiry date and delivery status. Only an authorised approver can send a quote. Sent revisions are immutable; new versions supersede previous ones while retaining the original record. Protect customer quote links using sufficiently random, expiring tokens; allow revocation and avoid indexable public URLs.</w:t>
      </w:r>
    </w:p>
    <w:p>
      <w:r>
        <w:t>Formal quotes must state scope, materials, labour, exclusions, assumptions, measurement responsibility, approvals responsibility, delivery or installation terms, payment milestones, variation process and warranty terms as applicable. Tax settings depend on jurisdiction and verified registration, not a hardcoded assumption. Quote values use decimal money fields and explicit currency.</w:t>
      </w:r>
    </w:p>
    <w:p>
      <w:r>
        <w:rPr>
          <w:b/>
        </w:rPr>
        <w:t xml:space="preserve">FR 20 Should. </w:t>
      </w:r>
      <w:r>
        <w:t>Introduce quote line item generation, PDF templates, recorded electronic acceptance of a specific version, declined reasons and expiring reminders. Keep assessments, estimates, quotations, contracts and invoices distinct. Later payment receipts and reconciliation must be linked to the correct accepted revision and contract.</w:t>
      </w:r>
    </w:p>
    <w:p>
      <w:r>
        <w:rPr>
          <w:b/>
        </w:rPr>
        <w:t xml:space="preserve">Acceptance: </w:t>
      </w:r>
      <w:r>
        <w:t>An estimator cannot send a quote without approval authority. A superseded quote remains in staff history and is labelled accordingly on any accessible customer view. Notification provider failure triggers retry without creating another revision or sending uncontrolled duplicates.</w:t>
      </w:r>
    </w:p>
    <w:p>
      <w:pPr>
        <w:pStyle w:val="Heading1"/>
      </w:pPr>
      <w:r>
        <w:t>10 Administration and content management</w:t>
      </w:r>
    </w:p>
    <w:p>
      <w:r>
        <w:t>FR 21 Must. Provide a protected administration area supporting federated staff access grants, service availability, service areas, pages, FAQs, project records, image galleries, workshop catalogue and enquiry management. Use structured forms rather than allowing arbitrary scripts or layout HTML. Offer draft, preview, published and archived states, slug validation, ordering and reversible content revisions.</w:t>
      </w:r>
    </w:p>
    <w:p>
      <w:r>
        <w:rPr>
          <w:b/>
        </w:rPr>
        <w:t xml:space="preserve">FR 22 Must. </w:t>
      </w:r>
      <w:r>
        <w:t>Portfolio uploads require captions, alternative text, stage labels, category tags and publication permission status. Create responsive derivatives, preserve approved originals separately and remove location metadata from public imagery. Show a preview before publication. No image is published without clearance.</w:t>
      </w:r>
    </w:p>
    <w:p>
      <w:r>
        <w:t>FR 23 Must. Roles are Administrator, Sales Coordinator, Estimator, Content Editor and Read Only Reviewer. Administrator manages staff access grants and configuration without creating local passwords. Sales manages assigned enquiries. Estimator accesses authorised service enquiries and drafts quotes. Content Editor edits public content without customer file access. Reviewer sees only granted records. Owner approval permissions can be granted separately from the Administrator role.</w:t>
      </w:r>
    </w:p>
    <w:p>
      <w:r>
        <w:rPr>
          <w:b/>
        </w:rPr>
        <w:t xml:space="preserve">FR 24 Must. </w:t>
      </w:r>
      <w:r>
        <w:t>Enforce permissions on the server for every record and file request. Provide audit history for content publication, user permission changes, enquiry export, quote issue and sensitive record access. Use deactivation instead of deleting users referenced in history. CSV exports are restricted, audited and protected against spreadsheet formula injection.</w:t>
      </w:r>
    </w:p>
    <w:p>
      <w:r>
        <w:rPr>
          <w:b/>
        </w:rPr>
        <w:t xml:space="preserve">Acceptance: </w:t>
      </w:r>
      <w:r>
        <w:t>A content editor cannot retrieve customer attachments using a copied URL or API request. An archived service is absent from new public selection but remains on historic enquiries. Draft content is excluded from public APIs, sitemap and search indexing.</w:t>
      </w:r>
    </w:p>
    <w:p>
      <w:pPr>
        <w:pStyle w:val="Heading1"/>
      </w:pPr>
      <w:r>
        <w:t>11 Visual design and content assets</w:t>
      </w:r>
    </w:p>
    <w:p>
      <w:r>
        <w:t>Use a restrained, contemporary design reflecting the owner's actual work: neutral surfaces, a warm material accent, readable type, strong photographs and generous spacing. Final colours and logo depend on branding approval. Quality should come from authentic workmanship and clear information, with subtle movement only when useful.</w:t>
      </w:r>
    </w:p>
    <w:p>
      <w:r>
        <w:t>The design system must define type sizes, spacing, colours, buttons, cards, labels, inputs, status chips, tables, dialogs, focus indicators, loading states and error states. Use one consistent service taxonomy across navigation, forms, projects and administration. Avoid separate visual identities for every service family.</w:t>
      </w:r>
    </w:p>
    <w:p>
      <w:r>
        <w:rPr>
          <w:b/>
        </w:rPr>
        <w:t xml:space="preserve">FR 25 Must. </w:t>
      </w:r>
      <w:r>
        <w:t>Design and verify phone, tablet and desktop layouts, including narrow 320 CSS pixel screens. Ensure text wraps, navigation collapses sensibly and photographs retain appropriate crops. Provide reduced motion behaviour. Photo grids must reserve image space so loading does not move nearby controls.</w:t>
      </w:r>
    </w:p>
    <w:p>
      <w:r>
        <w:t>Content inventory should include all three property profiles, available before and after photography, at least one detailed transformation case study, available examples across cabinetry categories, team and workshop imagery, the service list, delivery and material policies, FAQs, contact details and approved legal policies. Aim for a curated set of 30 to 60 photographs where available rather than an unedited image dump; launch with fewer strong images if necessary.</w:t>
      </w:r>
    </w:p>
    <w:p>
      <w:r>
        <w:t>Record the photographer or licence, permission owner, allowed use, image stage and any privacy editing required. Do not invent testimonials to fill a layout. Owner developments are useful proof of delivery, but they do not establish experience serving external customers. Optional cost or income figures require evidence, dated context, publication approval and explanation of what is included.</w:t>
      </w:r>
    </w:p>
    <w:p>
      <w:pPr>
        <w:pStyle w:val="Heading1"/>
      </w:pPr>
      <w:r>
        <w:t>12 Data model and API contract</w:t>
      </w:r>
    </w:p>
    <w:p>
      <w:pPr>
        <w:pStyle w:val="Heading2"/>
      </w:pPr>
      <w:r>
        <w:t>12 1 Core entities</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2232"/>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Entity</w:t>
            </w:r>
          </w:p>
        </w:tc>
        <w:tc>
          <w:tcPr>
            <w:tcW w:type="dxa" w:w="7704"/>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Key fields and relationships</w:t>
            </w:r>
          </w:p>
        </w:tc>
      </w:tr>
      <w:tr>
        <w:trPr>
          <w:cantSplit/>
          <w:cantSplit/>
        </w:trPr>
        <w:tc>
          <w:tcPr>
            <w:tcW w:type="dxa" w:w="223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Service</w:t>
            </w:r>
          </w:p>
        </w:tc>
        <w:tc>
          <w:tcPr>
            <w:tcW w:type="dxa" w:w="77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slug, family, title, description, availability, sort order and form schema version</w:t>
            </w:r>
          </w:p>
        </w:tc>
      </w:tr>
      <w:tr>
        <w:trPr>
          <w:cantSplit/>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Project</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slug, title, approximate location, ownership designation, narrative, category links and publication state</w:t>
            </w:r>
          </w:p>
        </w:tc>
      </w:tr>
      <w:tr>
        <w:trPr>
          <w:cantSplit/>
          <w:cantSplit/>
        </w:trPr>
        <w:tc>
          <w:tcPr>
            <w:tcW w:type="dxa" w:w="223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Media asset</w:t>
            </w:r>
          </w:p>
        </w:tc>
        <w:tc>
          <w:tcPr>
            <w:tcW w:type="dxa" w:w="77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storage key, visibility, scan status, derivatives, caption, alt text, rights and related project or enquiry</w:t>
            </w:r>
          </w:p>
        </w:tc>
      </w:tr>
      <w:tr>
        <w:trPr>
          <w:cantSplit/>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Catalogue item</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SKU if applicable, category, specification, unit, availability wording and publication state</w:t>
            </w:r>
          </w:p>
        </w:tc>
      </w:tr>
      <w:tr>
        <w:trPr>
          <w:cantSplit/>
          <w:cantSplit/>
        </w:trPr>
        <w:tc>
          <w:tcPr>
            <w:tcW w:type="dxa" w:w="223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w:t>
            </w:r>
          </w:p>
        </w:tc>
        <w:tc>
          <w:tcPr>
            <w:tcW w:type="dxa" w:w="77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UUID, customer reference, contact details, services, location, description, state, owner, source, notice version and timestamps</w:t>
            </w:r>
          </w:p>
        </w:tc>
      </w:tr>
      <w:tr>
        <w:trPr>
          <w:cantSplit/>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 details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Versioned structured fields by service; cutting list attachment references or later part rows</w:t>
            </w:r>
          </w:p>
        </w:tc>
      </w:tr>
      <w:tr>
        <w:trPr>
          <w:cantSplit/>
          <w:cantSplit/>
        </w:trPr>
        <w:tc>
          <w:tcPr>
            <w:tcW w:type="dxa" w:w="223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Attachment</w:t>
            </w:r>
          </w:p>
        </w:tc>
        <w:tc>
          <w:tcPr>
            <w:tcW w:type="dxa" w:w="77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 link, upload session, filename, type, byte size, storage key, checksum, scan state and expiry metadata</w:t>
            </w:r>
          </w:p>
        </w:tc>
      </w:tr>
      <w:tr>
        <w:trPr>
          <w:cantSplit/>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Assessment</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 link, assigned staff, proposed and confirmed time, status, findings and private notes</w:t>
            </w:r>
          </w:p>
        </w:tc>
      </w:tr>
      <w:tr>
        <w:trPr>
          <w:cantSplit/>
          <w:cantSplit/>
        </w:trPr>
        <w:tc>
          <w:tcPr>
            <w:tcW w:type="dxa" w:w="223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 revision</w:t>
            </w:r>
          </w:p>
        </w:tc>
        <w:tc>
          <w:tcPr>
            <w:tcW w:type="dxa" w:w="77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 link, quote number, revision, amount, currency, tax treatment, dates, document link, approval and issue state</w:t>
            </w:r>
          </w:p>
        </w:tc>
      </w:tr>
      <w:tr>
        <w:trPr>
          <w:cantSplit/>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Activity and task</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 or content link, actor, action, timestamp, follow up date and result</w:t>
            </w:r>
          </w:p>
        </w:tc>
      </w:tr>
      <w:tr>
        <w:trPr>
          <w:cantSplit/>
          <w:cantSplit/>
        </w:trPr>
        <w:tc>
          <w:tcPr>
            <w:tcW w:type="dxa" w:w="223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User and permission</w:t>
            </w:r>
          </w:p>
        </w:tc>
        <w:tc>
          <w:tcPr>
            <w:tcW w:type="dxa" w:w="77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Identity provider subject, active state, roles and record or team access grants</w:t>
            </w:r>
          </w:p>
        </w:tc>
      </w:tr>
      <w:tr>
        <w:trPr>
          <w:cantSplit/>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Notification outbox</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Event ID, recipient, template, attempt count, next attempt, delivery state and provider reference</w:t>
            </w:r>
          </w:p>
        </w:tc>
      </w:tr>
    </w:tbl>
    <w:p>
      <w:pPr>
        <w:spacing w:after="40"/>
      </w:pPr>
    </w:p>
    <w:p>
      <w:r>
        <w:t>Use referential integrity, UTC timestamps with business timezone display, uniqueness on submission idempotency keys and quote numbers, and indexes for status, owner, service and creation date. Keep internal UUIDs separate from friendly customer references. A reference number alone never authorises access.</w:t>
      </w:r>
    </w:p>
    <w:p>
      <w:pPr>
        <w:pStyle w:val="Heading2"/>
      </w:pPr>
      <w:r>
        <w:t>12 2 Proposed API surface</w:t>
      </w:r>
    </w:p>
    <w:p>
      <w:r>
        <w:t>Public endpoints: GET /api/v1/services; GET /api/v1/projects with filters and pagination; GET /api/v1/projects/{slug}; GET /api/v1/catalogue; POST /api/v1/upload-sessions; POST /api/v1/enquiries. Upload sessions use short lived scoped permissions, size limits and expiry, and are finalised only after server checks. Public GET endpoints expose published fields only.</w:t>
      </w:r>
    </w:p>
    <w:p>
      <w:r>
        <w:t>Authenticated staff endpoints: GET /api/v1/admin/enquiries; GET and PATCH /api/v1/admin/enquiries/{id}; POST /api/v1/admin/enquiries/{id}/activities; POST /api/v1/admin/enquiries/{id}/assessments; POST /api/v1/admin/enquiries/{id}/quote-revisions; POST /api/v1/admin/quote-revisions/{id}/send; and controlled content, user, file and export endpoints.</w:t>
      </w:r>
    </w:p>
    <w:p>
      <w:r>
        <w:t>Document schemas in OpenAPI, including enums, field limits, validation errors, pagination, authorisation and examples with synthetic data. Use consistent HTTP semantics: 201 on persisted creation, 400 or 422 for validation, 401 or 403 for access failures, 413 for excess size and 429 for rate limiting. Return a correlation ID with safe errors. Apply optimistic concurrency when staff edit the same record; warn rather than silently overwriting another user's update.</w:t>
      </w:r>
    </w:p>
    <w:p>
      <w:pPr>
        <w:pStyle w:val="Heading1"/>
      </w:pPr>
      <w:r>
        <w:t>13 Security privacy and professional boundaries</w:t>
      </w:r>
    </w:p>
    <w:p>
      <w:pPr>
        <w:pStyle w:val="Heading2"/>
      </w:pPr>
      <w:r>
        <w:t>13 1 Application security</w:t>
      </w:r>
    </w:p>
    <w:p>
      <w:r>
        <w:rPr>
          <w:b/>
        </w:rPr>
        <w:t xml:space="preserve">NFR 01 Must. </w:t>
      </w:r>
      <w:r>
        <w:t>Use HTTPS, secure headers, appropriate CSP, secure cookies where applicable, server side validation, parameterised database access, sanitised rich text, explicit CORS policy and CSRF protection when cookie authenticated actions require it. Keep provider keys and database credentials server side. Enforce MFA for staff and promptly revoke departing users. Do not put private customer details into exception traces or page URLs.</w:t>
      </w:r>
    </w:p>
    <w:p>
      <w:r>
        <w:rPr>
          <w:b/>
        </w:rPr>
        <w:t xml:space="preserve">NFR 02 Must. </w:t>
      </w:r>
      <w:r>
        <w:t>Apply rate limits, honeypot protection and an accessible anti bot challenge if abuse warrants it. Enforce upload restrictions using extension, MIME and signature checks where applicable, generated storage names, quarantine, malware scanning and authorisation. OWASP recommends layered validation and isolated storage because a filename or browser reported MIME type alone is insufficient. [S3]</w:t>
      </w:r>
    </w:p>
    <w:p>
      <w:r>
        <w:t>Issue short lived signed download URLs only after authorised access checks, or proxy downloads when immediate revocation is required. Do not render unknown PDFs or spreadsheets in a public document viewer. Prevent public storage listing and log redacted security events. Test horizontal and role based access controls directly at API level.</w:t>
      </w:r>
    </w:p>
    <w:p>
      <w:pPr>
        <w:pStyle w:val="Heading2"/>
      </w:pPr>
      <w:r>
        <w:t>13 2 Privacy operations</w:t>
      </w:r>
    </w:p>
    <w:p>
      <w:r>
        <w:rPr>
          <w:b/>
        </w:rPr>
        <w:t xml:space="preserve">NFR 03 Must. </w:t>
      </w:r>
      <w:r>
        <w:t>Publish an accurate privacy notice identifying the business, purposes, data collected, processors, retention approach, contact and customer rights process. Collect only needed information; delay detailed plans and exact addresses when possible. In a South African deployment, assess POPIA obligations, operator agreements and any cross border processing with the actual hosting and messaging providers. POPIA addresses personal information processing and cross border flows. [S4]</w:t>
      </w:r>
    </w:p>
    <w:p>
      <w:r>
        <w:t>Separate requested service communication from optional future marketing. Implement opt out and consent evidence for marketing if added, and have the owner approve the applicable basis and wording. The Information Regulator provides direct marketing guidance covering sections 11 and 69. [S5]</w:t>
      </w:r>
    </w:p>
    <w:p>
      <w:r>
        <w:t>Proposed retention starting points are 12 months after closure for unsuccessful enquiries, 30 days for abandoned uploads and spam unless needed for an incident, and contract records retained under an approved accounting and legal policy. These are configurable business proposals, not statutory periods. Define deletion, correction, export, legal hold and backup expiry procedures before production. Select and approve a policy for nonessential analytics or third party embeds; forms must continue working when visitors decline optional tracking.</w:t>
      </w:r>
    </w:p>
    <w:p>
      <w:pPr>
        <w:pStyle w:val="Heading2"/>
      </w:pPr>
      <w:r>
        <w:t>13 3 Building and design claims</w:t>
      </w:r>
    </w:p>
    <w:p>
      <w:r>
        <w:t>The owner's style and conceptual ideas can be showcased, but the website must accurately identify who provides regulated professional services. SACAP's public guidance states that unregistered persons cannot provide architectural services in South Africa and recommends verifying registration and competence. Confirm the owner's status and any partner scope before advertising architectural design, plans submission or professional titles. [S6]</w:t>
      </w:r>
    </w:p>
    <w:p>
      <w:r>
        <w:t>For property conversions and additions, the assessment process must identify which municipality and professional reviews are needed. The South African building standards framework concerns buildings within local authority jurisdiction; the actual project's zoning, development rights and approval requirements require location specific confirmation. [S7] Do not promise that every large plot can support additional rentable units.</w:t>
      </w:r>
    </w:p>
    <w:p>
      <w:r>
        <w:t>The website should state responsibility for checking land use, approved plans, structural alterations, occupancy, fire and life safety, utilities, access and any rental or short stay constraints. These are project assessment topics, not determinations made by the website. Verify any builder registration, insurance, trade certification or supplier partnership before displaying badges. The software must not publish an assurance of legal compliance merely because a user completes an enquiry form.</w:t>
      </w:r>
    </w:p>
    <w:p>
      <w:pPr>
        <w:pStyle w:val="Heading1"/>
      </w:pPr>
      <w:r>
        <w:t>14 Performance accessibility and search requirements</w:t>
      </w:r>
    </w:p>
    <w:p>
      <w:r>
        <w:rPr>
          <w:b/>
        </w:rPr>
        <w:t xml:space="preserve">NFR 04 Must. </w:t>
      </w:r>
      <w:r>
        <w:t>Target WCAG 2.2 Level AA across public and staff journeys. Provide semantic headings, labelled controls, keyboard operated menus and galleries, visible unobscured focus, meaningful alt text, error summaries, sufficient contrast, usable target sizes and screen reader status announcements. Meet minimum target size requirements with applicable exceptions; aim for 44 by 44 CSS pixel primary touch controls. Automated checking alone does not establish conformance. [S1]</w:t>
      </w:r>
    </w:p>
    <w:p>
      <w:r>
        <w:rPr>
          <w:b/>
        </w:rPr>
        <w:t xml:space="preserve">NFR 05 Must. </w:t>
      </w:r>
      <w:r>
        <w:t>Target good Core Web Vitals at the 75th percentile of field visits when sufficient data exists: LCP no more than 2.5 seconds, INP no more than 200 milliseconds and CLS no more than 0.1. These are the published good thresholds. [S2] Before traffic exists, use repeatable mobile lab testing and interaction checks as proxies, then review field data.</w:t>
      </w:r>
    </w:p>
    <w:p>
      <w:r>
        <w:t>Use responsive optimised images with appropriate browser fallbacks, reserved image dimensions, lazy loading below the fold and appropriate priority for the hero image. Set a proposed initial page transfer budget of 1.5 MB for key marketing pages and about 250 KB compressed JavaScript where achievable; validate against the selected implementation and actual imagery. These budgets are project targets, not industry guarantees. Avoid loading entire galleries, video libraries or large third party embeds on first visit.</w:t>
      </w:r>
    </w:p>
    <w:p>
      <w:r>
        <w:rPr>
          <w:b/>
        </w:rPr>
        <w:t xml:space="preserve">NFR 06 Must. </w:t>
      </w:r>
      <w:r>
        <w:t>Provide crawlable rendered content, unique titles and descriptions, canonical URLs, XML sitemap, robots rules and structured data reflecting verified facts. Use appropriate business, service and breadcrumb data; do not fabricate review ratings. Apply noindex and access protection to admin, drafts and token based quote pages. Search directives are not a substitute for authentication. Handle redirects when slugs change and provide useful 404 pages.</w:t>
      </w:r>
    </w:p>
    <w:p>
      <w:r>
        <w:t>Build service area content around places actually served, with verified contact consistency and genuine local project evidence. Add social sharing images and monitor search indexing. Use internal links among services, related case studies and enquiries. Do not rely on search ranking promises as an acceptance criterion.</w:t>
      </w:r>
    </w:p>
    <w:p>
      <w:pPr>
        <w:pStyle w:val="Heading1"/>
      </w:pPr>
      <w:r>
        <w:t>15 Reliability and operations</w:t>
      </w:r>
    </w:p>
    <w:p>
      <w:r>
        <w:rPr>
          <w:b/>
        </w:rPr>
        <w:t xml:space="preserve">NFR 07 Must. </w:t>
      </w:r>
      <w:r>
        <w:t>Proposed launch availability target is 99.5 percent per calendar month for public pages and enquiry submission, measured by synthetic checks and provider incident records. Confirm provider support and operating budget before adopting it contractually. Alert the designated operator on submission failure, persistent queue backlog, scan outage, email failure or storage problems.</w:t>
      </w:r>
    </w:p>
    <w:p>
      <w:r>
        <w:rPr>
          <w:b/>
        </w:rPr>
        <w:t xml:space="preserve">NFR 08 Must. </w:t>
      </w:r>
      <w:r>
        <w:t>Back up database and private files with encryption, restricted access and retention. Proposed recovery objectives are no more than 24 hours data loss and restoration within eight business hours for a major failure. Use more frequent database recovery if the business needs it. A database backup without the corresponding attachment storage is incomplete. Perform a staging restore before launch and at least quarterly thereafter, recording results.</w:t>
      </w:r>
    </w:p>
    <w:p>
      <w:r>
        <w:t>Monitor API latency, failed submissions, queue age, attachment scans, storage growth, email bounces and errors. Proposed API target is p95 under one second for metadata and lead persistence, excluding file transfer, scan and third party delivery, using an agreed staging workload initially 20 concurrent users and representative records. Benchmark and adjust before committing to contractual targets.</w:t>
      </w:r>
    </w:p>
    <w:p>
      <w:r>
        <w:t>Provide support ownership, escalation contacts, dependency update policy, rollback steps, backup instructions, data export procedures, staff onboarding and offboarding, and an account ownership register. Use synthetic data in staging and prevent staging pages being indexed.</w:t>
      </w:r>
    </w:p>
    <w:p>
      <w:pPr>
        <w:pStyle w:val="Heading1"/>
      </w:pPr>
      <w:r>
        <w:t>16 Acceptance tests and launch gates</w:t>
      </w:r>
    </w:p>
    <w:p>
      <w:r>
        <w:t>The developer and owner should convert these scenarios into backlog acceptance criteria and retain evidence from staging. Use actual browsers and devices for critical journeys. Tests should verify outcomes and failures rather than mirror implementation details.</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2304"/>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Test</w:t>
            </w:r>
          </w:p>
        </w:tc>
        <w:tc>
          <w:tcPr>
            <w:tcW w:type="dxa" w:w="3888"/>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Requirements</w:t>
            </w:r>
          </w:p>
        </w:tc>
        <w:tc>
          <w:tcPr>
            <w:tcW w:type="dxa" w:w="3744"/>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Required result</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01 Public navigation</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01 to 09</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Services, projects and contact routes work on phone and desktop; no broken primary actions</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02 Property enquiry</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02, 10 to 12, 16</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Valid phone only assessment request persists once and displays a reference</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03 Cabinetry enquiry</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06, 11 to 12</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Product reference and conditional details reach the correct staff record</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04 Cutting list enquiry</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07, 13, 15</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Valid list is privately stored; help requested route works without a file</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05 Validation recovery</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10 to 16</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Invalid input shows accessible errors without losing other entered data</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06 Duplicate submission</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16</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Retry or double tap creates one enquiry and one acknowledgement job</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07 Provider outage</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16, 18 to 19</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Stored request survives email or scan outage; failures remain visible and retryable</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08 Staff permissions</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23 to 24, NFR 01 to 02</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Forbidden API and file requests fail even with copied IDs or URLs</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09 Quote issue</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19</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Only approved revision sends; old revision remains immutable and superseded</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10 Publication</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21 to 22</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Draft is private; approved publication reaches public pages within agreed interval</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11 Privacy and tracking</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11, NFR 03</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Marketing optional; refusal of tracking leaves enquiry usable; no PII in analytics</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12 Accessibility</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NFR 04</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Keyboard, screen reader and automated checks pass critical journeys with manual review</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13 Performance and search</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NFR 05 to 06</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Agreed mobile budgets verified; titles, sitemap and crawlable pages correct</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14 Restore and rollback</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NFR 07 to 08</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Staging recovery restores records and corresponding files; rollback rehearsed</w:t>
            </w:r>
          </w:p>
        </w:tc>
      </w:tr>
      <w:tr>
        <w:trPr>
          <w:cantSplit/>
        </w:trPr>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AT 15 Standalone board sales</w:t>
            </w:r>
          </w:p>
        </w:tc>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FR 07, 11 to 12</w:t>
            </w:r>
          </w:p>
        </w:tc>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Full-sheet board quote requires no construction or cutting selection; product, quantity, unit and delivery preference reach staff</w:t>
            </w:r>
          </w:p>
        </w:tc>
      </w:tr>
    </w:tbl>
    <w:p>
      <w:pPr>
        <w:spacing w:after="40"/>
      </w:pPr>
    </w:p>
    <w:p>
      <w:r>
        <w:t>Before launch, the owner approves service claims, project facts, imagery rights, contact details, response process, professional responsibilities and policies. Staff must successfully receive, assign, follow up and quote test enquiries. All Must requirements must pass or have a documented owner accepted exception with its consequence and remediation date. No unresolved access control or private file exposure defect may be waived for launch.</w:t>
      </w:r>
    </w:p>
    <w:p>
      <w:pPr>
        <w:pStyle w:val="Heading1"/>
      </w:pPr>
      <w:r>
        <w:t>17 Delivery plan effort and cost planning</w:t>
      </w:r>
    </w:p>
    <w:p>
      <w:pPr>
        <w:pStyle w:val="Heading2"/>
      </w:pPr>
      <w:r>
        <w:t>17 1 Suggested implementation stages</w:t>
      </w:r>
    </w:p>
    <w:p>
      <w:r>
        <w:t>Stage 1 is business discovery and content collection, including service validation, photography inventory, professional partnership decisions and lead process mapping. Stage 2 is UX and visual design, covering the homepage, case study, workshop page, conditional form and staff inbox. Stage 3 builds structured content, public pages and private lead workflow. Stage 4 completes integrations, permissions, quote handling, analytics and QA. Stage 5 is staff training, launch and a 30 day optimisation review.</w:t>
      </w:r>
    </w:p>
    <w:p>
      <w:pPr>
        <w:pStyle w:val="Heading2"/>
      </w:pPr>
      <w:r>
        <w:t>17 2 Indicative effort</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2304"/>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Workstream</w:t>
            </w:r>
          </w:p>
        </w:tc>
        <w:tc>
          <w:tcPr>
            <w:tcW w:type="dxa" w:w="3888"/>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Indicative developer days</w:t>
            </w:r>
          </w:p>
        </w:tc>
        <w:tc>
          <w:tcPr>
            <w:tcW w:type="dxa" w:w="3744"/>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Dependencies</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Discovery and detailed backlog</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3 to 5</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Owner availability and service decisions</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UX design and design system</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5 to 8</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Branding, board specifications, images and approved journeys</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Public pages and portfolio</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8 to 12</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Copy, photography, board catalogue and project facts</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API, database and private uploads</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7 to 10</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Hosting and scan service selection during development</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Staff admin and quote workflow</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8 to 12</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Roles, workflow and quote policies</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Integration, testing and performance</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6 to 9</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Email domain, identity and staging</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Deployment, training and handover</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3 to 4</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Owner acceptance and account access</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Total before contingency</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40 to 60</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One developer with timely content and feedback</w:t>
            </w:r>
          </w:p>
        </w:tc>
      </w:tr>
    </w:tbl>
    <w:p>
      <w:pPr>
        <w:spacing w:after="40"/>
      </w:pPr>
    </w:p>
    <w:p>
      <w:r>
        <w:t>Allow another 15 to 25 percent contingency for uncertain content and integration work. Approximately 8 to 12 working weeks before contingency is a planning range for one fulltime developer, not a promised delivery date. A simpler CMS driven marketing site with basic enquiries can reduce scope and time; the estimate above includes the staff and private quote workflow. Content delays, part time availability and external approvals extend elapsed time.</w:t>
      </w:r>
    </w:p>
    <w:p>
      <w:r>
        <w:t>Do not commit to a currency budget until geography, eventual implementation choices, expected volume and labour rate are known. Development cost is estimated days multiplied by agreed day rate, plus design services, content and photography, integration costs and contingency. Recurring cost includes domain, website and application hosting, data and media storage, scanning, email, identity, monitoring, backups and support time. Request current provider quotes at procurement and document usage limits, renewal pricing and export options. Technology is now selected in Architecture version 1.0 and section 22: Angular, Java Spring Boot, PostgreSQL, GitHub, Contabo containers and AWS S3. Supported exact versions are pinned during implementation.</w:t>
      </w:r>
    </w:p>
    <w:p>
      <w:pPr>
        <w:pStyle w:val="Heading2"/>
      </w:pPr>
      <w:r>
        <w:t>17 3 Release roadmap</w:t>
      </w:r>
    </w:p>
    <w:p>
      <w:r>
        <w:t>Release 1 delivers all Must public pages and operational lead management. Release 1.1 improves imagery, copy and conversion based on real enquiry feedback. Release 2 introduces structured cutting lists, richer quoting and customer status if demand warrants them. Release 3 considers payments, commerce and progress tracking after stock, production, payment and support responsibilities are established.</w:t>
      </w:r>
    </w:p>
    <w:p>
      <w:pPr>
        <w:pStyle w:val="Heading1"/>
      </w:pPr>
      <w:r>
        <w:t>18 Risks and further suggestions</w:t>
      </w:r>
    </w:p>
    <w:p>
      <w:pPr>
        <w:pStyle w:val="Heading2"/>
      </w:pPr>
      <w:r>
        <w:t>18 1 Main delivery risks</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2304"/>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Risk</w:t>
            </w:r>
          </w:p>
        </w:tc>
        <w:tc>
          <w:tcPr>
            <w:tcW w:type="dxa" w:w="3888"/>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Likely consequence</w:t>
            </w:r>
          </w:p>
        </w:tc>
        <w:tc>
          <w:tcPr>
            <w:tcW w:type="dxa" w:w="3744"/>
            <w:vAlign w:val="center"/>
            <w:shd w:fill="26374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2" w:lineRule="auto"/>
            </w:pPr>
            <w:r>
              <w:rPr>
                <w:b/>
                <w:color w:val="FFFFFF"/>
                <w:sz w:val="20"/>
              </w:rPr>
              <w:t>Mitigation</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Unclear service positioning</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Confusing brand and weak enquiries</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color w:val="000000"/>
                <w:sz w:val="20"/>
              </w:rPr>
              <w:t>Give property transformation, cabinetry and standalone board sales clear service paths</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Limited evidence beyond own properties</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Trust gap for external customers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Label own developments accurately and collect genuine client evidence as work expands</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Unclear professional design role</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Misleading claims or project disputes</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Verify registration and agree partner scope before publication</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Hardware catalogue exceeds capability</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Unfulfilled requests and reputation damage</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Start with confirmed categories and quotation only availability</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Slow response or unowned requests</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Lost business despite a good website</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Assign lead owners, reminders and measurable response targets</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Incorrect cutting dimensions</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Wasted material and customer disputes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Confirm dimension convention and production sign off before cutting</w:t>
            </w:r>
          </w:p>
        </w:tc>
      </w:tr>
      <w:tr>
        <w:trPr>
          <w:cantSplit/>
          <w:cantSplit/>
        </w:trPr>
        <w:tc>
          <w:tcPr>
            <w:tcW w:type="dxa" w:w="230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Public exposure of plans or addresses</w:t>
            </w:r>
          </w:p>
        </w:tc>
        <w:tc>
          <w:tcPr>
            <w:tcW w:type="dxa" w:w="388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Privacy harm</w:t>
            </w:r>
          </w:p>
        </w:tc>
        <w:tc>
          <w:tcPr>
            <w:tcW w:type="dxa" w:w="37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Private storage, permission checks and approved public derivatives</w:t>
            </w:r>
          </w:p>
        </w:tc>
      </w:tr>
      <w:tr>
        <w:trPr>
          <w:cantSplit/>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Full commerce added prematurely</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Cost and operational complexity</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Require stock, delivery, pricing and reconciliation readiness first</w:t>
            </w:r>
          </w:p>
        </w:tc>
      </w:tr>
    </w:tbl>
    <w:p>
      <w:pPr>
        <w:spacing w:after="40"/>
      </w:pPr>
    </w:p>
    <w:p>
      <w:pPr>
        <w:pStyle w:val="Heading2"/>
      </w:pPr>
      <w:r>
        <w:t>18 2 Suggestions with high practical value</w:t>
      </w:r>
    </w:p>
    <w:p>
      <w:r>
        <w:t>Develop signature finish packages that suit compact accommodation, such as durable rental interiors and a more expressive short stay finish. Show material choices and maintenance advantages, with prices only after costing. Offer cabinetry bundles for repeat unit layouts when manufacturing capacity supports them.</w:t>
      </w:r>
    </w:p>
    <w:p>
      <w:r>
        <w:t>Create one persuasive case study for each of the three properties rather than relying on a large gallery without context. Photograph the process, storage solutions, kitchens, exterior finishes and workshop production. Short, captioned project walk through videos can be added after core performance is established. A professionally prepared capability brochure can reuse approved website content later.</w:t>
      </w:r>
    </w:p>
    <w:p>
      <w:r>
        <w:t>Build referral relationships with property managers, estate agents, registered architectural professionals, engineers and trade customers where appropriate. Give each referral source a measurable landing link; do not publish partnership logos without permission. A trade customer enquiry route can prioritise repeat cutting lists without requiring a wholesale platform.</w:t>
      </w:r>
    </w:p>
    <w:p>
      <w:r>
        <w:t>Consider a paid feasibility assessment product with a defined written output: site observations, constraints, concept options, indicative scope and next steps, produced with appropriate professional input. The assessment must not be marketed as approved construction plans or a guaranteed investment result.</w:t>
      </w:r>
    </w:p>
    <w:p>
      <w:r>
        <w:t>An optional later financial scenario tool can compare renovation costs and possible rental income. It should show user entered assumptions: number of units multiplied by monthly rent and occupancy, less operating costs, vacancy, management, maintenance, insurance and other relevant expenses. Show financing separately and define whether yield uses incremental development cost or total invested capital. Do not claim a payback result without specifying the denominator, excluded costs and cash flow assumptions. Keep professional review and dated market inputs outside the automated calculation.</w:t>
      </w:r>
    </w:p>
    <w:p>
      <w:r>
        <w:t>Avoid an AI chatbot at launch unless there is a clear support need. Useful later automation would answer approved FAQs and gather enquiry context, hand off uncertain questions and avoid inventing prices, buildability, availability or approvals. A clear contact process is the immediate priority.</w:t>
      </w:r>
    </w:p>
    <w:p>
      <w:pPr>
        <w:pStyle w:val="Heading1"/>
      </w:pPr>
      <w:r>
        <w:t>19 Handover and ownership</w:t>
      </w:r>
    </w:p>
    <w:p>
      <w:r>
        <w:t>The development handover must include the source repository, environment setup, architecture notes, OpenAPI contract, database schema and migration process, content model, role matrix, provider and domain ownership register, deployment and rollback procedures, tested recovery instructions, monitoring setup, test evidence and staff operating guide. Provider credentials must be transferred through a secure secret management process rather than inside this document or source control.</w:t>
      </w:r>
    </w:p>
    <w:p>
      <w:r>
        <w:t>The owner supplies approved business claims, service policies, photographs, contact details and operational decisions. Rudyard implements and documents the software and verifies the journeys. Design and building professionals supply their own scope and approvals evidence where needed. The business appoints a named operator for ongoing lead response and a named technical maintainer. Review costs, service availability, policies, case studies and response performance quarterly.</w:t>
      </w:r>
    </w:p>
    <w:p>
      <w:pPr>
        <w:pStyle w:val="Heading1"/>
      </w:pPr>
      <w:r>
        <w:t>20 Research sources</w:t>
      </w:r>
    </w:p>
    <w:p>
      <w:r>
        <w:t>Sources reviewed on 3 October 2026. These sources support specific technical and operating recommendations; they do not verify the owner's credentials, available stock, property approvals or project performance. Benchmarks illustrate useful service presentation and workflow patterns, not an exhaustive competitive market study.</w:t>
      </w:r>
    </w:p>
    <w:p>
      <w:r>
        <w:rPr>
          <w:sz w:val="19"/>
        </w:rPr>
        <w:t>[S1] W3C. Web Content Accessibility Guidelines 2.2. Basis for the Level AA accessibility target and manual verification requirements. https://www.w3.org/TR/WCAG22/</w:t>
      </w:r>
    </w:p>
    <w:p>
      <w:r>
        <w:rPr>
          <w:sz w:val="19"/>
        </w:rPr>
        <w:t>[S2] Google web.dev. Web Vitals. Source for good LCP, INP and CLS thresholds and percentile measurement. https://web.dev/articles/vitals</w:t>
      </w:r>
    </w:p>
    <w:p>
      <w:r>
        <w:rPr>
          <w:sz w:val="19"/>
        </w:rPr>
        <w:t>[S3] OWASP. File Upload Cheat Sheet. Source for layered file validation, isolated storage, restrictions and malware scanning. https://cheatsheetseries.owasp.org/cheatsheets/File_Upload_Cheat_Sheet.html</w:t>
      </w:r>
    </w:p>
    <w:p>
      <w:r>
        <w:rPr>
          <w:sz w:val="19"/>
        </w:rPr>
        <w:t>[S4] South African Government. Protection of Personal Information Act 4 of 2013. Basis for jurisdiction specific personal information processing review. https://www.gov.za/documents/protection-personal-information-act</w:t>
      </w:r>
    </w:p>
    <w:p>
      <w:r>
        <w:rPr>
          <w:sz w:val="19"/>
        </w:rPr>
        <w:t>[S5] Information Regulator. Guidance Notes including direct marketing guidance dated 3 December 2024. Basis for separate review of optional marketing and requested service communication. https://inforegulator.org.za/guidance-notes/</w:t>
      </w:r>
    </w:p>
    <w:p>
      <w:r>
        <w:rPr>
          <w:sz w:val="19"/>
        </w:rPr>
        <w:t>[S6] SACAP. Information for the public. Source for verifying architectural professional registration and competence. https://sacapsa.com/for-public</w:t>
      </w:r>
    </w:p>
    <w:p>
      <w:r>
        <w:rPr>
          <w:sz w:val="19"/>
        </w:rPr>
        <w:t>[S7] South African Government. National Building Regulations and Building Standards Act 103 of 1977. Reference for local authority building standards context; municipality and project requirements still require confirmation. https://www.gov.za/documents/national-building-regulations-and-building-standards-act-16-apr-2015-1302</w:t>
      </w:r>
    </w:p>
    <w:p>
      <w:r>
        <w:rPr>
          <w:sz w:val="19"/>
        </w:rPr>
        <w:t>[B1] TimBuild. Board Cutting. Illustrates downloadable cutting lists, workshop quoting and related boards, fittings, paint and hardware categories. This informs the recommendation to place cutting within a broader supporting service section and retain human review. https://timbuild.co.za/board-cutting/</w:t>
      </w:r>
    </w:p>
    <w:p>
      <w:r>
        <w:rPr>
          <w:sz w:val="19"/>
        </w:rPr>
        <w:t>[B2] Plaza Board Centre. Online Cutting List. Illustrates a structured online cut list path. Used as a design benchmark for the later table editor, not as evidence of this business's machinery or lead times. https://plazaboard.co.za/online-cutlist/</w:t>
      </w:r>
    </w:p>
    <w:p>
      <w:pPr>
        <w:pStyle w:val="Heading1"/>
      </w:pPr>
      <w:r>
        <w:t>21 Implementation starting checklist</w:t>
      </w:r>
    </w:p>
    <w:p>
      <w:r>
        <w:t>Begin implementation with the specification dummy register and Architecture version 1.0. Replace unconfirmed business name, geography, commercial model, board ranges and policies as decisions become available. Collect genuine project imagery and facts for publication. Use synthetic records in development. Assign demo lead owners, staff roles and quote policies now, then replace them with named operators before launch. Design the core public and staff screens and convert requirements, specifications and architecture contracts into tracked tasks.</w:t>
      </w:r>
    </w:p>
    <w:p>
      <w:pPr>
        <w:pStyle w:val="Heading1"/>
      </w:pPr>
      <w:r>
        <w:t>22 Architecture baseline for first iteration</w:t>
      </w:r>
    </w:p>
    <w:p>
      <w:r>
        <w:t>Updated 4 October 2026. Requirements version 1.2 adopts Property Transformation and Board Sales Website Architecture version 1.0. This section adds technical requirements at Rudyard's direction. Existing FR 01 to FR 25 and NFR 01 to NFR 08 remain in force. Business assumptions may use the specification's labelled dummy register throughout design and development. Final business values are required for truthful live publication, not as a prerequisite for starting work.</w:t>
      </w:r>
    </w:p>
    <w:p>
      <w:r>
        <w:t>FR 26 Must. Use Angular presentation, Java Spring Boot business services and PostgreSQL persistence in a three-tier architecture. Keep source, contracts, migrations, infrastructure and operations documentation in a private GitHub monorepo. The backend is a modular monolith with API and worker runtime profiles, not separately owned microservices. Public Angular pages use hybrid rendering; staff screens are client-rendered. Document supported pinned versions at implementation kickoff. Reuse API contracts and suitable libraries for a possible Ionic Angular and Capacitor mobile application; native UI and platform integration remain later work.</w:t>
      </w:r>
    </w:p>
    <w:p>
      <w:r>
        <w:t>Acceptance: A local development environment starts reproducibly; clients never connect to PostgreSQL; the public bundle excludes staff functionality; SSR returns crawlable published content and correct 404 responses; future mobile clients can use the versioned API without reproducing business rules.</w:t>
      </w:r>
    </w:p>
    <w:p>
      <w:r>
        <w:t>FR 27 Must. Use managed OIDC federation for staff, with Amazon Cognito as the proposed broker, and validated JWT access tokens at the Spring Security API. No customer sign-up, passwords, local staff password database or public staff registration is required. Maintain a minimal staff registry keyed by issuer and subject, with active state, role grants, teams and record scopes. Replace user account CRUD with staff access management. Enforce MFA through verified provider sign-in paths and use a local revocable staff session to enforce inactivity and absolute timeout.</w:t>
      </w:r>
    </w:p>
    <w:p>
      <w:r>
        <w:t>Acceptance: A newly federated identity has no business access unless explicitly provisioned. Tokens with the wrong issuer, client or audience binding, expiry, signature or type are denied. Disabling a staff identity or session denies the next private request. Content editors cannot access private plans. Customers retain anonymous enquiry and scoped quote-link access.</w:t>
      </w:r>
    </w:p>
    <w:p>
      <w:r>
        <w:t>FR 28 Must for email and integration contracts. Use an outbox-backed communications layer with SES email, configurable WhatsApp click-to-chat, and adapter interfaces for later Twilio WhatsApp and SMS. R1 acknowledgement emails and staff alerts must survive provider outages. Automated paid messaging requires confirmed sender capability, applicable consent/template rules and operating ownership. Demo integrations use a test sink and generate no real messages or charges.</w:t>
      </w:r>
    </w:p>
    <w:p>
      <w:r>
        <w:t>FR 29 Could for live payments. Provide a later hosted-gateway payment design, provisionally Payfast for an approved South African merchant. It links payments to accepted quote revisions and contract milestones, verifies provider notifications, deduplicates events and supports receipts, refunds and settlement reconciliation. Gateway selection and live activation remain pending. Payment-enabled flags are false at R1 launch; a quote request neither buys materials nor reserves stock.</w:t>
      </w:r>
    </w:p>
    <w:p>
      <w:r>
        <w:t>Acceptance: Sandbox callback replay cannot duplicate a receipt; browser redirect alone cannot mark work paid; wrong merchant, amount or currency causes review; provider failure does not erase enquiry or quote records. These are later-release acceptance criteria, not a mandate to build a launch shop.</w:t>
      </w:r>
    </w:p>
    <w:p>
      <w:r>
        <w:t>NFR 09 Must. Provide structured redacted request logs, Actuator/Micrometer metrics, OpenTelemetry tracing, restricted management endpoints, dashboards and off-host uptime checks. Record request duration, safe route, status, release, correlation and trace identifiers. Do not log customer form text, private files, tokens, cookies, credentials or presigned URLs. Keep business audit separate from sampled telemetry. Connect request traces to background work through safe context and event references.</w:t>
      </w:r>
    </w:p>
    <w:p>
      <w:r>
        <w:t>NFR 10 Must. Package frontend renderer, API and workers as immutable containers for Docker Compose on Contabo. Use S3 from the outset for isolated quarantine, clean private files, approved derivatives and backups; use CloudFront with private S3 origin access for approved media. Keep scanned object versions immutable and proxy private quote downloads where immediate revocation is needed. PostgreSQL and management ports remain private. Rehearse encrypted off-host recovery against the existing RPO and RTO targets. Record that one VPS is a single-host failure domain.</w:t>
      </w:r>
    </w:p>
    <w:p>
      <w:r>
        <w:t>NFR 11 Must. Use GitFlow and CI/CD with protected branches, tested release manifests, immutable image digests, controlled production deployment, migration safety and rollback runbooks. Provide an AWS ECS Fargate/RDS target and tested migration procedure. AWS deployment credentials use scoped GitHub OIDC where applicable; Contabo deployment uses a restricted identity. Verify repository-plan support for environment approval controls and document any alternative operator gate.</w:t>
      </w:r>
    </w:p>
    <w:p>
      <w:pPr>
        <w:pStyle w:val="Heading1"/>
      </w:pPr>
      <w:r>
        <w:t>23 Updated ownership scope and release alignment</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Area</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R1 obligation</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Later capability</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Identity</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Federated staff and local grants; no customer accounts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Optional customer identity only for a defined new use case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Communications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SES email and configured click-to-chat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Approved automated WhatsApp and SMS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Payments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Interfaces, documented contracts and isolated fixtures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Hosted checkout, deposits, refunds and reconciliation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Storage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S3 private files, scan enforcement and cleared public CDN assets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Adaptive video processing if justified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Infrastructure</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Contabo Compose, encrypted backups and monitoring</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ECS Fargate, RDS and scale/resilience services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Mobile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Responsive website and shared contracts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Separate Ionic/Capacitor application</w:t>
            </w:r>
          </w:p>
        </w:tc>
      </w:tr>
    </w:tbl>
    <w:p>
      <w:pPr>
        <w:spacing w:after="40"/>
      </w:pPr>
    </w:p>
    <w:p>
      <w:r>
        <w:t>The existing decision list is renamed Pending business decisions and placeholder policy. Confirmed technology choices are separated from still-pending trading details. Collect real imagery and business policies as they become available. The first coding milestone can use three synthetic property records, example board variants and demo staff identities. Do not publish them as genuine evidence.</w:t>
      </w:r>
    </w:p>
    <w:p>
      <w:r>
        <w:t>Delivery estimates in section 17 remain indicative and must be re-estimated for hybrid rendering, federated sessions, scan infrastructure, CI/CD and operational rehearsals. Later paid messaging, mobile, AWS migration and payments are separately estimated. No provider price or purchased VPS capacity is asserted. Cost review includes cross-provider transfer, monitoring retention, identity, messaging, repository plan and support time as well as hosting.</w:t>
      </w:r>
    </w:p>
    <w:p>
      <w:r>
        <w:t>Handover additionally includes the architecture decision register AR 01 to AR 18, runtime version manifest, Compose configuration, Terraform target, provider adapters, dashboards, GitFlow release manifest and migration cutover runbook. Verification uses architecture tests AAT 01 to AAT 12 alongside existing acceptance scenarios. The business appoints a lead operator and technical maintainer before public launch; dummy owners remain valid for development.</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Transformation Website Requirements</dc:title>
  <dc:subject>Business requirements with selected architecture baseline version 1.2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