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План работы:</w:t>
      </w:r>
    </w:p>
    <w:p w:rsidR="00000000" w:rsidDel="00000000" w:rsidP="00000000" w:rsidRDefault="00000000" w:rsidRPr="00000000" w14:paraId="00000002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Выбрать компоненты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Спроектировать прототип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Создать структуру БД и заполнить ее тестовыми данными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Реализовать Frontend с плейсхолдерами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Реализовать Backend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141.73228346456688" w:hanging="30"/>
      </w:pPr>
      <w:r w:rsidDel="00000000" w:rsidR="00000000" w:rsidRPr="00000000">
        <w:rPr>
          <w:rtl w:val="0"/>
        </w:rPr>
        <w:t xml:space="preserve">Тестирование и сдача работы</w:t>
        <w:br w:type="textWrapping"/>
      </w:r>
    </w:p>
    <w:p w:rsidR="00000000" w:rsidDel="00000000" w:rsidP="00000000" w:rsidRDefault="00000000" w:rsidRPr="00000000" w14:paraId="00000009">
      <w:pPr>
        <w:ind w:left="141.73228346456688" w:hanging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41.73228346456688" w:firstLine="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Компоненты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539138" cy="198053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138" cy="198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a) Диаграмма, которая отображает процент разных жанров изобразительных искусств</w:t>
        <w:br w:type="textWrapping"/>
        <w:br w:type="textWrapping"/>
        <w:t xml:space="preserve">I. Все картины</w:t>
        <w:br w:type="textWrapping"/>
        <w:t xml:space="preserve">II. Жанры картин</w:t>
        <w:br w:type="textWrapping"/>
      </w:r>
    </w:p>
    <w:p w:rsidR="00000000" w:rsidDel="00000000" w:rsidP="00000000" w:rsidRDefault="00000000" w:rsidRPr="00000000" w14:paraId="0000000B">
      <w:pPr>
        <w:ind w:left="-141.73228346456688" w:firstLine="0"/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43854" cy="9843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854" cy="98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b) Отображает общую сумму доходов авторов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00963" cy="9731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963" cy="97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c) Отображает общую сумму цен за картины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10488" cy="107504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88" cy="107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d) Отображает количество авторов, занесенных в БД</w:t>
      </w:r>
    </w:p>
    <w:p w:rsidR="00000000" w:rsidDel="00000000" w:rsidP="00000000" w:rsidRDefault="00000000" w:rsidRPr="00000000" w14:paraId="0000000C">
      <w:pPr>
        <w:ind w:left="-141.73228346456688" w:firstLine="0"/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10488" cy="97630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0488" cy="97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e) Отображает количество картин, занесенных в БД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6151243" cy="117018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243" cy="1170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f) Столбчатая диаграмма, которая показывает количество регистраций,                    которые сделаны помесячно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67638" cy="104582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638" cy="104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g) Отображает максимальную цену за картину</w:t>
        <w:br w:type="textWrapping"/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929538" cy="97942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538" cy="97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h) Отображает максимальный доход автора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655600" cy="1498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i) Столбчатая диаграмма, которая показывает распределение дохода среди авторов</w:t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141.73228346456688" w:firstLine="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Прототип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87344" cy="5776913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344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-141.73228346456688" w:firstLine="0"/>
        <w:jc w:val="left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Струтктура БД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55600" cy="311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559.055118110236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