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BodyText"/>
      </w:pPr>
      <w:r>
        <w:rPr>
          <w:b/>
        </w:rPr>
        <w:t xml:space="preserve">The retention </w:t>
      </w:r>
      <w:r>
        <w:t>period is 30 days.</w:t>
      </w:r>
    </w:p>
    <w:p>
      <w:r>
        <w:instrText>PAGE</w:instrText>
      </w:r>
    </w:p>
    <w:tbl>
      <w:tr>
        <w:tc>
          <w:p>
            <w:r>
              <w:t>Table amount: 1,200.</w:t>
            </w:r>
          </w:p>
        </w:tc>
      </w:tr>
    </w:tbl>
    <w:p>
      <w:r>
        <w:t>This paragraph remains untranslated.</w:t>
      </w:r>
    </w:p>
    <w:sectPr/>
  </w:body>
</w:document>
</file>

<file path=word/styles.xml><?xml version="1.0" encoding="utf-8"?>
<w:styles xmlns:w="http://schemas.openxmlformats.org/wordprocessingml/2006/main">
  <w:style w:type="paragraph" w:styleId="BodyText">
    <w:name w:val="Body Text"/>
  </w:style>
</w:styles>
</file>

<file path=customXml/item1.xml><?xml version="1.0" encoding="utf-8"?>
<fixture preserve="byte-for-byte">unowned package content</fixture>
</file>