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color w:val="1F3A5F"/>
          <w:sz w:val="40"/>
        </w:rPr>
        <w:t>Week 1 Task: Research Planning and Strategy Development</w:t>
      </w:r>
    </w:p>
    <w:p>
      <w:pPr>
        <w:spacing w:after="200"/>
        <w:jc w:val="center"/>
      </w:pPr>
      <w:r>
        <w:rPr>
          <w:b w:val="0"/>
          <w:i w:val="0"/>
          <w:sz w:val="26"/>
        </w:rPr>
        <w:t>Medical Writing Internship: Research Strategy Document</w:t>
      </w:r>
    </w:p>
    <w:p>
      <w:pPr>
        <w:spacing w:after="200"/>
        <w:jc w:val="center"/>
      </w:pPr>
      <w:r>
        <w:rPr>
          <w:b/>
          <w:i w:val="0"/>
          <w:sz w:val="26"/>
        </w:rPr>
        <w:t>GLP-1 receptor agonists and dual incretin agonists for obesity: efficacy, cardiometabolic outcomes, safety and durability of effect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60"/>
        <w:gridCol w:w="7200"/>
      </w:tblGrid>
      <w:tr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720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Prepared by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[Your Name]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05 October 2026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Code repository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glp1-obesity-literature-strategy (search code, search log, this report)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Data sources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Publicly available only: PubMed, Europe PMC, Google Scholar, ClinicalTrials.gov, Cochrane Library abstracts, medRxiv, regulatory (FDA/EMA) public documents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F3A5F"/>
        </w:rPr>
        <w:t>1. Research Topic and Rationale</w:t>
      </w:r>
    </w:p>
    <w:p>
      <w:pPr>
        <w:spacing w:after="120"/>
      </w:pPr>
      <w:r>
        <w:rPr>
          <w:b w:val="0"/>
          <w:i w:val="0"/>
        </w:rPr>
        <w:t>Topic: Incretin-based therapies (semaglutide, tirzepatide, liraglutide and emerging agents) for chronic weight management in adults with obesity or overweight: how much weight they remove, what they do for heart and kidney outcomes, how safe they are, and what happens when treatment stops.</w:t>
      </w:r>
    </w:p>
    <w:p>
      <w:pPr>
        <w:spacing w:after="40"/>
      </w:pPr>
      <w:r>
        <w:rPr>
          <w:b/>
          <w:i w:val="0"/>
        </w:rPr>
        <w:t>Why this topic?</w:t>
      </w:r>
    </w:p>
    <w:p>
      <w:pPr>
        <w:pStyle w:val="ListBullet"/>
        <w:spacing w:after="40"/>
      </w:pPr>
      <w:r>
        <w:rPr>
          <w:b/>
        </w:rPr>
        <w:t xml:space="preserve">Clinical importance: </w:t>
      </w:r>
      <w:r>
        <w:t>obesity is a chronic, relapsing disease linked to type 2 diabetes, cardiovascular disease, kidney disease and several cancers; effective pharmacotherapy has been scarce until recently.</w:t>
      </w:r>
    </w:p>
    <w:p>
      <w:pPr>
        <w:pStyle w:val="ListBullet"/>
        <w:spacing w:after="40"/>
      </w:pPr>
      <w:r>
        <w:rPr>
          <w:b/>
        </w:rPr>
        <w:t xml:space="preserve">Contemporary relevance: </w:t>
      </w:r>
      <w:r>
        <w:t>semaglutide 2.4 mg and tirzepatide have been approved for chronic weight management in recent years, and new agents (e.g. retatrutide, orforglipron) are in late-stage trials, so the evidence base is moving quickly.</w:t>
      </w:r>
    </w:p>
    <w:p>
      <w:pPr>
        <w:pStyle w:val="ListBullet"/>
        <w:spacing w:after="40"/>
      </w:pPr>
      <w:r>
        <w:rPr>
          <w:b/>
        </w:rPr>
        <w:t xml:space="preserve">Adequate public literature: </w:t>
      </w:r>
      <w:r>
        <w:t>pivotal RCTs, meta-analyses, regulatory reviews and growing real-world cohorts are available through free, open resources.</w:t>
      </w:r>
    </w:p>
    <w:p>
      <w:pPr>
        <w:pStyle w:val="ListBullet"/>
        <w:spacing w:after="40"/>
      </w:pPr>
      <w:r>
        <w:rPr>
          <w:b/>
        </w:rPr>
        <w:t xml:space="preserve">Medical-writing value: </w:t>
      </w:r>
      <w:r>
        <w:t>the topic supports several later writing outputs (evidence summary, lay summary, safety overview, slide deck) because it combines efficacy data, safety data and patient-facing communication needs.</w:t>
      </w:r>
    </w:p>
    <w:p>
      <w:pPr>
        <w:pStyle w:val="ListBullet"/>
        <w:spacing w:after="40"/>
      </w:pPr>
      <w:r>
        <w:rPr>
          <w:b/>
        </w:rPr>
        <w:t xml:space="preserve">Feasibility: </w:t>
      </w:r>
      <w:r>
        <w:t>a well-defined drug class and outcome set keeps the review scoped to a 30 to 35 hour effort.</w:t>
      </w:r>
    </w:p>
    <w:p>
      <w:pPr>
        <w:pStyle w:val="Heading1"/>
      </w:pPr>
      <w:r>
        <w:rPr>
          <w:color w:val="1F3A5F"/>
        </w:rPr>
        <w:t>2. Summary of the Current State of Research</w:t>
      </w:r>
    </w:p>
    <w:p>
      <w:pPr>
        <w:spacing w:after="120"/>
      </w:pPr>
      <w:r>
        <w:rPr>
          <w:b w:val="0"/>
          <w:i w:val="0"/>
        </w:rPr>
        <w:t>Preliminary scoping of landmark publications (to be re-verified against PubMed during Step 2 of the workflow) shows the following picture.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28"/>
        <w:gridCol w:w="4752"/>
        <w:gridCol w:w="2880"/>
      </w:tblGrid>
      <w:tr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475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Key evidence (illustrative landmark sources)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Take-away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Efficacy: semaglutide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STEP 1 RCT (Wilding et al., N Engl J Med 2021): semaglutide 2.4 mg weekly vs placebo for 68 weeks in adults with overweight/obesity without diabetes.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Mean weight loss of roughly 15% vs about 2% with placebo.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Efficacy: tirzepatide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SURMOUNT-1 RCT (Jastreboff et al., N Engl J Med 2022): once-weekly tirzepatide for 72 weeks.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Dose-dependent loss of about 15% to 21% vs about 3% with placebo.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Head-to-head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SURMOUNT-5 (Aronne et al., N Engl J Med 2025): tirzepatide vs semaglutide.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Greater weight reduction with tirzepatide; check final figures in source.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Cardiovascular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SELECT RCT (Lincoff et al., N Engl J Med 2023): semaglutide in adults with established CVD and overweight/obesity without diabetes.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Lower rate of major adverse cardiovascular events (about 20% relative reduction).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Durability / withdrawal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STEP 1 extension (Wilding et al., Diabetes Obes Metab 2022); SURMOUNT-4 (Aronne et al., JAMA 2024).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Substantial weight regain after stopping; continued treatment maintains loss.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Safety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Pooled trial safety data and regulatory labels.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Gastrointestinal adverse events are most common; rarer signals (gallbladder disease, pancreatitis, others) need careful synthesis.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</w:rPr>
        <w:t>Overall: efficacy and cardiovascular evidence in selected populations is strong; evidence is thinner on long-term durability, post-discontinuation outcomes, real-world persistence and equity of access.</w:t>
      </w:r>
    </w:p>
    <w:p>
      <w:pPr>
        <w:pStyle w:val="Heading1"/>
      </w:pPr>
      <w:r>
        <w:rPr>
          <w:color w:val="1F3A5F"/>
        </w:rPr>
        <w:t>3. Gaps Identified in the Literature</w:t>
      </w:r>
    </w:p>
    <w:p>
      <w:pPr>
        <w:pStyle w:val="ListBullet"/>
        <w:spacing w:after="40"/>
      </w:pPr>
      <w:r>
        <w:t>Long-term (more than 2 years) efficacy and safety outside highly selected trial populations.</w:t>
      </w:r>
    </w:p>
    <w:p>
      <w:pPr>
        <w:pStyle w:val="ListBullet"/>
        <w:spacing w:after="40"/>
      </w:pPr>
      <w:r>
        <w:t>Weight regain and cardiometabolic rebound after discontinuation, and how common stopping is in routine care.</w:t>
      </w:r>
    </w:p>
    <w:p>
      <w:pPr>
        <w:pStyle w:val="ListBullet"/>
        <w:spacing w:after="40"/>
      </w:pPr>
      <w:r>
        <w:t>Real-world persistence, adherence and dose patterns compared with trial results.</w:t>
      </w:r>
    </w:p>
    <w:p>
      <w:pPr>
        <w:pStyle w:val="ListBullet"/>
        <w:spacing w:after="40"/>
      </w:pPr>
      <w:r>
        <w:t>Head-to-head comparisons between agents and evidence on switching strategies.</w:t>
      </w:r>
    </w:p>
    <w:p>
      <w:pPr>
        <w:pStyle w:val="ListBullet"/>
        <w:spacing w:after="40"/>
      </w:pPr>
      <w:r>
        <w:t>Representation of older adults, people with severe comorbidity and under-represented ethnic groups.</w:t>
      </w:r>
    </w:p>
    <w:p>
      <w:pPr>
        <w:pStyle w:val="ListBullet"/>
        <w:spacing w:after="40"/>
      </w:pPr>
      <w:r>
        <w:t>Consistency of reporting for rare safety signals across trials, cohorts and regulatory sources.</w:t>
      </w:r>
    </w:p>
    <w:p>
      <w:pPr>
        <w:pStyle w:val="Heading1"/>
      </w:pPr>
      <w:r>
        <w:rPr>
          <w:color w:val="1F3A5F"/>
        </w:rPr>
        <w:t>4. Research Questions and Hypotheses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52"/>
        <w:gridCol w:w="4464"/>
        <w:gridCol w:w="3744"/>
      </w:tblGrid>
      <w:tr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46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Research question</w:t>
            </w:r>
          </w:p>
        </w:tc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Working hypothesis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RQ1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In adults with obesity, how large and how durable is weight loss with semaglutide or tirzepatide compared with placebo or each other?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Tirzepatide produces greater mean weight loss than semaglutide; loss plateaus after about 60 to 72 weeks.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RQ2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What evidence exists for cardiovascular and kidney benefit beyond weight loss?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Benefit is demonstrated mainly in populations with established cardiovascular disease; evidence in primary prevention is limited.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RQ3 (gap)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What happens to weight and cardiometabolic markers after treatment is stopped, and how often do patients stop in real-world settings?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Most lost weight is regained within one to two years of stopping, and real-world discontinuation exceeds trial rates.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RQ4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How consistently are gastrointestinal and rare safety events reported across study designs?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Common events are consistent; rare events are inconsistently defined and reported.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F3A5F"/>
        </w:rPr>
        <w:t>5. Search Strategy</w:t>
      </w:r>
    </w:p>
    <w:p>
      <w:pPr>
        <w:pStyle w:val="Heading2"/>
      </w:pPr>
      <w:r>
        <w:rPr>
          <w:color w:val="1F3A5F"/>
        </w:rPr>
        <w:t>5.1 Databases and sources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736"/>
        <w:gridCol w:w="5040"/>
        <w:gridCol w:w="1584"/>
      </w:tblGrid>
      <w:tr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504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Access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PubMed / MEDLINE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Primary biomedical database; Boolean + MeSH searching; searched programmatically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Europe PMC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Cross-check, preprints, full-text open access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Google Scholar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Citation chasing, grey literature, backward/forward snowballing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ClinicalTrials.gov / WHO ICTRP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Registered and ongoing trials; unpublished results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Cochrane Library (abstracts)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Existing systematic reviews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Free abstracts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medRxiv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Recent preprints (flagged as non-peer-reviewed)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FDA / EMA public documents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Labels, review documents, safety communications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Free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3A5F"/>
        </w:rPr>
        <w:t>5.2 Concept framework (PICO)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7488"/>
      </w:tblGrid>
      <w:tr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748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Population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Adults (18 years or older) with obesity, or overweight with at least one weight-related comorbidity; with or without type 2 diabetes (diabetes analysed as subgroup)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Intervention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Semaglutide, tirzepatide, liraglutide, and other incretin-based agents for weight management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Comparator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Placebo, lifestyle intervention, active comparator, or treatment discontinuation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Outcomes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Percent body-weight change; cardiovascular and kidney outcomes; adverse events; weight regain after stopping; persistence and adherence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Study designs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RCTs, systematic reviews/meta-analyses, large observational cohorts and real-world studies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3A5F"/>
        </w:rPr>
        <w:t>5.3 Preliminary search terms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7488"/>
      </w:tblGrid>
      <w:tr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748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Controlled vocabulary and free-text terms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Population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"Obesity"[Mesh]; "Overweight"[Mesh]; obesity; obese; overweight; weight management; weight loss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Intervention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"Glucagon-Like Peptide-1 Receptor"[Mesh]; semaglutide; tirzepatide; liraglutide; retatrutide; orforglipron; GLP-1; glucagon-like peptide-1; incretin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Cardio-renal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cardiovascular; major adverse cardiovascular events; MACE; heart failure; mortality; chronic kidney disease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Durability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discontinu*; withdraw*; weight regain; weight maintenance; cessation; persistence; adherence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Safety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adverse events; safety; pancreatitis; gallbladder; cholelithiasis; gastrointestinal; optic neuropathy; suicid*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Real-world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real-world; electronic health records; retrospective cohort; claims data; target trial emulation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Design filter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Randomized Controlled Trial[pt]; Meta-Analysis[pt]; Systematic Review[pt]; Cohort Studies[Mesh]; Observational Study[pt]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3A5F"/>
        </w:rPr>
        <w:t>5.4 Search logic and reproducibility</w:t>
      </w:r>
    </w:p>
    <w:p>
      <w:pPr>
        <w:pStyle w:val="ListBullet"/>
        <w:spacing w:after="40"/>
      </w:pPr>
      <w:r>
        <w:t>Terms within a concept are combined with OR; concepts are combined with AND (Population AND Intervention is the core).</w:t>
      </w:r>
    </w:p>
    <w:p>
      <w:pPr>
        <w:pStyle w:val="ListBullet"/>
        <w:spacing w:after="40"/>
      </w:pPr>
      <w:r>
        <w:t>Named queries Q1 to Q7 combine the core with each outcome block; the full strings are in Appendix A and in src/config.py.</w:t>
      </w:r>
    </w:p>
    <w:p>
      <w:pPr>
        <w:pStyle w:val="ListBullet"/>
        <w:spacing w:after="40"/>
      </w:pPr>
      <w:r>
        <w:t>Limits: human studies, English language, publication date from 1 January 2019 to the search date.</w:t>
      </w:r>
    </w:p>
    <w:p>
      <w:pPr>
        <w:pStyle w:val="ListBullet"/>
        <w:spacing w:after="40"/>
      </w:pPr>
      <w:r>
        <w:t>The search is executed by code (NCBI E-utilities), and each run is logged with the date, query and hit count.</w:t>
      </w:r>
    </w:p>
    <w:p>
      <w:pPr>
        <w:pStyle w:val="ListBullet"/>
        <w:spacing w:after="40"/>
      </w:pPr>
      <w:r>
        <w:t>Backward and forward citation chasing of included landmark papers via Google Scholar and PubMed 'Similar articles'.</w:t>
      </w:r>
    </w:p>
    <w:p>
      <w:pPr>
        <w:pStyle w:val="ListBullet"/>
        <w:spacing w:after="40"/>
      </w:pPr>
      <w:r>
        <w:t>Search is repeated before final writing to capture new publications.</w:t>
      </w:r>
    </w:p>
    <w:p>
      <w:pPr>
        <w:pStyle w:val="Heading1"/>
      </w:pPr>
      <w:r>
        <w:rPr>
          <w:color w:val="1F3A5F"/>
        </w:rPr>
        <w:t>6. Article Selection Criteria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468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Inclusion</w:t>
            </w:r>
          </w:p>
        </w:tc>
        <w:tc>
          <w:tcPr>
            <w:tcW w:type="dxa" w:w="468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Exclusion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Adults 18 years or older with obesity or overweight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Animal, in vitro or purely mechanistic studies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GLP-1 receptor agonist or dual/triple incretin agonist used for weight management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Paediatric-only populations (planned as a separate review)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Reports weight, cardiometabolic, safety, discontinuation or persistence outcomes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Editorials, letters, comments, case reports, news items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RCT, systematic review/meta-analysis, or cohort/real-world study with at least 100 participants (observational)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No abstract or no accessible full text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Published 2019 onwards, English language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Non-English; duplicate or retracted publications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Peer-reviewed (preprints used only as flagged supplements)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Glycaemic-only endpoints with no weight outcome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F3A5F"/>
        </w:rPr>
        <w:t>7. Screening, Extraction and Appraisal Workflow</w:t>
      </w:r>
    </w:p>
    <w:p>
      <w:pPr>
        <w:tabs>
          <w:tab w:pos="432" w:val="left"/>
        </w:tabs>
        <w:spacing w:after="60"/>
        <w:ind w:left="432" w:hanging="432"/>
      </w:pPr>
      <w:r>
        <w:t>1.</w:t>
        <w:tab/>
      </w:r>
      <w:r>
        <w:rPr>
          <w:b/>
        </w:rPr>
        <w:t xml:space="preserve">Run searches and log results. </w:t>
      </w:r>
      <w:r>
        <w:t>Execute src/run_search.py; save counts, strings and dates.</w:t>
      </w:r>
    </w:p>
    <w:p>
      <w:pPr>
        <w:tabs>
          <w:tab w:pos="432" w:val="left"/>
        </w:tabs>
        <w:spacing w:after="60"/>
        <w:ind w:left="432" w:hanging="432"/>
      </w:pPr>
      <w:r>
        <w:t>2.</w:t>
        <w:tab/>
      </w:r>
      <w:r>
        <w:rPr>
          <w:b/>
        </w:rPr>
        <w:t xml:space="preserve">De-duplicate and rule-based pre-screen. </w:t>
      </w:r>
      <w:r>
        <w:t>The script flags clear exclusions (wrong population, publication type, language); a human confirms every decision.</w:t>
      </w:r>
    </w:p>
    <w:p>
      <w:pPr>
        <w:tabs>
          <w:tab w:pos="432" w:val="left"/>
        </w:tabs>
        <w:spacing w:after="60"/>
        <w:ind w:left="432" w:hanging="432"/>
      </w:pPr>
      <w:r>
        <w:t>3.</w:t>
        <w:tab/>
      </w:r>
      <w:r>
        <w:rPr>
          <w:b/>
        </w:rPr>
        <w:t xml:space="preserve">Title/abstract screening. </w:t>
      </w:r>
      <w:r>
        <w:t>Candidate list reviewed manually (Zotero and a spreadsheet or Rayyan free tier).</w:t>
      </w:r>
    </w:p>
    <w:p>
      <w:pPr>
        <w:tabs>
          <w:tab w:pos="432" w:val="left"/>
        </w:tabs>
        <w:spacing w:after="60"/>
        <w:ind w:left="432" w:hanging="432"/>
      </w:pPr>
      <w:r>
        <w:t>4.</w:t>
        <w:tab/>
      </w:r>
      <w:r>
        <w:rPr>
          <w:b/>
        </w:rPr>
        <w:t xml:space="preserve">Full-text review. </w:t>
      </w:r>
      <w:r>
        <w:t>Open-access full texts read against the criteria in Section 6; reasons for exclusion recorded.</w:t>
      </w:r>
    </w:p>
    <w:p>
      <w:pPr>
        <w:tabs>
          <w:tab w:pos="432" w:val="left"/>
        </w:tabs>
        <w:spacing w:after="60"/>
        <w:ind w:left="432" w:hanging="432"/>
      </w:pPr>
      <w:r>
        <w:t>5.</w:t>
        <w:tab/>
      </w:r>
      <w:r>
        <w:rPr>
          <w:b/>
        </w:rPr>
        <w:t xml:space="preserve">Data extraction. </w:t>
      </w:r>
      <w:r>
        <w:t>Standard sheet: design, population, intervention, comparator, duration, primary outcome, key numbers, safety events, limitations.</w:t>
      </w:r>
    </w:p>
    <w:p>
      <w:pPr>
        <w:tabs>
          <w:tab w:pos="432" w:val="left"/>
        </w:tabs>
        <w:spacing w:after="60"/>
        <w:ind w:left="432" w:hanging="432"/>
      </w:pPr>
      <w:r>
        <w:t>6.</w:t>
        <w:tab/>
      </w:r>
      <w:r>
        <w:rPr>
          <w:b/>
        </w:rPr>
        <w:t xml:space="preserve">Quality appraisal. </w:t>
      </w:r>
      <w:r>
        <w:t>Cochrane RoB 2 for RCTs, AMSTAR 2 for reviews, Newcastle-Ottawa Scale for cohorts.</w:t>
      </w:r>
    </w:p>
    <w:p>
      <w:pPr>
        <w:tabs>
          <w:tab w:pos="432" w:val="left"/>
        </w:tabs>
        <w:spacing w:after="60"/>
        <w:ind w:left="432" w:hanging="432"/>
      </w:pPr>
      <w:r>
        <w:t>7.</w:t>
        <w:tab/>
      </w:r>
      <w:r>
        <w:rPr>
          <w:b/>
        </w:rPr>
        <w:t xml:space="preserve">Synthesis. </w:t>
      </w:r>
      <w:r>
        <w:t>Narrative synthesis with evidence tables; meta-analytic figures are only quoted from published pooled analyses.</w:t>
      </w:r>
    </w:p>
    <w:p>
      <w:pPr>
        <w:tabs>
          <w:tab w:pos="432" w:val="left"/>
        </w:tabs>
        <w:spacing w:after="60"/>
        <w:ind w:left="432" w:hanging="432"/>
      </w:pPr>
      <w:r>
        <w:t>8.</w:t>
        <w:tab/>
      </w:r>
      <w:r>
        <w:rPr>
          <w:b/>
        </w:rPr>
        <w:t xml:space="preserve">Reporting. </w:t>
      </w:r>
      <w:r>
        <w:t>PRISMA-style flow diagram built from prisma_summary.json.</w:t>
      </w:r>
    </w:p>
    <w:p>
      <w:pPr>
        <w:pStyle w:val="Heading1"/>
      </w:pPr>
      <w:r>
        <w:rPr>
          <w:color w:val="1F3A5F"/>
        </w:rPr>
        <w:t>8. Medical Writing Plan for Later Tasks</w:t>
      </w:r>
    </w:p>
    <w:p>
      <w:pPr>
        <w:pStyle w:val="ListBullet"/>
        <w:spacing w:after="40"/>
      </w:pPr>
      <w:r>
        <w:t>Structured evidence summary organised by RQ1 to RQ4, with an evidence table and a limitations section.</w:t>
      </w:r>
    </w:p>
    <w:p>
      <w:pPr>
        <w:pStyle w:val="ListBullet"/>
        <w:spacing w:after="40"/>
      </w:pPr>
      <w:r>
        <w:t>Plain-language summary for patients and a short clinician-focused key messages page.</w:t>
      </w:r>
    </w:p>
    <w:p>
      <w:pPr>
        <w:pStyle w:val="ListBullet"/>
        <w:spacing w:after="40"/>
      </w:pPr>
      <w:r>
        <w:t>Consistent citation style (Vancouver) managed in Zotero; every numeric claim traceable to a source.</w:t>
      </w:r>
    </w:p>
    <w:p>
      <w:pPr>
        <w:pStyle w:val="ListBullet"/>
        <w:spacing w:after="40"/>
      </w:pPr>
      <w:r>
        <w:t>Balanced wording: efficacy and safety presented together; uncertainty and evidence quality stated explicitly.</w:t>
      </w:r>
    </w:p>
    <w:p>
      <w:pPr>
        <w:pStyle w:val="Heading1"/>
      </w:pPr>
      <w:r>
        <w:rPr>
          <w:color w:val="1F3A5F"/>
        </w:rPr>
        <w:t>9. Feasibility, Timeline and Risk Management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480"/>
        <w:gridCol w:w="2880"/>
      </w:tblGrid>
      <w:tr>
        <w:tc>
          <w:tcPr>
            <w:tcW w:type="dxa" w:w="648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Estimated hours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sz w:val="18"/>
              </w:rPr>
              <w:t>Topic selection and scoping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</w:tcPr>
          <w:p>
            <w:r/>
            <w:r>
              <w:rPr>
                <w:sz w:val="18"/>
              </w:rPr>
              <w:t>Preliminary literature review of landmark papers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</w:tcPr>
          <w:p>
            <w:r/>
            <w:r>
              <w:rPr>
                <w:sz w:val="18"/>
              </w:rPr>
              <w:t>Search strategy design, testing and refinement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</w:tcPr>
          <w:p>
            <w:r/>
            <w:r>
              <w:rPr>
                <w:sz w:val="18"/>
              </w:rPr>
              <w:t>Screening of candidate records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</w:tcPr>
          <w:p>
            <w:r/>
            <w:r>
              <w:rPr>
                <w:sz w:val="18"/>
              </w:rPr>
              <w:t>Evidence extraction and synthesis of current state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</w:tcPr>
          <w:p>
            <w:r/>
            <w:r>
              <w:rPr>
                <w:sz w:val="18"/>
              </w:rPr>
              <w:t>Code, testing and repository set-up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</w:tcPr>
          <w:p>
            <w:r/>
            <w:r>
              <w:rPr>
                <w:sz w:val="18"/>
              </w:rPr>
              <w:t>Drafting and formatting this document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35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480"/>
      </w:tblGrid>
      <w:tr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648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Too many records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Use design filters, date limits and the Q7 retrieval set; prioritise RCTs and systematic reviews.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Paywalled full text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Use PMC, Europe PMC open access, author manuscripts and abstracts; note limitation.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Rapidly changing field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Re-run the logged searches before final writing.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Reviewer bias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Predefined criteria, recorded exclusion reasons, appraisal tools.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API limits or outages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Rate-limited client with retries; optional NCBI API key.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F3A5F"/>
        </w:rPr>
        <w:t>10. Preliminary Search Yield</w:t>
      </w:r>
    </w:p>
    <w:p>
      <w:pPr>
        <w:spacing w:after="120"/>
      </w:pPr>
      <w:r>
        <w:rPr>
          <w:b w:val="0"/>
          <w:i/>
        </w:rPr>
        <w:t>[Placeholder: run `python -m src.run_search` and then `python -m src.generate_report` to insert live PubMed counts, the publication-trend chart and the screening summary here.]</w:t>
      </w:r>
    </w:p>
    <w:p>
      <w:pPr>
        <w:pStyle w:val="Heading1"/>
      </w:pPr>
      <w:r>
        <w:rPr>
          <w:color w:val="1F3A5F"/>
        </w:rPr>
        <w:t>11. Reproducibility and Code Repository</w:t>
      </w:r>
    </w:p>
    <w:p>
      <w:pPr>
        <w:pStyle w:val="ListBullet"/>
        <w:spacing w:after="40"/>
      </w:pPr>
      <w:r>
        <w:t>src/config.py: all search blocks and screening vocabulary.</w:t>
      </w:r>
    </w:p>
    <w:p>
      <w:pPr>
        <w:pStyle w:val="ListBullet"/>
        <w:spacing w:after="40"/>
      </w:pPr>
      <w:r>
        <w:t>src/pubmed_client.py: PubMed E-utilities client; src/screening.py: rule-based pre-screening.</w:t>
      </w:r>
    </w:p>
    <w:p>
      <w:pPr>
        <w:pStyle w:val="ListBullet"/>
        <w:spacing w:after="40"/>
      </w:pPr>
      <w:r>
        <w:t>src/run_search.py: runs the strategy and writes the search log, charts and screened records.</w:t>
      </w:r>
    </w:p>
    <w:p>
      <w:pPr>
        <w:pStyle w:val="ListBullet"/>
        <w:spacing w:after="40"/>
      </w:pPr>
      <w:r>
        <w:t>src/generate_report.py: regenerates this document; tests/ contains offline unit tests.</w:t>
      </w:r>
    </w:p>
    <w:p>
      <w:pPr>
        <w:pStyle w:val="Heading1"/>
      </w:pPr>
      <w:r>
        <w:rPr>
          <w:color w:val="1F3A5F"/>
        </w:rPr>
        <w:t>12. Key References (to be verified in PubMed before submission)</w:t>
      </w:r>
    </w:p>
    <w:p>
      <w:pPr>
        <w:tabs>
          <w:tab w:pos="432" w:val="left"/>
        </w:tabs>
        <w:spacing w:after="60"/>
        <w:ind w:left="432" w:hanging="432"/>
      </w:pPr>
      <w:r>
        <w:t>1.</w:t>
        <w:tab/>
      </w:r>
      <w:r>
        <w:t>Wilding JPH, et al. Once-weekly semaglutide in adults with overweight or obesity (STEP 1). N Engl J Med. 2021.</w:t>
      </w:r>
    </w:p>
    <w:p>
      <w:pPr>
        <w:tabs>
          <w:tab w:pos="432" w:val="left"/>
        </w:tabs>
        <w:spacing w:after="60"/>
        <w:ind w:left="432" w:hanging="432"/>
      </w:pPr>
      <w:r>
        <w:t>2.</w:t>
        <w:tab/>
      </w:r>
      <w:r>
        <w:t>Jastreboff AM, et al. Tirzepatide once weekly for the treatment of obesity (SURMOUNT-1). N Engl J Med. 2022.</w:t>
      </w:r>
    </w:p>
    <w:p>
      <w:pPr>
        <w:tabs>
          <w:tab w:pos="432" w:val="left"/>
        </w:tabs>
        <w:spacing w:after="60"/>
        <w:ind w:left="432" w:hanging="432"/>
      </w:pPr>
      <w:r>
        <w:t>3.</w:t>
        <w:tab/>
      </w:r>
      <w:r>
        <w:t>Lincoff AM, et al. Semaglutide and cardiovascular outcomes in obesity without diabetes (SELECT). N Engl J Med. 2023.</w:t>
      </w:r>
    </w:p>
    <w:p>
      <w:pPr>
        <w:tabs>
          <w:tab w:pos="432" w:val="left"/>
        </w:tabs>
        <w:spacing w:after="60"/>
        <w:ind w:left="432" w:hanging="432"/>
      </w:pPr>
      <w:r>
        <w:t>4.</w:t>
        <w:tab/>
      </w:r>
      <w:r>
        <w:t>Wilding JPH, et al. Weight regain and cardiometabolic effects after withdrawal of semaglutide: STEP 1 trial extension. Diabetes Obes Metab. 2022.</w:t>
      </w:r>
    </w:p>
    <w:p>
      <w:pPr>
        <w:tabs>
          <w:tab w:pos="432" w:val="left"/>
        </w:tabs>
        <w:spacing w:after="60"/>
        <w:ind w:left="432" w:hanging="432"/>
      </w:pPr>
      <w:r>
        <w:t>5.</w:t>
        <w:tab/>
      </w:r>
      <w:r>
        <w:t>Aronne LJ, et al. Continued treatment with tirzepatide for maintenance of weight reduction (SURMOUNT-4). JAMA. 2024.</w:t>
      </w:r>
    </w:p>
    <w:p>
      <w:pPr>
        <w:tabs>
          <w:tab w:pos="432" w:val="left"/>
        </w:tabs>
        <w:spacing w:after="60"/>
        <w:ind w:left="432" w:hanging="432"/>
      </w:pPr>
      <w:r>
        <w:t>6.</w:t>
        <w:tab/>
      </w:r>
      <w:r>
        <w:t>Aronne LJ, et al. Tirzepatide as compared with semaglutide for the treatment of obesity (SURMOUNT-5). N Engl J Med. 2025.</w:t>
      </w:r>
    </w:p>
    <w:p>
      <w:pPr>
        <w:tabs>
          <w:tab w:pos="432" w:val="left"/>
        </w:tabs>
        <w:spacing w:after="60"/>
        <w:ind w:left="432" w:hanging="432"/>
      </w:pPr>
      <w:r>
        <w:t>7.</w:t>
        <w:tab/>
      </w:r>
      <w:r>
        <w:t>Page MJ, et al. The PRISMA 2020 statement. BMJ. 2021.</w:t>
      </w:r>
    </w:p>
    <w:p>
      <w:pPr>
        <w:tabs>
          <w:tab w:pos="432" w:val="left"/>
        </w:tabs>
        <w:spacing w:after="60"/>
        <w:ind w:left="432" w:hanging="432"/>
      </w:pPr>
      <w:r>
        <w:t>8.</w:t>
        <w:tab/>
      </w:r>
      <w:r>
        <w:t>Sterne JAC, et al. RoB 2: a revised tool for assessing risk of bias in randomised trials. BMJ. 2019.</w:t>
      </w:r>
    </w:p>
    <w:p>
      <w:r>
        <w:br w:type="page"/>
      </w:r>
    </w:p>
    <w:p>
      <w:pPr>
        <w:pStyle w:val="Heading1"/>
      </w:pPr>
      <w:r>
        <w:rPr>
          <w:color w:val="1F3A5F"/>
        </w:rPr>
        <w:t>Appendix A. Full Search Strings (PubMed)</w:t>
      </w:r>
    </w:p>
    <w:p>
      <w:pPr>
        <w:spacing w:after="20"/>
      </w:pPr>
      <w:r>
        <w:rPr>
          <w:b/>
          <w:i w:val="0"/>
        </w:rPr>
        <w:t>Q1_core</w:t>
      </w:r>
    </w:p>
    <w:p>
      <w:pPr>
        <w:spacing w:after="160"/>
      </w:pPr>
      <w:r>
        <w:rPr>
          <w:rFonts w:ascii="Consolas" w:hAnsi="Consolas"/>
          <w:b w:val="0"/>
          <w:i w:val="0"/>
          <w:sz w:val="17"/>
        </w:rPr>
        <w:t>("Obesity"[Mesh] OR "Overweight"[Mesh] OR obesity[tiab] OR obese[tiab] OR overweight[tiab] OR "weight management"[tiab] OR "weight loss"[tiab]) AND ("Glucagon-Like Peptide-1 Receptor"[Mesh] OR semaglutide[tiab] OR tirzepatide[tiab] OR liraglutide[tiab] OR retatrutide[tiab] OR orforglipron[tiab] OR "GLP-1"[tiab] OR "glucagon-like peptide-1"[tiab] OR "glucagon like peptide 1"[tiab] OR incretin[tiab]) AND (humans[mh] AND english[lang])</w:t>
      </w:r>
    </w:p>
    <w:p>
      <w:pPr>
        <w:spacing w:after="20"/>
      </w:pPr>
      <w:r>
        <w:rPr>
          <w:b/>
          <w:i w:val="0"/>
        </w:rPr>
        <w:t>Q2_cardiorenal</w:t>
      </w:r>
    </w:p>
    <w:p>
      <w:pPr>
        <w:spacing w:after="160"/>
      </w:pPr>
      <w:r>
        <w:rPr>
          <w:rFonts w:ascii="Consolas" w:hAnsi="Consolas"/>
          <w:b w:val="0"/>
          <w:i w:val="0"/>
          <w:sz w:val="17"/>
        </w:rPr>
        <w:t>("Obesity"[Mesh] OR "Overweight"[Mesh] OR obesity[tiab] OR obese[tiab] OR overweight[tiab] OR "weight management"[tiab] OR "weight loss"[tiab]) AND ("Glucagon-Like Peptide-1 Receptor"[Mesh] OR semaglutide[tiab] OR tirzepatide[tiab] OR liraglutide[tiab] OR retatrutide[tiab] OR orforglipron[tiab] OR "GLP-1"[tiab] OR "glucagon-like peptide-1"[tiab] OR "glucagon like peptide 1"[tiab] OR incretin[tiab]) AND ("cardiovascular"[tiab] OR "major adverse cardiovascular events"[tiab] OR MACE[tiab] OR "heart failure"[tiab] OR mortality[tiab] OR "chronic kidney disease"[tiab] OR "kidney outcomes"[tiab]) AND (humans[mh] AND english[lang])</w:t>
      </w:r>
    </w:p>
    <w:p>
      <w:pPr>
        <w:spacing w:after="20"/>
      </w:pPr>
      <w:r>
        <w:rPr>
          <w:b/>
          <w:i w:val="0"/>
        </w:rPr>
        <w:t>Q3_durability</w:t>
      </w:r>
    </w:p>
    <w:p>
      <w:pPr>
        <w:spacing w:after="160"/>
      </w:pPr>
      <w:r>
        <w:rPr>
          <w:rFonts w:ascii="Consolas" w:hAnsi="Consolas"/>
          <w:b w:val="0"/>
          <w:i w:val="0"/>
          <w:sz w:val="17"/>
        </w:rPr>
        <w:t>("Obesity"[Mesh] OR "Overweight"[Mesh] OR obesity[tiab] OR obese[tiab] OR overweight[tiab] OR "weight management"[tiab] OR "weight loss"[tiab]) AND ("Glucagon-Like Peptide-1 Receptor"[Mesh] OR semaglutide[tiab] OR tirzepatide[tiab] OR liraglutide[tiab] OR retatrutide[tiab] OR orforglipron[tiab] OR "GLP-1"[tiab] OR "glucagon-like peptide-1"[tiab] OR "glucagon like peptide 1"[tiab] OR incretin[tiab]) AND (discontinu*[tiab] OR withdraw*[tiab] OR "weight regain"[tiab] OR "weight maintenance"[tiab] OR cessation[tiab] OR persistence[tiab] OR adherence[tiab]) AND (humans[mh] AND english[lang])</w:t>
      </w:r>
    </w:p>
    <w:p>
      <w:pPr>
        <w:spacing w:after="20"/>
      </w:pPr>
      <w:r>
        <w:rPr>
          <w:b/>
          <w:i w:val="0"/>
        </w:rPr>
        <w:t>Q4_safety</w:t>
      </w:r>
    </w:p>
    <w:p>
      <w:pPr>
        <w:spacing w:after="160"/>
      </w:pPr>
      <w:r>
        <w:rPr>
          <w:rFonts w:ascii="Consolas" w:hAnsi="Consolas"/>
          <w:b w:val="0"/>
          <w:i w:val="0"/>
          <w:sz w:val="17"/>
        </w:rPr>
        <w:t>("Obesity"[Mesh] OR "Overweight"[Mesh] OR obesity[tiab] OR obese[tiab] OR overweight[tiab] OR "weight management"[tiab] OR "weight loss"[tiab]) AND ("Glucagon-Like Peptide-1 Receptor"[Mesh] OR semaglutide[tiab] OR tirzepatide[tiab] OR liraglutide[tiab] OR retatrutide[tiab] OR orforglipron[tiab] OR "GLP-1"[tiab] OR "glucagon-like peptide-1"[tiab] OR "glucagon like peptide 1"[tiab] OR incretin[tiab]) AND ("adverse events"[tiab] OR safety[tiab] OR pancreatitis[tiab] OR gallbladder[tiab] OR cholelithiasis[tiab] OR gastrointestinal[tiab] OR "optic neuropathy"[tiab] OR suicid*[tiab]) AND (humans[mh] AND english[lang])</w:t>
      </w:r>
    </w:p>
    <w:p>
      <w:pPr>
        <w:spacing w:after="20"/>
      </w:pPr>
      <w:r>
        <w:rPr>
          <w:b/>
          <w:i w:val="0"/>
        </w:rPr>
        <w:t>Q5_real_world</w:t>
      </w:r>
    </w:p>
    <w:p>
      <w:pPr>
        <w:spacing w:after="160"/>
      </w:pPr>
      <w:r>
        <w:rPr>
          <w:rFonts w:ascii="Consolas" w:hAnsi="Consolas"/>
          <w:b w:val="0"/>
          <w:i w:val="0"/>
          <w:sz w:val="17"/>
        </w:rPr>
        <w:t>("Obesity"[Mesh] OR "Overweight"[Mesh] OR obesity[tiab] OR obese[tiab] OR overweight[tiab] OR "weight management"[tiab] OR "weight loss"[tiab]) AND ("Glucagon-Like Peptide-1 Receptor"[Mesh] OR semaglutide[tiab] OR tirzepatide[tiab] OR liraglutide[tiab] OR retatrutide[tiab] OR orforglipron[tiab] OR "GLP-1"[tiab] OR "glucagon-like peptide-1"[tiab] OR "glucagon like peptide 1"[tiab] OR incretin[tiab]) AND ("real-world"[tiab] OR "real world"[tiab] OR "electronic health records"[tiab] OR "retrospective cohort"[tiab] OR "claims data"[tiab] OR "target trial emulation"[tiab]) AND (humans[mh] AND english[lang])</w:t>
      </w:r>
    </w:p>
    <w:p>
      <w:pPr>
        <w:spacing w:after="20"/>
      </w:pPr>
      <w:r>
        <w:rPr>
          <w:b/>
          <w:i w:val="0"/>
        </w:rPr>
        <w:t>Q6_gap_durability_real_world</w:t>
      </w:r>
    </w:p>
    <w:p>
      <w:pPr>
        <w:spacing w:after="160"/>
      </w:pPr>
      <w:r>
        <w:rPr>
          <w:rFonts w:ascii="Consolas" w:hAnsi="Consolas"/>
          <w:b w:val="0"/>
          <w:i w:val="0"/>
          <w:sz w:val="17"/>
        </w:rPr>
        <w:t>("Obesity"[Mesh] OR "Overweight"[Mesh] OR obesity[tiab] OR obese[tiab] OR overweight[tiab] OR "weight management"[tiab] OR "weight loss"[tiab]) AND ("Glucagon-Like Peptide-1 Receptor"[Mesh] OR semaglutide[tiab] OR tirzepatide[tiab] OR liraglutide[tiab] OR retatrutide[tiab] OR orforglipron[tiab] OR "GLP-1"[tiab] OR "glucagon-like peptide-1"[tiab] OR "glucagon like peptide 1"[tiab] OR incretin[tiab]) AND (discontinu*[tiab] OR withdraw*[tiab] OR "weight regain"[tiab] OR "weight maintenance"[tiab] OR cessation[tiab] OR persistence[tiab] OR adherence[tiab]) AND ("real-world"[tiab] OR "real world"[tiab] OR "electronic health records"[tiab] OR "retrospective cohort"[tiab] OR "claims data"[tiab] OR "target trial emulation"[tiab]) AND (humans[mh] AND english[lang])</w:t>
      </w:r>
    </w:p>
    <w:p>
      <w:pPr>
        <w:spacing w:after="20"/>
      </w:pPr>
      <w:r>
        <w:rPr>
          <w:b/>
          <w:i w:val="0"/>
        </w:rPr>
        <w:t>Q7_retrieval_set</w:t>
      </w:r>
    </w:p>
    <w:p>
      <w:pPr>
        <w:spacing w:after="160"/>
      </w:pPr>
      <w:r>
        <w:rPr>
          <w:rFonts w:ascii="Consolas" w:hAnsi="Consolas"/>
          <w:b w:val="0"/>
          <w:i w:val="0"/>
          <w:sz w:val="17"/>
        </w:rPr>
        <w:t>("Obesity"[Mesh] OR "Overweight"[Mesh] OR obesity[tiab] OR obese[tiab] OR overweight[tiab] OR "weight management"[tiab] OR "weight loss"[tiab]) AND ("Glucagon-Like Peptide-1 Receptor"[Mesh] OR semaglutide[tiab] OR tirzepatide[tiab] OR liraglutide[tiab] OR retatrutide[tiab] OR orforglipron[tiab] OR "GLP-1"[tiab] OR "glucagon-like peptide-1"[tiab] OR "glucagon like peptide 1"[tiab] OR incretin[tiab]) AND ("Randomized Controlled Trial"[pt] OR "Meta-Analysis"[pt] OR "Systematic Review"[pt] OR "Clinical Trial, Phase III"[pt] OR "Cohort Studies"[Mesh] OR "Observational Study"[pt]) AND (humans[mh] AND english[lang])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