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3A5C"/>
          <w:sz w:val="40"/>
          <w:szCs w:val="40"/>
        </w:rPr>
        <w:t xml:space="preserve">Foren — Technical Architecture Overview</w:t>
      </w:r>
    </w:p>
    <w:p>
      <w:pPr>
        <w:spacing w:after="20"/>
      </w:pPr>
      <w:r>
        <w:rPr>
          <w:i/>
          <w:iCs/>
          <w:color w:val="555555"/>
          <w:sz w:val="20"/>
          <w:szCs w:val="20"/>
        </w:rPr>
        <w:t xml:space="preserve">Supporting evidence for a UK Global Talent (Digital Technology) application</w:t>
      </w:r>
    </w:p>
    <w:p>
      <w:pPr>
        <w:spacing w:after="160"/>
      </w:pPr>
      <w:r>
        <w:rPr>
          <w:i/>
          <w:iCs/>
          <w:color w:val="555555"/>
          <w:sz w:val="20"/>
          <w:szCs w:val="20"/>
        </w:rPr>
        <w:t xml:space="preserve">Factual technical description of the Foren product as implemented in the codebase.</w:t>
      </w:r>
    </w:p>
    <w:p>
      <w:pPr>
        <w:pBdr>
          <w:bottom w:val="single" w:color="CCCCCC" w:sz="6"/>
        </w:pBdr>
        <w:spacing w:after="120" w:before="60"/>
      </w:pPr>
      <w:r>
        <w:t xml:space="preserve"/>
      </w:r>
    </w:p>
    <w:p>
      <w:pPr>
        <w:pStyle w:val="Heading1"/>
        <w:spacing w:after="120" w:before="260"/>
      </w:pPr>
      <w:r>
        <w:rPr>
          <w:color w:val="5B3A5C"/>
        </w:rPr>
        <w:t xml:space="preserve">Executive summary</w:t>
      </w:r>
    </w:p>
    <w:p>
      <w:pPr>
        <w:spacing w:after="120" w:line="276"/>
      </w:pPr>
      <w:r>
        <w:rPr>
          <w:b w:val="false"/>
          <w:bCs w:val="false"/>
        </w:rPr>
        <w:t xml:space="preserve"/>
      </w:r>
      <w:r>
        <w:rPr>
          <w:b/>
          <w:bCs/>
        </w:rPr>
        <w:t xml:space="preserve">Foren is a survivor-facing evidence vault</w:t>
      </w:r>
      <w:r>
        <w:rPr>
          <w:b w:val="false"/>
          <w:bCs w:val="false"/>
        </w:rPr>
        <w:t xml:space="preserve"> for people experiencing harassment, stalking, or domestic abuse. It lets a survivor privately capture and organise evidence (messages, screenshots, audio), then produce a court-ready bundle whose integrity can be independently verified — without anyone, including Foren’s own servers, ever being able to read the evidence.</w:t>
      </w:r>
    </w:p>
    <w:p>
      <w:pPr>
        <w:spacing w:after="120" w:line="276"/>
      </w:pPr>
      <w:r>
        <w:rPr>
          <w:b w:val="false"/>
          <w:bCs w:val="false"/>
        </w:rPr>
        <w:t xml:space="preserve">Three properties make the product technically distinctive:</w:t>
      </w:r>
    </w:p>
    <w:p>
      <w:pPr>
        <w:pStyle w:val="ListParagraph"/>
        <w:numPr>
          <w:ilvl w:val="0"/>
          <w:numId w:val="2"/>
        </w:numPr>
        <w:spacing w:after="80" w:line="276"/>
      </w:pPr>
      <w:r>
        <w:rPr>
          <w:b w:val="false"/>
          <w:bCs w:val="false"/>
        </w:rPr>
        <w:t xml:space="preserve"/>
      </w:r>
      <w:r>
        <w:rPr>
          <w:b/>
          <w:bCs/>
        </w:rPr>
        <w:t xml:space="preserve">Disguised, local-first, zero-knowledge.</w:t>
      </w:r>
      <w:r>
        <w:rPr>
          <w:b w:val="false"/>
          <w:bCs w:val="false"/>
        </w:rPr>
        <w:t xml:space="preserve"> The app presents as an ordinary phone game (2048, Sudoku, or Wordle). The real vault is unlocked only through a hidden gesture and passcode. Evidence is encrypted on the device with a key derived from the user’s passcode; the key never leaves the device and the servers are designed never to receive plaintext.</w:t>
      </w:r>
    </w:p>
    <w:p>
      <w:pPr>
        <w:pStyle w:val="ListParagraph"/>
        <w:numPr>
          <w:ilvl w:val="0"/>
          <w:numId w:val="2"/>
        </w:numPr>
        <w:spacing w:after="80" w:line="276"/>
      </w:pPr>
      <w:r>
        <w:rPr>
          <w:b w:val="false"/>
          <w:bCs w:val="false"/>
        </w:rPr>
        <w:t xml:space="preserve"/>
      </w:r>
      <w:r>
        <w:rPr>
          <w:b/>
          <w:bCs/>
        </w:rPr>
        <w:t xml:space="preserve">Cryptographic tamper-evidence.</w:t>
      </w:r>
      <w:r>
        <w:rPr>
          <w:b w:val="false"/>
          <w:bCs w:val="false"/>
        </w:rPr>
        <w:t xml:space="preserve"> Every case’s evidence is committed to a SHA-256 Merkle tree, and that commitment is anchored to public blockchains (Solana and, via OpenTimestamps, Bitcoin). Any later change to the evidence breaks the proof.</w:t>
      </w:r>
    </w:p>
    <w:p>
      <w:pPr>
        <w:pStyle w:val="ListParagraph"/>
        <w:numPr>
          <w:ilvl w:val="0"/>
          <w:numId w:val="2"/>
        </w:numPr>
        <w:spacing w:after="80" w:line="276"/>
      </w:pPr>
      <w:r>
        <w:rPr>
          <w:b w:val="false"/>
          <w:bCs w:val="false"/>
        </w:rPr>
        <w:t xml:space="preserve"/>
      </w:r>
      <w:r>
        <w:rPr>
          <w:b/>
          <w:bCs/>
        </w:rPr>
        <w:t xml:space="preserve">Independent verification.</w:t>
      </w:r>
      <w:r>
        <w:rPr>
          <w:b w:val="false"/>
          <w:bCs w:val="false"/>
        </w:rPr>
        <w:t xml:space="preserve"> An exported case bundle can be checked by a third party (e.g. a court) entirely offline for internal integrity, and against the public blockchain record — with no need to trust Foren.</w:t>
      </w:r>
    </w:p>
    <w:p>
      <w:pPr>
        <w:spacing w:after="120" w:line="276"/>
      </w:pPr>
      <w:r>
        <w:rPr>
          <w:b w:val="false"/>
          <w:bCs w:val="false"/>
        </w:rPr>
        <w:t xml:space="preserve">The implementation is a ~5,900-line TypeScript/React application (≈70 modules) plus a ~1,050-line Node/TypeScript backend relay, using production-grade primitives (Web Crypto AES-256-GCM, PBKDF2-SHA256, IndexedDB, on-device machine-learning models, and real blockchain transactions).</w:t>
      </w:r>
    </w:p>
    <w:p>
      <w:pPr>
        <w:pBdr>
          <w:left w:val="single" w:color="9A6A2F" w:sz="18" w:space="12"/>
        </w:pBdr>
        <w:spacing w:after="140" w:before="100"/>
        <w:ind w:left="240"/>
      </w:pPr>
      <w:r>
        <w:rPr>
          <w:b w:val="false"/>
          <w:bCs w:val="false"/>
          <w:i/>
          <w:iCs/>
          <w:color w:val="555555"/>
        </w:rPr>
        <w:t xml:space="preserve">Scope note. This document describes what is implemented and verified in the codebase, and clearly marks the small number of components that are scaffolded or simulated for the current build (noted inline). It does not describe features that are not present.</w:t>
      </w:r>
    </w:p>
    <w:p>
      <w:pPr>
        <w:pStyle w:val="Heading1"/>
        <w:spacing w:after="120" w:before="260"/>
      </w:pPr>
      <w:r>
        <w:rPr>
          <w:color w:val="5B3A5C"/>
        </w:rPr>
        <w:t xml:space="preserve">1. System overview</w:t>
      </w:r>
    </w:p>
    <w:p>
      <w:pPr>
        <w:spacing w:after="120" w:line="276"/>
      </w:pPr>
      <w:r>
        <w:rPr>
          <w:b w:val="false"/>
          <w:bCs w:val="false"/>
        </w:rPr>
        <w:t xml:space="preserve"/>
      </w:r>
      <w:r>
        <w:rPr>
          <w:b/>
          <w:bCs/>
        </w:rPr>
        <w:t xml:space="preserve">What it does.</w:t>
      </w:r>
      <w:r>
        <w:rPr>
          <w:b w:val="false"/>
          <w:bCs w:val="false"/>
        </w:rPr>
        <w:t xml:space="preserve"> Foren lets a survivor: (a) enter through a decoy game so the app is not obviously an evidence tool; (b) create cases and add evidence items (pasted text, images, audio); (c) have each item analysed for severity and abuse patterns on-device; (d) cryptographically commit a case and anchor that commitment on public blockchains; (e) export a self-verifying bundle (JSON + PDF) for courts or advocates; and (f) recover or destroy the vault safely.</w:t>
      </w:r>
    </w:p>
    <w:p>
      <w:pPr>
        <w:spacing w:after="120" w:line="276"/>
      </w:pPr>
      <w:r>
        <w:rPr>
          <w:b w:val="false"/>
          <w:bCs w:val="false"/>
        </w:rPr>
        <w:t xml:space="preserve"/>
      </w:r>
      <w:r>
        <w:rPr>
          <w:b/>
          <w:bCs/>
        </w:rPr>
        <w:t xml:space="preserve">The core problem it solves.</w:t>
      </w:r>
      <w:r>
        <w:rPr>
          <w:b w:val="false"/>
          <w:bCs w:val="false"/>
        </w:rPr>
        <w:t xml:space="preserve"> Evidence of abuse is (i) unsafe to hold — an abuser with access to the phone can find it; (ii) easy to dispute — screenshots can be dismissed as fabricated or back-dated; and (iii) privacy-hostile — most “cloud evidence” tools require trusting a third party with extremely sensitive material. Foren addresses all three: disguise + on-device encryption for safety and privacy, and Merkle + blockchain anchoring for tamper-evidence and admissibility.</w:t>
      </w:r>
    </w:p>
    <w:p>
      <w:pPr>
        <w:pStyle w:val="Heading2"/>
        <w:spacing w:after="80" w:before="180"/>
      </w:pPr>
      <w:r>
        <w:rPr>
          <w:color w:val="5B3A5C"/>
        </w:rPr>
        <w:t xml:space="preserve">Major components</w:t>
      </w:r>
    </w:p>
    <w:p>
      <w:pPr>
        <w:pStyle w:val="ListParagraph"/>
        <w:numPr>
          <w:ilvl w:val="0"/>
          <w:numId w:val="3"/>
        </w:numPr>
        <w:spacing w:after="80" w:line="276"/>
      </w:pPr>
      <w:r>
        <w:rPr>
          <w:b w:val="false"/>
          <w:bCs w:val="false"/>
        </w:rPr>
        <w:t xml:space="preserve"/>
      </w:r>
      <w:r>
        <w:rPr>
          <w:b/>
          <w:bCs/>
        </w:rPr>
        <w:t xml:space="preserve">Client application</w:t>
      </w:r>
      <w:r>
        <w:rPr>
          <w:b w:val="false"/>
          <w:bCs w:val="false"/>
        </w:rPr>
        <w:t xml:space="preserve"> (React/TypeScript PWA) — the entire user experience and all cryptography.</w:t>
      </w:r>
    </w:p>
    <w:p>
      <w:pPr>
        <w:pStyle w:val="ListParagraph"/>
        <w:numPr>
          <w:ilvl w:val="0"/>
          <w:numId w:val="3"/>
        </w:numPr>
        <w:spacing w:after="80" w:line="276"/>
      </w:pPr>
      <w:r>
        <w:rPr>
          <w:b w:val="false"/>
          <w:bCs w:val="false"/>
        </w:rPr>
        <w:t xml:space="preserve"/>
      </w:r>
      <w:r>
        <w:rPr>
          <w:b/>
          <w:bCs/>
        </w:rPr>
        <w:t xml:space="preserve">On-device data layer</w:t>
      </w:r>
      <w:r>
        <w:rPr>
          <w:b w:val="false"/>
          <w:bCs w:val="false"/>
        </w:rPr>
        <w:t xml:space="preserve"> (encrypted IndexedDB) — where evidence lives.</w:t>
      </w:r>
    </w:p>
    <w:p>
      <w:pPr>
        <w:pStyle w:val="ListParagraph"/>
        <w:numPr>
          <w:ilvl w:val="0"/>
          <w:numId w:val="3"/>
        </w:numPr>
        <w:spacing w:after="80" w:line="276"/>
      </w:pPr>
      <w:r>
        <w:rPr>
          <w:b w:val="false"/>
          <w:bCs w:val="false"/>
        </w:rPr>
        <w:t xml:space="preserve"/>
      </w:r>
      <w:r>
        <w:rPr>
          <w:b/>
          <w:bCs/>
        </w:rPr>
        <w:t xml:space="preserve">On-device AI</w:t>
      </w:r>
      <w:r>
        <w:rPr>
          <w:b w:val="false"/>
          <w:bCs w:val="false"/>
        </w:rPr>
        <w:t xml:space="preserve"> — OCR, speech-to-text, and content analysis, all running in the browser.</w:t>
      </w:r>
    </w:p>
    <w:p>
      <w:pPr>
        <w:pStyle w:val="ListParagraph"/>
        <w:numPr>
          <w:ilvl w:val="0"/>
          <w:numId w:val="3"/>
        </w:numPr>
        <w:spacing w:after="80" w:line="276"/>
      </w:pPr>
      <w:r>
        <w:rPr>
          <w:b w:val="false"/>
          <w:bCs w:val="false"/>
        </w:rPr>
        <w:t xml:space="preserve"/>
      </w:r>
      <w:r>
        <w:rPr>
          <w:b/>
          <w:bCs/>
        </w:rPr>
        <w:t xml:space="preserve">Cryptographic commitment layer</w:t>
      </w:r>
      <w:r>
        <w:rPr>
          <w:b w:val="false"/>
          <w:bCs w:val="false"/>
        </w:rPr>
        <w:t xml:space="preserve"> — Merkle tree + export / verification.</w:t>
      </w:r>
    </w:p>
    <w:p>
      <w:pPr>
        <w:pStyle w:val="ListParagraph"/>
        <w:numPr>
          <w:ilvl w:val="0"/>
          <w:numId w:val="3"/>
        </w:numPr>
        <w:spacing w:after="80" w:line="276"/>
      </w:pPr>
      <w:r>
        <w:rPr>
          <w:b w:val="false"/>
          <w:bCs w:val="false"/>
        </w:rPr>
        <w:t xml:space="preserve"/>
      </w:r>
      <w:r>
        <w:rPr>
          <w:b/>
          <w:bCs/>
        </w:rPr>
        <w:t xml:space="preserve">Anchoring relay</w:t>
      </w:r>
      <w:r>
        <w:rPr>
          <w:b w:val="false"/>
          <w:bCs w:val="false"/>
        </w:rPr>
        <w:t xml:space="preserve"> (Node/Express backend) — submits commitments to Solana and Bitcoin.</w:t>
      </w:r>
    </w:p>
    <w:p>
      <w:pPr>
        <w:pStyle w:val="ListParagraph"/>
        <w:numPr>
          <w:ilvl w:val="0"/>
          <w:numId w:val="3"/>
        </w:numPr>
        <w:spacing w:after="80" w:line="276"/>
      </w:pPr>
      <w:r>
        <w:rPr>
          <w:b w:val="false"/>
          <w:bCs w:val="false"/>
        </w:rPr>
        <w:t xml:space="preserve"/>
      </w:r>
      <w:r>
        <w:rPr>
          <w:b/>
          <w:bCs/>
        </w:rPr>
        <w:t xml:space="preserve">Independent verification page</w:t>
      </w:r>
      <w:r>
        <w:rPr>
          <w:b w:val="false"/>
          <w:bCs w:val="false"/>
        </w:rPr>
        <w:t xml:space="preserve"> — public, requires no login.</w:t>
      </w:r>
    </w:p>
    <w:p>
      <w:pPr>
        <w:pStyle w:val="Heading1"/>
        <w:spacing w:after="120" w:before="260"/>
      </w:pPr>
      <w:r>
        <w:rPr>
          <w:color w:val="5B3A5C"/>
        </w:rPr>
        <w:t xml:space="preserve">2. Architecture breakdown</w:t>
      </w:r>
    </w:p>
    <w:p>
      <w:pPr>
        <w:spacing w:after="0" w:line="200"/>
      </w:pPr>
      <w:r>
        <w:rPr>
          <w:rFonts w:ascii="Consolas" w:cs="Consolas" w:eastAsia="Consolas" w:hAnsi="Consolas"/>
          <w:color w:val="333333"/>
          <w:sz w:val="13"/>
          <w:szCs w:val="13"/>
        </w:rPr>
        <w:t xml:space="preserve"> </w:t>
      </w:r>
    </w:p>
    <w:p>
      <w:pPr>
        <w:spacing w:after="0" w:line="200"/>
      </w:pPr>
      <w:r>
        <w:rPr>
          <w:rFonts w:ascii="Consolas" w:cs="Consolas" w:eastAsia="Consolas" w:hAnsi="Consolas"/>
          <w:color w:val="333333"/>
          <w:sz w:val="13"/>
          <w:szCs w:val="13"/>
        </w:rPr>
        <w:t xml:space="preserve">                    DEVICE (browser — nothing leaves unless the user exports)</w:t>
      </w:r>
    </w:p>
    <w:p>
      <w:pPr>
        <w:spacing w:after="0" w:line="200"/>
      </w:pPr>
      <w:r>
        <w:rPr>
          <w:rFonts w:ascii="Consolas" w:cs="Consolas" w:eastAsia="Consolas" w:hAnsi="Consolas"/>
          <w:color w:val="333333"/>
          <w:sz w:val="13"/>
          <w:szCs w:val="13"/>
        </w:rPr>
        <w:t xml:space="preserve"> ┌───────────────────────────────────────────────────────────────────────────┐</w:t>
      </w:r>
    </w:p>
    <w:p>
      <w:pPr>
        <w:spacing w:after="0" w:line="200"/>
      </w:pPr>
      <w:r>
        <w:rPr>
          <w:rFonts w:ascii="Consolas" w:cs="Consolas" w:eastAsia="Consolas" w:hAnsi="Consolas"/>
          <w:color w:val="333333"/>
          <w:sz w:val="13"/>
          <w:szCs w:val="13"/>
        </w:rPr>
        <w:t xml:space="preserve"> │  Disguise &amp; unlock        Vault UI              On-device intelligence      │</w:t>
      </w:r>
    </w:p>
    <w:p>
      <w:pPr>
        <w:spacing w:after="0" w:line="200"/>
      </w:pPr>
      <w:r>
        <w:rPr>
          <w:rFonts w:ascii="Consolas" w:cs="Consolas" w:eastAsia="Consolas" w:hAnsi="Consolas"/>
          <w:color w:val="333333"/>
          <w:sz w:val="13"/>
          <w:szCs w:val="13"/>
        </w:rPr>
        <w:t xml:space="preserve"> │  ┌──────────────┐   ┌─────────────────┐   ┌───────────────────────────────┐│</w:t>
      </w:r>
    </w:p>
    <w:p>
      <w:pPr>
        <w:spacing w:after="0" w:line="200"/>
      </w:pPr>
      <w:r>
        <w:rPr>
          <w:rFonts w:ascii="Consolas" w:cs="Consolas" w:eastAsia="Consolas" w:hAnsi="Consolas"/>
          <w:color w:val="333333"/>
          <w:sz w:val="13"/>
          <w:szCs w:val="13"/>
        </w:rPr>
        <w:t xml:space="preserve"> │  │ 2048 / Sudoku│   │ Cases, timeline,│   │ OCR (Tesseract) · ASR (Whisper)││</w:t>
      </w:r>
    </w:p>
    <w:p>
      <w:pPr>
        <w:spacing w:after="0" w:line="200"/>
      </w:pPr>
      <w:r>
        <w:rPr>
          <w:rFonts w:ascii="Consolas" w:cs="Consolas" w:eastAsia="Consolas" w:hAnsi="Consolas"/>
          <w:color w:val="333333"/>
          <w:sz w:val="13"/>
          <w:szCs w:val="13"/>
        </w:rPr>
        <w:t xml:space="preserve"> │  │ Wordle +     │──▶│ evidence, export│◀──│ Severity / pattern analysis    ││</w:t>
      </w:r>
    </w:p>
    <w:p>
      <w:pPr>
        <w:spacing w:after="0" w:line="200"/>
      </w:pPr>
      <w:r>
        <w:rPr>
          <w:rFonts w:ascii="Consolas" w:cs="Consolas" w:eastAsia="Consolas" w:hAnsi="Consolas"/>
          <w:color w:val="333333"/>
          <w:sz w:val="13"/>
          <w:szCs w:val="13"/>
        </w:rPr>
        <w:t xml:space="preserve"> │  │ gesture+code │   └───────┬─────────┘   └───────────────────────────────┘│</w:t>
      </w:r>
    </w:p>
    <w:p>
      <w:pPr>
        <w:spacing w:after="0" w:line="200"/>
      </w:pPr>
      <w:r>
        <w:rPr>
          <w:rFonts w:ascii="Consolas" w:cs="Consolas" w:eastAsia="Consolas" w:hAnsi="Consolas"/>
          <w:color w:val="333333"/>
          <w:sz w:val="13"/>
          <w:szCs w:val="13"/>
        </w:rPr>
        <w:t xml:space="preserve"> │  └──────────────┘           │                                              │</w:t>
      </w:r>
    </w:p>
    <w:p>
      <w:pPr>
        <w:spacing w:after="0" w:line="200"/>
      </w:pPr>
      <w:r>
        <w:rPr>
          <w:rFonts w:ascii="Consolas" w:cs="Consolas" w:eastAsia="Consolas" w:hAnsi="Consolas"/>
          <w:color w:val="333333"/>
          <w:sz w:val="13"/>
          <w:szCs w:val="13"/>
        </w:rPr>
        <w:t xml:space="preserve"> │        │ passcode           ▼                                              │</w:t>
      </w:r>
    </w:p>
    <w:p>
      <w:pPr>
        <w:spacing w:after="0" w:line="200"/>
      </w:pPr>
      <w:r>
        <w:rPr>
          <w:rFonts w:ascii="Consolas" w:cs="Consolas" w:eastAsia="Consolas" w:hAnsi="Consolas"/>
          <w:color w:val="333333"/>
          <w:sz w:val="13"/>
          <w:szCs w:val="13"/>
        </w:rPr>
        <w:t xml:space="preserve"> │        ▼             ┌──────────────────┐      ┌────────────────────────┐  │</w:t>
      </w:r>
    </w:p>
    <w:p>
      <w:pPr>
        <w:spacing w:after="0" w:line="200"/>
      </w:pPr>
      <w:r>
        <w:rPr>
          <w:rFonts w:ascii="Consolas" w:cs="Consolas" w:eastAsia="Consolas" w:hAnsi="Consolas"/>
          <w:color w:val="333333"/>
          <w:sz w:val="13"/>
          <w:szCs w:val="13"/>
        </w:rPr>
        <w:t xml:space="preserve"> │  PBKDF2-SHA256 ─key─▶│ AES-256-GCM      │─────▶│ IndexedDB (ciphertext) │  │</w:t>
      </w:r>
    </w:p>
    <w:p>
      <w:pPr>
        <w:spacing w:after="0" w:line="200"/>
      </w:pPr>
      <w:r>
        <w:rPr>
          <w:rFonts w:ascii="Consolas" w:cs="Consolas" w:eastAsia="Consolas" w:hAnsi="Consolas"/>
          <w:color w:val="333333"/>
          <w:sz w:val="13"/>
          <w:szCs w:val="13"/>
        </w:rPr>
        <w:t xml:space="preserve"> │  (in memory only)    └────────┬─────────┘      └────────────────────────┘  │</w:t>
      </w:r>
    </w:p>
    <w:p>
      <w:pPr>
        <w:spacing w:after="0" w:line="200"/>
      </w:pPr>
      <w:r>
        <w:rPr>
          <w:rFonts w:ascii="Consolas" w:cs="Consolas" w:eastAsia="Consolas" w:hAnsi="Consolas"/>
          <w:color w:val="333333"/>
          <w:sz w:val="13"/>
          <w:szCs w:val="13"/>
        </w:rPr>
        <w:t xml:space="preserve"> │                               ▼                                            │</w:t>
      </w:r>
    </w:p>
    <w:p>
      <w:pPr>
        <w:spacing w:after="0" w:line="200"/>
      </w:pPr>
      <w:r>
        <w:rPr>
          <w:rFonts w:ascii="Consolas" w:cs="Consolas" w:eastAsia="Consolas" w:hAnsi="Consolas"/>
          <w:color w:val="333333"/>
          <w:sz w:val="13"/>
          <w:szCs w:val="13"/>
        </w:rPr>
        <w:t xml:space="preserve"> │                    SHA-256 Merkle commitment ──▶ self-verifying export     │</w:t>
      </w:r>
    </w:p>
    <w:p>
      <w:pPr>
        <w:spacing w:after="0" w:line="200"/>
      </w:pPr>
      <w:r>
        <w:rPr>
          <w:rFonts w:ascii="Consolas" w:cs="Consolas" w:eastAsia="Consolas" w:hAnsi="Consolas"/>
          <w:color w:val="333333"/>
          <w:sz w:val="13"/>
          <w:szCs w:val="13"/>
        </w:rPr>
        <w:t xml:space="preserve"> └───────────────────────────────┬────────────────────────(JSON + PDF)───────┘</w:t>
      </w:r>
    </w:p>
    <w:p>
      <w:pPr>
        <w:spacing w:after="0" w:line="200"/>
      </w:pPr>
      <w:r>
        <w:rPr>
          <w:rFonts w:ascii="Consolas" w:cs="Consolas" w:eastAsia="Consolas" w:hAnsi="Consolas"/>
          <w:color w:val="333333"/>
          <w:sz w:val="13"/>
          <w:szCs w:val="13"/>
        </w:rPr>
        <w:t xml:space="preserve">                                  │  root hash only (no evidence)</w:t>
      </w:r>
    </w:p>
    <w:p>
      <w:pPr>
        <w:spacing w:after="0" w:line="200"/>
      </w:pPr>
      <w:r>
        <w:rPr>
          <w:rFonts w:ascii="Consolas" w:cs="Consolas" w:eastAsia="Consolas" w:hAnsi="Consolas"/>
          <w:color w:val="333333"/>
          <w:sz w:val="13"/>
          <w:szCs w:val="13"/>
        </w:rPr>
        <w:t xml:space="preserve">                                  ▼</w:t>
      </w:r>
    </w:p>
    <w:p>
      <w:pPr>
        <w:spacing w:after="0" w:line="200"/>
      </w:pPr>
      <w:r>
        <w:rPr>
          <w:rFonts w:ascii="Consolas" w:cs="Consolas" w:eastAsia="Consolas" w:hAnsi="Consolas"/>
          <w:color w:val="333333"/>
          <w:sz w:val="13"/>
          <w:szCs w:val="13"/>
        </w:rPr>
        <w:t xml:space="preserve">                   ┌──────────────────────────────┐</w:t>
      </w:r>
    </w:p>
    <w:p>
      <w:pPr>
        <w:spacing w:after="0" w:line="200"/>
      </w:pPr>
      <w:r>
        <w:rPr>
          <w:rFonts w:ascii="Consolas" w:cs="Consolas" w:eastAsia="Consolas" w:hAnsi="Consolas"/>
          <w:color w:val="333333"/>
          <w:sz w:val="13"/>
          <w:szCs w:val="13"/>
        </w:rPr>
        <w:t xml:space="preserve">                   │ Anchoring relay (Node/Express)│  holds signing key,</w:t>
      </w:r>
    </w:p>
    <w:p>
      <w:pPr>
        <w:spacing w:after="0" w:line="200"/>
      </w:pPr>
      <w:r>
        <w:rPr>
          <w:rFonts w:ascii="Consolas" w:cs="Consolas" w:eastAsia="Consolas" w:hAnsi="Consolas"/>
          <w:color w:val="333333"/>
          <w:sz w:val="13"/>
          <w:szCs w:val="13"/>
        </w:rPr>
        <w:t xml:space="preserve">                   │  POST /v1/anchor/solana       │  never sees evidence</w:t>
      </w:r>
    </w:p>
    <w:p>
      <w:pPr>
        <w:spacing w:after="0" w:line="200"/>
      </w:pPr>
      <w:r>
        <w:rPr>
          <w:rFonts w:ascii="Consolas" w:cs="Consolas" w:eastAsia="Consolas" w:hAnsi="Consolas"/>
          <w:color w:val="333333"/>
          <w:sz w:val="13"/>
          <w:szCs w:val="13"/>
        </w:rPr>
        <w:t xml:space="preserve">                   │  POST /v1/anchor/bitcoin      │</w:t>
      </w:r>
    </w:p>
    <w:p>
      <w:pPr>
        <w:spacing w:after="0" w:line="200"/>
      </w:pPr>
      <w:r>
        <w:rPr>
          <w:rFonts w:ascii="Consolas" w:cs="Consolas" w:eastAsia="Consolas" w:hAnsi="Consolas"/>
          <w:color w:val="333333"/>
          <w:sz w:val="13"/>
          <w:szCs w:val="13"/>
        </w:rPr>
        <w:t xml:space="preserve">                   └────────┬───────────┬──────────┘</w:t>
      </w:r>
    </w:p>
    <w:p>
      <w:pPr>
        <w:spacing w:after="0" w:line="200"/>
      </w:pPr>
      <w:r>
        <w:rPr>
          <w:rFonts w:ascii="Consolas" w:cs="Consolas" w:eastAsia="Consolas" w:hAnsi="Consolas"/>
          <w:color w:val="333333"/>
          <w:sz w:val="13"/>
          <w:szCs w:val="13"/>
        </w:rPr>
        <w:t xml:space="preserve">                            ▼           ▼</w:t>
      </w:r>
    </w:p>
    <w:p>
      <w:pPr>
        <w:spacing w:after="0" w:line="200"/>
      </w:pPr>
      <w:r>
        <w:rPr>
          <w:rFonts w:ascii="Consolas" w:cs="Consolas" w:eastAsia="Consolas" w:hAnsi="Consolas"/>
          <w:color w:val="333333"/>
          <w:sz w:val="13"/>
          <w:szCs w:val="13"/>
        </w:rPr>
        <w:t xml:space="preserve">                   Solana (SPL Memo)  Bitcoin (via OpenTimestamps)</w:t>
      </w:r>
    </w:p>
    <w:p>
      <w:pPr>
        <w:spacing w:after="0" w:line="200"/>
      </w:pPr>
      <w:r>
        <w:rPr>
          <w:rFonts w:ascii="Consolas" w:cs="Consolas" w:eastAsia="Consolas" w:hAnsi="Consolas"/>
          <w:color w:val="333333"/>
          <w:sz w:val="13"/>
          <w:szCs w:val="13"/>
        </w:rPr>
        <w:t xml:space="preserve">                            ▲</w:t>
      </w:r>
    </w:p>
    <w:p>
      <w:pPr>
        <w:spacing w:after="0" w:line="200"/>
      </w:pPr>
      <w:r>
        <w:rPr>
          <w:rFonts w:ascii="Consolas" w:cs="Consolas" w:eastAsia="Consolas" w:hAnsi="Consolas"/>
          <w:color w:val="333333"/>
          <w:sz w:val="13"/>
          <w:szCs w:val="13"/>
        </w:rPr>
        <w:t xml:space="preserve">             Independent verification page — recomputes Merkle root</w:t>
      </w:r>
    </w:p>
    <w:p>
      <w:pPr>
        <w:spacing w:after="0" w:line="200"/>
      </w:pPr>
      <w:r>
        <w:rPr>
          <w:rFonts w:ascii="Consolas" w:cs="Consolas" w:eastAsia="Consolas" w:hAnsi="Consolas"/>
          <w:color w:val="333333"/>
          <w:sz w:val="13"/>
          <w:szCs w:val="13"/>
        </w:rPr>
        <w:t xml:space="preserve">             (public, no login)            + checks on-chain record</w:t>
      </w:r>
    </w:p>
    <w:p>
      <w:pPr>
        <w:spacing w:after="0" w:line="200"/>
      </w:pPr>
      <w:r>
        <w:rPr>
          <w:rFonts w:ascii="Consolas" w:cs="Consolas" w:eastAsia="Consolas" w:hAnsi="Consolas"/>
          <w:color w:val="333333"/>
          <w:sz w:val="13"/>
          <w:szCs w:val="13"/>
        </w:rPr>
        <w:t xml:space="preserve"> </w:t>
      </w:r>
    </w:p>
    <w:p>
      <w:pPr>
        <w:pStyle w:val="Heading2"/>
        <w:spacing w:after="80" w:before="180"/>
      </w:pPr>
      <w:r>
        <w:rPr>
          <w:color w:val="5B3A5C"/>
        </w:rPr>
        <w:t xml:space="preserve">2.1 Frontend / client layer</w:t>
      </w:r>
    </w:p>
    <w:p>
      <w:pPr>
        <w:spacing w:after="120" w:line="276"/>
      </w:pPr>
      <w:r>
        <w:rPr>
          <w:b w:val="false"/>
          <w:bCs w:val="false"/>
        </w:rPr>
        <w:t xml:space="preserve">A single-page application built with </w:t>
      </w:r>
      <w:r>
        <w:rPr>
          <w:b/>
          <w:bCs/>
        </w:rPr>
        <w:t xml:space="preserve">React 18 + TypeScript + Vite</w:t>
      </w:r>
      <w:r>
        <w:rPr>
          <w:b w:val="false"/>
          <w:bCs w:val="false"/>
        </w:rPr>
        <w:t xml:space="preserve">, styled with </w:t>
      </w:r>
      <w:r>
        <w:rPr>
          <w:b/>
          <w:bCs/>
        </w:rPr>
        <w:t xml:space="preserve">Tailwind CSS</w:t>
      </w:r>
      <w:r>
        <w:rPr>
          <w:b w:val="false"/>
          <w:bCs w:val="false"/>
        </w:rPr>
        <w:t xml:space="preserve">, with </w:t>
      </w:r>
      <w:r>
        <w:rPr>
          <w:b/>
          <w:bCs/>
        </w:rPr>
        <w:t xml:space="preserve">Zustand</w:t>
      </w:r>
      <w:r>
        <w:rPr>
          <w:b w:val="false"/>
          <w:bCs w:val="false"/>
        </w:rPr>
        <w:t xml:space="preserve"> for in-memory session state, </w:t>
      </w:r>
      <w:r>
        <w:rPr>
          <w:b/>
          <w:bCs/>
        </w:rPr>
        <w:t xml:space="preserve">React Query</w:t>
      </w:r>
      <w:r>
        <w:rPr>
          <w:b w:val="false"/>
          <w:bCs w:val="false"/>
        </w:rPr>
        <w:t xml:space="preserve"> for asynchronous data, and </w:t>
      </w:r>
      <w:r>
        <w:rPr>
          <w:b/>
          <w:bCs/>
        </w:rPr>
        <w:t xml:space="preserve">React Router v6</w:t>
      </w:r>
      <w:r>
        <w:rPr>
          <w:b w:val="false"/>
          <w:bCs w:val="false"/>
        </w:rPr>
        <w:t xml:space="preserve"> for navigation. This layer is not a thin shell — it contains essentially all of the product’s logic, including all cryptography, the ML pipelines, and the verification engine. Three fully playable decoy games (2048, Sudoku, Wordle) are implemented as real games so the disguise is convincing.</w:t>
      </w:r>
    </w:p>
    <w:p>
      <w:pPr>
        <w:pStyle w:val="Heading2"/>
        <w:spacing w:after="80" w:before="180"/>
      </w:pPr>
      <w:r>
        <w:rPr>
          <w:color w:val="5B3A5C"/>
        </w:rPr>
        <w:t xml:space="preserve">2.2 Backend / API layer (anchoring relay)</w:t>
      </w:r>
    </w:p>
    <w:p>
      <w:pPr>
        <w:spacing w:after="120" w:line="276"/>
      </w:pPr>
      <w:r>
        <w:rPr>
          <w:b w:val="false"/>
          <w:bCs w:val="false"/>
        </w:rPr>
        <w:t xml:space="preserve">A small </w:t>
      </w:r>
      <w:r>
        <w:rPr>
          <w:b/>
          <w:bCs/>
        </w:rPr>
        <w:t xml:space="preserve">Node.js + Express (TypeScript)</w:t>
      </w:r>
      <w:r>
        <w:rPr>
          <w:b w:val="false"/>
          <w:bCs w:val="false"/>
        </w:rPr>
        <w:t xml:space="preserve"> service whose sole job is to submit cryptographic commitments to public blockchains on the client’s behalf, so that a blockchain signing key is never exposed to the browser. It is hardened with helmet, CORS allow-listing, per-route rate limiting, and zod request validation, and exposes POST /v1/anchor/solana, POST /v1/anchor/bitcoin, and POST /v1/anchor/bitcoin/verify. Crucially, the relay only ever receives a 64-character hash — never any evidence.</w:t>
      </w:r>
    </w:p>
    <w:p>
      <w:pPr>
        <w:pStyle w:val="Heading2"/>
        <w:spacing w:after="80" w:before="180"/>
      </w:pPr>
      <w:r>
        <w:rPr>
          <w:color w:val="5B3A5C"/>
        </w:rPr>
        <w:t xml:space="preserve">2.3 Data storage layer</w:t>
      </w:r>
    </w:p>
    <w:p>
      <w:pPr>
        <w:spacing w:after="120" w:line="276"/>
      </w:pPr>
      <w:r>
        <w:rPr>
          <w:b w:val="false"/>
          <w:bCs w:val="false"/>
        </w:rPr>
        <w:t xml:space="preserve">All evidence is stored locally in </w:t>
      </w:r>
      <w:r>
        <w:rPr>
          <w:b/>
          <w:bCs/>
        </w:rPr>
        <w:t xml:space="preserve">IndexedDB</w:t>
      </w:r>
      <w:r>
        <w:rPr>
          <w:b w:val="false"/>
          <w:bCs w:val="false"/>
        </w:rPr>
        <w:t xml:space="preserve"> (via Dexie). Sensitive fields — case titles, descriptions, and evidence content — are stored only as AES-256-GCM ciphertext; derived, non-identifying metadata (timestamps, severity, tags) is stored in clear to allow listing and the timeline without decryption. There is no server-side database of evidence.</w:t>
      </w:r>
    </w:p>
    <w:p>
      <w:pPr>
        <w:pStyle w:val="Heading2"/>
        <w:spacing w:after="80" w:before="180"/>
      </w:pPr>
      <w:r>
        <w:rPr>
          <w:color w:val="5B3A5C"/>
        </w:rPr>
        <w:t xml:space="preserve">2.4 Authentication / access control</w:t>
      </w:r>
    </w:p>
    <w:p>
      <w:pPr>
        <w:spacing w:after="120" w:line="276"/>
      </w:pPr>
      <w:r>
        <w:rPr>
          <w:b w:val="false"/>
          <w:bCs w:val="false"/>
        </w:rPr>
        <w:t xml:space="preserve">There is no account and no password on a server. Access is a local unlock: the passcode is run through </w:t>
      </w:r>
      <w:r>
        <w:rPr>
          <w:b/>
          <w:bCs/>
        </w:rPr>
        <w:t xml:space="preserve">PBKDF2-SHA256 (100,000 iterations)</w:t>
      </w:r>
      <w:r>
        <w:rPr>
          <w:b w:val="false"/>
          <w:bCs w:val="false"/>
        </w:rPr>
        <w:t xml:space="preserve"> with a random salt; only the resulting hash is stored, re-derived and compared on each unlock. The same passcode derives the </w:t>
      </w:r>
      <w:r>
        <w:rPr>
          <w:b/>
          <w:bCs/>
        </w:rPr>
        <w:t xml:space="preserve">AES-256-GCM key</w:t>
      </w:r>
      <w:r>
        <w:rPr>
          <w:b w:val="false"/>
          <w:bCs w:val="false"/>
        </w:rPr>
        <w:t xml:space="preserve">, held in memory only and cleared on lock. The system also implements a duress code (opens a decoy empty vault), recovery (authenticator TOTP, printed base32, or eight BIP-39 words, with a mandatory dry-run), and panic wipe (rapid Safety-Exit taps permanently erase device data).</w:t>
      </w:r>
    </w:p>
    <w:p>
      <w:pPr>
        <w:pStyle w:val="Heading2"/>
        <w:spacing w:after="80" w:before="180"/>
      </w:pPr>
      <w:r>
        <w:rPr>
          <w:color w:val="5B3A5C"/>
        </w:rPr>
        <w:t xml:space="preserve">2.5 Evidence capture / upload / verification flow</w:t>
      </w:r>
    </w:p>
    <w:p>
      <w:pPr>
        <w:spacing w:after="120" w:line="276"/>
      </w:pPr>
      <w:r>
        <w:rPr>
          <w:b w:val="false"/>
          <w:bCs w:val="false"/>
        </w:rPr>
        <w:t xml:space="preserve">Evidence can be pasted text, an image (with on-device OCR), or audio (with on-device speech recognition). On save it is analysed, encrypted, and written to IndexedDB. A case can then be committed (Merkle root computed) and anchored (root written to blockchain), and exported as a bundle any third party can verify (see §3).</w:t>
      </w:r>
    </w:p>
    <w:p>
      <w:pPr>
        <w:pStyle w:val="Heading2"/>
        <w:spacing w:after="80" w:before="180"/>
      </w:pPr>
      <w:r>
        <w:rPr>
          <w:color w:val="5B3A5C"/>
        </w:rPr>
        <w:t xml:space="preserve">2.6 AI, cryptographic, blockchain, and audit components</w:t>
      </w:r>
    </w:p>
    <w:p>
      <w:pPr>
        <w:pStyle w:val="ListParagraph"/>
        <w:numPr>
          <w:ilvl w:val="0"/>
          <w:numId w:val="3"/>
        </w:numPr>
        <w:spacing w:after="80" w:line="276"/>
      </w:pPr>
      <w:r>
        <w:rPr>
          <w:b w:val="false"/>
          <w:bCs w:val="false"/>
        </w:rPr>
        <w:t xml:space="preserve"/>
      </w:r>
      <w:r>
        <w:rPr>
          <w:b/>
          <w:bCs/>
        </w:rPr>
        <w:t xml:space="preserve">On-device OCR</w:t>
      </w:r>
      <w:r>
        <w:rPr>
          <w:b w:val="false"/>
          <w:bCs w:val="false"/>
        </w:rPr>
        <w:t xml:space="preserve"> — image → text via Tesseract.js (WebAssembly).</w:t>
      </w:r>
    </w:p>
    <w:p>
      <w:pPr>
        <w:pStyle w:val="ListParagraph"/>
        <w:numPr>
          <w:ilvl w:val="0"/>
          <w:numId w:val="3"/>
        </w:numPr>
        <w:spacing w:after="80" w:line="276"/>
      </w:pPr>
      <w:r>
        <w:rPr>
          <w:b w:val="false"/>
          <w:bCs w:val="false"/>
        </w:rPr>
        <w:t xml:space="preserve"/>
      </w:r>
      <w:r>
        <w:rPr>
          <w:b/>
          <w:bCs/>
        </w:rPr>
        <w:t xml:space="preserve">On-device speech-to-text</w:t>
      </w:r>
      <w:r>
        <w:rPr>
          <w:b w:val="false"/>
          <w:bCs w:val="false"/>
        </w:rPr>
        <w:t xml:space="preserve"> — audio → transcript via a local Whisper model (transformers.js, WASM/ONNX).</w:t>
      </w:r>
    </w:p>
    <w:p>
      <w:pPr>
        <w:pStyle w:val="ListParagraph"/>
        <w:numPr>
          <w:ilvl w:val="0"/>
          <w:numId w:val="3"/>
        </w:numPr>
        <w:spacing w:after="80" w:line="276"/>
      </w:pPr>
      <w:r>
        <w:rPr>
          <w:b w:val="false"/>
          <w:bCs w:val="false"/>
        </w:rPr>
        <w:t xml:space="preserve"/>
      </w:r>
      <w:r>
        <w:rPr>
          <w:b/>
          <w:bCs/>
        </w:rPr>
        <w:t xml:space="preserve">Content analysis</w:t>
      </w:r>
      <w:r>
        <w:rPr>
          <w:b w:val="false"/>
          <w:bCs w:val="false"/>
        </w:rPr>
        <w:t xml:space="preserve"> — assigns a severity (low→critical) and abuse-pattern tags. Implemented as a transparent keyword heuristic. An on-device zero-shot ML classifier was evaluated and deliberately not shipped because it mis-scored benign text; a purpose-trained model is the intended replacement (documented in code).</w:t>
      </w:r>
    </w:p>
    <w:p>
      <w:pPr>
        <w:pStyle w:val="ListParagraph"/>
        <w:numPr>
          <w:ilvl w:val="0"/>
          <w:numId w:val="3"/>
        </w:numPr>
        <w:spacing w:after="80" w:line="276"/>
      </w:pPr>
      <w:r>
        <w:rPr>
          <w:b w:val="false"/>
          <w:bCs w:val="false"/>
        </w:rPr>
        <w:t xml:space="preserve"/>
      </w:r>
      <w:r>
        <w:rPr>
          <w:b/>
          <w:bCs/>
        </w:rPr>
        <w:t xml:space="preserve">Cryptography</w:t>
      </w:r>
      <w:r>
        <w:rPr>
          <w:b w:val="false"/>
          <w:bCs w:val="false"/>
        </w:rPr>
        <w:t xml:space="preserve"> — PBKDF2-SHA256 key derivation; AES-256-GCM authenticated encryption (per-record random IV); SHA-256 Merkle trees with inclusion proofs. All via the browser’s audited Web Crypto API.</w:t>
      </w:r>
    </w:p>
    <w:p>
      <w:pPr>
        <w:pStyle w:val="ListParagraph"/>
        <w:numPr>
          <w:ilvl w:val="0"/>
          <w:numId w:val="3"/>
        </w:numPr>
        <w:spacing w:after="80" w:line="276"/>
      </w:pPr>
      <w:r>
        <w:rPr>
          <w:b w:val="false"/>
          <w:bCs w:val="false"/>
        </w:rPr>
        <w:t xml:space="preserve"/>
      </w:r>
      <w:r>
        <w:rPr>
          <w:b/>
          <w:bCs/>
        </w:rPr>
        <w:t xml:space="preserve">Blockchain anchoring</w:t>
      </w:r>
      <w:r>
        <w:rPr>
          <w:b w:val="false"/>
          <w:bCs w:val="false"/>
        </w:rPr>
        <w:t xml:space="preserve"> — the Merkle root is written to Solana as an SPL-Memo transaction and to Bitcoin via OpenTimestamps.</w:t>
      </w:r>
    </w:p>
    <w:p>
      <w:pPr>
        <w:pStyle w:val="ListParagraph"/>
        <w:numPr>
          <w:ilvl w:val="0"/>
          <w:numId w:val="3"/>
        </w:numPr>
        <w:spacing w:after="80" w:line="276"/>
      </w:pPr>
      <w:r>
        <w:rPr>
          <w:b w:val="false"/>
          <w:bCs w:val="false"/>
        </w:rPr>
        <w:t xml:space="preserve"/>
      </w:r>
      <w:r>
        <w:rPr>
          <w:b/>
          <w:bCs/>
        </w:rPr>
        <w:t xml:space="preserve">Audit / tamper-evidence</w:t>
      </w:r>
      <w:r>
        <w:rPr>
          <w:b w:val="false"/>
          <w:bCs w:val="false"/>
        </w:rPr>
        <w:t xml:space="preserve"> — the exported bundle carries each item’s leaf hash and proof plus the root; the on-chain transaction timestamps the root. Soft-delete keeps a 14-day recovery window before permanent deletion.</w:t>
      </w:r>
    </w:p>
    <w:p>
      <w:pPr>
        <w:pBdr>
          <w:left w:val="single" w:color="9A6A2F" w:sz="18" w:space="12"/>
        </w:pBdr>
        <w:spacing w:after="140" w:before="100"/>
        <w:ind w:left="240"/>
      </w:pPr>
      <w:r>
        <w:rPr>
          <w:b w:val="false"/>
          <w:bCs w:val="false"/>
          <w:i/>
          <w:iCs/>
          <w:color w:val="555555"/>
        </w:rPr>
        <w:t xml:space="preserve">Anchoring status: the Solana path uses a real devnet transaction through the relay (the relay signer is an auto-funded throwaway devnet key). OpenTimestamps stamping is real; Bitcoin confirmation is asynchronous (hours), so a fresh stamp reads as “pending” until confirmed. A production Solana program (evidence_anchor) exists in the sibling project and can replace the Memo behind the same relay endpoint.</w:t>
      </w:r>
    </w:p>
    <w:p>
      <w:pPr>
        <w:pStyle w:val="Heading2"/>
        <w:spacing w:after="80" w:before="180"/>
      </w:pPr>
      <w:r>
        <w:rPr>
          <w:color w:val="5B3A5C"/>
        </w:rPr>
        <w:t xml:space="preserve">2.7 Integrations / external services</w:t>
      </w:r>
    </w:p>
    <w:p>
      <w:pPr>
        <w:pStyle w:val="ListParagraph"/>
        <w:numPr>
          <w:ilvl w:val="0"/>
          <w:numId w:val="3"/>
        </w:numPr>
        <w:spacing w:after="80" w:line="276"/>
      </w:pPr>
      <w:r>
        <w:rPr>
          <w:b w:val="false"/>
          <w:bCs w:val="false"/>
        </w:rPr>
        <w:t xml:space="preserve"/>
      </w:r>
      <w:r>
        <w:rPr>
          <w:b/>
          <w:bCs/>
        </w:rPr>
        <w:t xml:space="preserve">Solana</w:t>
      </w:r>
      <w:r>
        <w:rPr>
          <w:b w:val="false"/>
          <w:bCs w:val="false"/>
        </w:rPr>
        <w:t xml:space="preserve"> JSON-RPC (devnet) for anchoring / verification.</w:t>
      </w:r>
    </w:p>
    <w:p>
      <w:pPr>
        <w:pStyle w:val="ListParagraph"/>
        <w:numPr>
          <w:ilvl w:val="0"/>
          <w:numId w:val="3"/>
        </w:numPr>
        <w:spacing w:after="80" w:line="276"/>
      </w:pPr>
      <w:r>
        <w:rPr>
          <w:b w:val="false"/>
          <w:bCs w:val="false"/>
        </w:rPr>
        <w:t xml:space="preserve"/>
      </w:r>
      <w:r>
        <w:rPr>
          <w:b/>
          <w:bCs/>
        </w:rPr>
        <w:t xml:space="preserve">OpenTimestamps</w:t>
      </w:r>
      <w:r>
        <w:rPr>
          <w:b w:val="false"/>
          <w:bCs w:val="false"/>
        </w:rPr>
        <w:t xml:space="preserve"> public calendar servers + the Bitcoin blockchain.</w:t>
      </w:r>
    </w:p>
    <w:p>
      <w:pPr>
        <w:pStyle w:val="ListParagraph"/>
        <w:numPr>
          <w:ilvl w:val="0"/>
          <w:numId w:val="3"/>
        </w:numPr>
        <w:spacing w:after="80" w:line="276"/>
      </w:pPr>
      <w:r>
        <w:rPr>
          <w:b w:val="false"/>
          <w:bCs w:val="false"/>
        </w:rPr>
        <w:t xml:space="preserve"/>
      </w:r>
      <w:r>
        <w:rPr>
          <w:b/>
          <w:bCs/>
        </w:rPr>
        <w:t xml:space="preserve">Hugging Face model hub</w:t>
      </w:r>
      <w:r>
        <w:rPr>
          <w:b w:val="false"/>
          <w:bCs w:val="false"/>
        </w:rPr>
        <w:t xml:space="preserve"> — one-time download of the OCR/ASR model files (only models are fetched; evidence is never sent).</w:t>
      </w:r>
    </w:p>
    <w:p>
      <w:pPr>
        <w:pStyle w:val="ListParagraph"/>
        <w:numPr>
          <w:ilvl w:val="0"/>
          <w:numId w:val="3"/>
        </w:numPr>
        <w:spacing w:after="80" w:line="276"/>
      </w:pPr>
      <w:r>
        <w:rPr>
          <w:b w:val="false"/>
          <w:bCs w:val="false"/>
        </w:rPr>
        <w:t xml:space="preserve">The relay additionally scaffolds </w:t>
      </w:r>
      <w:r>
        <w:rPr>
          <w:b/>
          <w:bCs/>
        </w:rPr>
        <w:t xml:space="preserve">IPFS pinning</w:t>
      </w:r>
      <w:r>
        <w:rPr>
          <w:b w:val="false"/>
          <w:bCs w:val="false"/>
        </w:rPr>
        <w:t xml:space="preserve"> and an </w:t>
      </w:r>
      <w:r>
        <w:rPr>
          <w:b/>
          <w:bCs/>
        </w:rPr>
        <w:t xml:space="preserve">emergency-dispatch</w:t>
      </w:r>
      <w:r>
        <w:rPr>
          <w:b w:val="false"/>
          <w:bCs w:val="false"/>
        </w:rPr>
        <w:t xml:space="preserve"> channel (present in the codebase; not part of the core evidence flow described here).</w:t>
      </w:r>
    </w:p>
    <w:p>
      <w:pPr>
        <w:pStyle w:val="Heading1"/>
        <w:spacing w:after="120" w:before="260"/>
      </w:pPr>
      <w:r>
        <w:rPr>
          <w:color w:val="5B3A5C"/>
        </w:rPr>
        <w:t xml:space="preserve">3. Data flow</w:t>
      </w:r>
    </w:p>
    <w:p>
      <w:pPr>
        <w:pStyle w:val="Heading2"/>
        <w:spacing w:after="80" w:before="180"/>
      </w:pPr>
      <w:r>
        <w:rPr>
          <w:color w:val="5B3A5C"/>
        </w:rPr>
        <w:t xml:space="preserve">3.1 How a user creates an evidence record</w:t>
      </w:r>
    </w:p>
    <w:p>
      <w:pPr>
        <w:pStyle w:val="ListParagraph"/>
        <w:numPr>
          <w:ilvl w:val="0"/>
          <w:numId w:val="2"/>
        </w:numPr>
        <w:spacing w:after="80" w:line="276"/>
      </w:pPr>
      <w:r>
        <w:rPr>
          <w:b w:val="false"/>
          <w:bCs w:val="false"/>
        </w:rPr>
        <w:t xml:space="preserve"/>
      </w:r>
      <w:r>
        <w:rPr>
          <w:b/>
          <w:bCs/>
        </w:rPr>
        <w:t xml:space="preserve">Enter through the disguise.</w:t>
      </w:r>
      <w:r>
        <w:rPr>
          <w:b w:val="false"/>
          <w:bCs w:val="false"/>
        </w:rPr>
        <w:t xml:space="preserve"> The app shows a real game. The user performs the hidden unlock gesture and enters the passcode on a discreet keypad.</w:t>
      </w:r>
    </w:p>
    <w:p>
      <w:pPr>
        <w:pStyle w:val="ListParagraph"/>
        <w:numPr>
          <w:ilvl w:val="0"/>
          <w:numId w:val="2"/>
        </w:numPr>
        <w:spacing w:after="80" w:line="276"/>
      </w:pPr>
      <w:r>
        <w:rPr>
          <w:b w:val="false"/>
          <w:bCs w:val="false"/>
        </w:rPr>
        <w:t xml:space="preserve"/>
      </w:r>
      <w:r>
        <w:rPr>
          <w:b/>
          <w:bCs/>
        </w:rPr>
        <w:t xml:space="preserve">Unlock derives keys.</w:t>
      </w:r>
      <w:r>
        <w:rPr>
          <w:b w:val="false"/>
          <w:bCs w:val="false"/>
        </w:rPr>
        <w:t xml:space="preserve"> The passcode is verified against the stored PBKDF2 hash; on success the AES-256-GCM key is derived and kept only in memory.</w:t>
      </w:r>
    </w:p>
    <w:p>
      <w:pPr>
        <w:pStyle w:val="ListParagraph"/>
        <w:numPr>
          <w:ilvl w:val="0"/>
          <w:numId w:val="2"/>
        </w:numPr>
        <w:spacing w:after="80" w:line="276"/>
      </w:pPr>
      <w:r>
        <w:rPr>
          <w:b w:val="false"/>
          <w:bCs w:val="false"/>
        </w:rPr>
        <w:t xml:space="preserve"/>
      </w:r>
      <w:r>
        <w:rPr>
          <w:b/>
          <w:bCs/>
        </w:rPr>
        <w:t xml:space="preserve">Create a case</w:t>
      </w:r>
      <w:r>
        <w:rPr>
          <w:b w:val="false"/>
          <w:bCs w:val="false"/>
        </w:rPr>
        <w:t xml:space="preserve"> (title, start date, optional notes) and open it.</w:t>
      </w:r>
    </w:p>
    <w:p>
      <w:pPr>
        <w:pStyle w:val="ListParagraph"/>
        <w:numPr>
          <w:ilvl w:val="0"/>
          <w:numId w:val="2"/>
        </w:numPr>
        <w:spacing w:after="80" w:line="276"/>
      </w:pPr>
      <w:r>
        <w:rPr>
          <w:b w:val="false"/>
          <w:bCs w:val="false"/>
        </w:rPr>
        <w:t xml:space="preserve"/>
      </w:r>
      <w:r>
        <w:rPr>
          <w:b/>
          <w:bCs/>
        </w:rPr>
        <w:t xml:space="preserve">Add evidence.</w:t>
      </w:r>
      <w:r>
        <w:rPr>
          <w:b w:val="false"/>
          <w:bCs w:val="false"/>
        </w:rPr>
        <w:t xml:space="preserve"> Paste text, or attach an image (OCR extracts editable text) or audio (speech-to-text produces an editable transcript). All processing happens on-device.</w:t>
      </w:r>
    </w:p>
    <w:p>
      <w:pPr>
        <w:pStyle w:val="ListParagraph"/>
        <w:numPr>
          <w:ilvl w:val="0"/>
          <w:numId w:val="2"/>
        </w:numPr>
        <w:spacing w:after="80" w:line="276"/>
      </w:pPr>
      <w:r>
        <w:rPr>
          <w:b w:val="false"/>
          <w:bCs w:val="false"/>
        </w:rPr>
        <w:t xml:space="preserve"/>
      </w:r>
      <w:r>
        <w:rPr>
          <w:b/>
          <w:bCs/>
        </w:rPr>
        <w:t xml:space="preserve">Analyse.</w:t>
      </w:r>
      <w:r>
        <w:rPr>
          <w:b w:val="false"/>
          <w:bCs w:val="false"/>
        </w:rPr>
        <w:t xml:space="preserve"> The content is classified into a severity level and abuse-pattern tags.</w:t>
      </w:r>
    </w:p>
    <w:p>
      <w:pPr>
        <w:pStyle w:val="ListParagraph"/>
        <w:numPr>
          <w:ilvl w:val="0"/>
          <w:numId w:val="2"/>
        </w:numPr>
        <w:spacing w:after="80" w:line="276"/>
      </w:pPr>
      <w:r>
        <w:rPr>
          <w:b w:val="false"/>
          <w:bCs w:val="false"/>
        </w:rPr>
        <w:t xml:space="preserve"/>
      </w:r>
      <w:r>
        <w:rPr>
          <w:b/>
          <w:bCs/>
        </w:rPr>
        <w:t xml:space="preserve">Encrypt and store.</w:t>
      </w:r>
      <w:r>
        <w:rPr>
          <w:b w:val="false"/>
          <w:bCs w:val="false"/>
        </w:rPr>
        <w:t xml:space="preserve"> The content (and any image/audio) is encrypted with AES-256-GCM under a fresh random IV and written to IndexedDB as ciphertext; derived metadata is stored in clear.</w:t>
      </w:r>
    </w:p>
    <w:p>
      <w:pPr>
        <w:pStyle w:val="ListParagraph"/>
        <w:numPr>
          <w:ilvl w:val="0"/>
          <w:numId w:val="2"/>
        </w:numPr>
        <w:spacing w:after="80" w:line="276"/>
      </w:pPr>
      <w:r>
        <w:rPr>
          <w:b w:val="false"/>
          <w:bCs w:val="false"/>
        </w:rPr>
        <w:t xml:space="preserve"/>
      </w:r>
      <w:r>
        <w:rPr>
          <w:b/>
          <w:bCs/>
        </w:rPr>
        <w:t xml:space="preserve">Commit (optional).</w:t>
      </w:r>
      <w:r>
        <w:rPr>
          <w:b w:val="false"/>
          <w:bCs w:val="false"/>
        </w:rPr>
        <w:t xml:space="preserve"> A SHA-256 Merkle root is computed over the case’s evidence and stored.</w:t>
      </w:r>
    </w:p>
    <w:p>
      <w:pPr>
        <w:pStyle w:val="ListParagraph"/>
        <w:numPr>
          <w:ilvl w:val="0"/>
          <w:numId w:val="2"/>
        </w:numPr>
        <w:spacing w:after="80" w:line="276"/>
      </w:pPr>
      <w:r>
        <w:rPr>
          <w:b w:val="false"/>
          <w:bCs w:val="false"/>
        </w:rPr>
        <w:t xml:space="preserve"/>
      </w:r>
      <w:r>
        <w:rPr>
          <w:b/>
          <w:bCs/>
        </w:rPr>
        <w:t xml:space="preserve">Anchor (optional).</w:t>
      </w:r>
      <w:r>
        <w:rPr>
          <w:b w:val="false"/>
          <w:bCs w:val="false"/>
        </w:rPr>
        <w:t xml:space="preserve"> The relay writes the root on-chain (Solana and/or Bitcoin) and returns the transaction reference, stored with the commitment.</w:t>
      </w:r>
    </w:p>
    <w:p>
      <w:pPr>
        <w:pStyle w:val="ListParagraph"/>
        <w:numPr>
          <w:ilvl w:val="0"/>
          <w:numId w:val="2"/>
        </w:numPr>
        <w:spacing w:after="80" w:line="276"/>
      </w:pPr>
      <w:r>
        <w:rPr>
          <w:b w:val="false"/>
          <w:bCs w:val="false"/>
        </w:rPr>
        <w:t xml:space="preserve"/>
      </w:r>
      <w:r>
        <w:rPr>
          <w:b/>
          <w:bCs/>
        </w:rPr>
        <w:t xml:space="preserve">Export (optional).</w:t>
      </w:r>
      <w:r>
        <w:rPr>
          <w:b w:val="false"/>
          <w:bCs w:val="false"/>
        </w:rPr>
        <w:t xml:space="preserve"> The user generates a self-verifying JSON bundle + a human-readable PDF.</w:t>
      </w:r>
    </w:p>
    <w:p>
      <w:pPr>
        <w:pStyle w:val="Heading2"/>
        <w:spacing w:after="80" w:before="180"/>
      </w:pPr>
      <w:r>
        <w:rPr>
          <w:color w:val="5B3A5C"/>
        </w:rPr>
        <w:t xml:space="preserve">3.2 How data is validated, stored, and retrieved</w:t>
      </w:r>
    </w:p>
    <w:p>
      <w:pPr>
        <w:pStyle w:val="ListParagraph"/>
        <w:numPr>
          <w:ilvl w:val="0"/>
          <w:numId w:val="3"/>
        </w:numPr>
        <w:spacing w:after="80" w:line="276"/>
      </w:pPr>
      <w:r>
        <w:rPr>
          <w:b w:val="false"/>
          <w:bCs w:val="false"/>
        </w:rPr>
        <w:t xml:space="preserve"/>
      </w:r>
      <w:r>
        <w:rPr>
          <w:b/>
          <w:bCs/>
        </w:rPr>
        <w:t xml:space="preserve">Validation.</w:t>
      </w:r>
      <w:r>
        <w:rPr>
          <w:b w:val="false"/>
          <w:bCs w:val="false"/>
        </w:rPr>
        <w:t xml:space="preserve"> Passcodes (4–8 digits, confirmed twice, not all identical); recovery secrets verified in a mandatory dry-run; the relay validates that an anchoring request is a 64-char hex hash (zod); the verifier validates bundle shape before checking it.</w:t>
      </w:r>
    </w:p>
    <w:p>
      <w:pPr>
        <w:pStyle w:val="ListParagraph"/>
        <w:numPr>
          <w:ilvl w:val="0"/>
          <w:numId w:val="3"/>
        </w:numPr>
        <w:spacing w:after="80" w:line="276"/>
      </w:pPr>
      <w:r>
        <w:rPr>
          <w:b w:val="false"/>
          <w:bCs w:val="false"/>
        </w:rPr>
        <w:t xml:space="preserve"/>
      </w:r>
      <w:r>
        <w:rPr>
          <w:b/>
          <w:bCs/>
        </w:rPr>
        <w:t xml:space="preserve">Storage.</w:t>
      </w:r>
      <w:r>
        <w:rPr>
          <w:b w:val="false"/>
          <w:bCs w:val="false"/>
        </w:rPr>
        <w:t xml:space="preserve"> Ciphertext + non-identifying metadata in IndexedDB. No server database of evidence. Commitments (root, on-chain references, OpenTimestamps proof) are stored locally.</w:t>
      </w:r>
    </w:p>
    <w:p>
      <w:pPr>
        <w:pStyle w:val="ListParagraph"/>
        <w:numPr>
          <w:ilvl w:val="0"/>
          <w:numId w:val="3"/>
        </w:numPr>
        <w:spacing w:after="80" w:line="276"/>
      </w:pPr>
      <w:r>
        <w:rPr>
          <w:b w:val="false"/>
          <w:bCs w:val="false"/>
        </w:rPr>
        <w:t xml:space="preserve"/>
      </w:r>
      <w:r>
        <w:rPr>
          <w:b/>
          <w:bCs/>
        </w:rPr>
        <w:t xml:space="preserve">Retrieval.</w:t>
      </w:r>
      <w:r>
        <w:rPr>
          <w:b w:val="false"/>
          <w:bCs w:val="false"/>
        </w:rPr>
        <w:t xml:space="preserve"> On unlock, records are decrypted in memory for display via React Query; media attachments are decrypted lazily only when a specific item is opened.</w:t>
      </w:r>
    </w:p>
    <w:p>
      <w:pPr>
        <w:pStyle w:val="Heading2"/>
        <w:spacing w:after="80" w:before="180"/>
      </w:pPr>
      <w:r>
        <w:rPr>
          <w:color w:val="5B3A5C"/>
        </w:rPr>
        <w:t xml:space="preserve">3.3 Where integrity, privacy, and tamper-resistance are enforced</w:t>
      </w:r>
    </w:p>
    <w:p>
      <w:pPr>
        <w:pStyle w:val="ListParagraph"/>
        <w:numPr>
          <w:ilvl w:val="0"/>
          <w:numId w:val="3"/>
        </w:numPr>
        <w:spacing w:after="80" w:line="276"/>
      </w:pPr>
      <w:r>
        <w:rPr>
          <w:b w:val="false"/>
          <w:bCs w:val="false"/>
        </w:rPr>
        <w:t xml:space="preserve"/>
      </w:r>
      <w:r>
        <w:rPr>
          <w:b/>
          <w:bCs/>
        </w:rPr>
        <w:t xml:space="preserve">Privacy</w:t>
      </w:r>
      <w:r>
        <w:rPr>
          <w:b w:val="false"/>
          <w:bCs w:val="false"/>
        </w:rPr>
        <w:t xml:space="preserve"> — enforced at rest by AES-256-GCM with a key that never leaves the device, and by the architecture: the relay and verifier only ever handle hashes/signatures, never evidence.</w:t>
      </w:r>
    </w:p>
    <w:p>
      <w:pPr>
        <w:pStyle w:val="ListParagraph"/>
        <w:numPr>
          <w:ilvl w:val="0"/>
          <w:numId w:val="3"/>
        </w:numPr>
        <w:spacing w:after="80" w:line="276"/>
      </w:pPr>
      <w:r>
        <w:rPr>
          <w:b w:val="false"/>
          <w:bCs w:val="false"/>
        </w:rPr>
        <w:t xml:space="preserve"/>
      </w:r>
      <w:r>
        <w:rPr>
          <w:b/>
          <w:bCs/>
        </w:rPr>
        <w:t xml:space="preserve">Integrity / tamper-resistance</w:t>
      </w:r>
      <w:r>
        <w:rPr>
          <w:b w:val="false"/>
          <w:bCs w:val="false"/>
        </w:rPr>
        <w:t xml:space="preserve"> — enforced by the Merkle commitment: changing any byte of any item changes its leaf and breaks the proof. The verification page recomputes the root from the evidence offline and separately checks that the on-chain transaction’s memo commits to that exact root — so tampering is detectable without trusting Foren.</w:t>
      </w:r>
    </w:p>
    <w:p>
      <w:pPr>
        <w:pStyle w:val="ListParagraph"/>
        <w:numPr>
          <w:ilvl w:val="0"/>
          <w:numId w:val="3"/>
        </w:numPr>
        <w:spacing w:after="80" w:line="276"/>
      </w:pPr>
      <w:r>
        <w:rPr>
          <w:b w:val="false"/>
          <w:bCs w:val="false"/>
        </w:rPr>
        <w:t xml:space="preserve"/>
      </w:r>
      <w:r>
        <w:rPr>
          <w:b/>
          <w:bCs/>
        </w:rPr>
        <w:t xml:space="preserve">Coercion resistance</w:t>
      </w:r>
      <w:r>
        <w:rPr>
          <w:b w:val="false"/>
          <w:bCs w:val="false"/>
        </w:rPr>
        <w:t xml:space="preserve"> — enforced by the duress code (decoy vault) and panic wipe.</w:t>
      </w:r>
    </w:p>
    <w:p>
      <w:pPr>
        <w:pStyle w:val="Heading1"/>
        <w:spacing w:after="120" w:before="260"/>
      </w:pPr>
      <w:r>
        <w:rPr>
          <w:color w:val="5B3A5C"/>
        </w:rPr>
        <w:t xml:space="preserve">4. Technical design decisions</w:t>
      </w:r>
    </w:p>
    <w:p>
      <w:pPr>
        <w:pStyle w:val="ListParagraph"/>
        <w:numPr>
          <w:ilvl w:val="0"/>
          <w:numId w:val="3"/>
        </w:numPr>
        <w:spacing w:after="80" w:line="276"/>
      </w:pPr>
      <w:r>
        <w:rPr>
          <w:b w:val="false"/>
          <w:bCs w:val="false"/>
        </w:rPr>
        <w:t xml:space="preserve"/>
      </w:r>
      <w:r>
        <w:rPr>
          <w:b/>
          <w:bCs/>
        </w:rPr>
        <w:t xml:space="preserve">Local-first / zero-knowledge by construction, not by policy.</w:t>
      </w:r>
      <w:r>
        <w:rPr>
          <w:b w:val="false"/>
          <w:bCs w:val="false"/>
        </w:rPr>
        <w:t xml:space="preserve"> Keys are derived on-device and servers only see hashes — the strongest privacy posture for abuse evidence, matching the product’s own privacy policy (“we cannot read your evidence … because we do not hold the keys”). Trade-off: losing the device without a recovery secret means the data is unrecoverable — a deliberate, safety-driven choice, mitigated by mandatory recovery setup + dry-run.</w:t>
      </w:r>
    </w:p>
    <w:p>
      <w:pPr>
        <w:pStyle w:val="ListParagraph"/>
        <w:numPr>
          <w:ilvl w:val="0"/>
          <w:numId w:val="3"/>
        </w:numPr>
        <w:spacing w:after="80" w:line="276"/>
      </w:pPr>
      <w:r>
        <w:rPr>
          <w:b w:val="false"/>
          <w:bCs w:val="false"/>
        </w:rPr>
        <w:t xml:space="preserve"/>
      </w:r>
      <w:r>
        <w:rPr>
          <w:b/>
          <w:bCs/>
        </w:rPr>
        <w:t xml:space="preserve">Disguise as a first-class security feature.</w:t>
      </w:r>
      <w:r>
        <w:rPr>
          <w:b w:val="false"/>
          <w:bCs w:val="false"/>
        </w:rPr>
        <w:t xml:space="preserve"> Real, playable games and a hidden gesture protect a survivor whose device may be inspected. Trade-off: added UI complexity, justified by the threat model.</w:t>
      </w:r>
    </w:p>
    <w:p>
      <w:pPr>
        <w:pStyle w:val="ListParagraph"/>
        <w:numPr>
          <w:ilvl w:val="0"/>
          <w:numId w:val="3"/>
        </w:numPr>
        <w:spacing w:after="80" w:line="276"/>
      </w:pPr>
      <w:r>
        <w:rPr>
          <w:b w:val="false"/>
          <w:bCs w:val="false"/>
        </w:rPr>
        <w:t xml:space="preserve"/>
      </w:r>
      <w:r>
        <w:rPr>
          <w:b/>
          <w:bCs/>
        </w:rPr>
        <w:t xml:space="preserve">Merkle + public-chain anchoring for admissibility.</w:t>
      </w:r>
      <w:r>
        <w:rPr>
          <w:b w:val="false"/>
          <w:bCs w:val="false"/>
        </w:rPr>
        <w:t xml:space="preserve"> A small root gives per-item inclusion proofs; a public blockchain gives an independent, immutable timestamp — directly targeting the “screenshots can be fabricated/back-dated” objection. Trade-off: confirmation latency, handled honestly with “pending” states.</w:t>
      </w:r>
    </w:p>
    <w:p>
      <w:pPr>
        <w:pStyle w:val="ListParagraph"/>
        <w:numPr>
          <w:ilvl w:val="0"/>
          <w:numId w:val="3"/>
        </w:numPr>
        <w:spacing w:after="80" w:line="276"/>
      </w:pPr>
      <w:r>
        <w:rPr>
          <w:b w:val="false"/>
          <w:bCs w:val="false"/>
        </w:rPr>
        <w:t xml:space="preserve"/>
      </w:r>
      <w:r>
        <w:rPr>
          <w:b/>
          <w:bCs/>
        </w:rPr>
        <w:t xml:space="preserve">Relay holds the signing key, browser does not.</w:t>
      </w:r>
      <w:r>
        <w:rPr>
          <w:b w:val="false"/>
          <w:bCs w:val="false"/>
        </w:rPr>
        <w:t xml:space="preserve"> Keeps a blockchain key off the client and lets the anchoring mechanism evolve without changing the app.</w:t>
      </w:r>
    </w:p>
    <w:p>
      <w:pPr>
        <w:pStyle w:val="ListParagraph"/>
        <w:numPr>
          <w:ilvl w:val="0"/>
          <w:numId w:val="3"/>
        </w:numPr>
        <w:spacing w:after="80" w:line="276"/>
      </w:pPr>
      <w:r>
        <w:rPr>
          <w:b w:val="false"/>
          <w:bCs w:val="false"/>
        </w:rPr>
        <w:t xml:space="preserve"/>
      </w:r>
      <w:r>
        <w:rPr>
          <w:b/>
          <w:bCs/>
        </w:rPr>
        <w:t xml:space="preserve">On-device ML for privacy.</w:t>
      </w:r>
      <w:r>
        <w:rPr>
          <w:b w:val="false"/>
          <w:bCs w:val="false"/>
        </w:rPr>
        <w:t xml:space="preserve"> OCR and speech-to-text run in the browser so image/audio evidence is transcribed without being uploaded. A cloud LLM was explicitly ruled out because it would transmit evidence off-device.</w:t>
      </w:r>
    </w:p>
    <w:p>
      <w:pPr>
        <w:pStyle w:val="ListParagraph"/>
        <w:numPr>
          <w:ilvl w:val="0"/>
          <w:numId w:val="3"/>
        </w:numPr>
        <w:spacing w:after="80" w:line="276"/>
      </w:pPr>
      <w:r>
        <w:rPr>
          <w:b w:val="false"/>
          <w:bCs w:val="false"/>
        </w:rPr>
        <w:t xml:space="preserve"/>
      </w:r>
      <w:r>
        <w:rPr>
          <w:b/>
          <w:bCs/>
        </w:rPr>
        <w:t xml:space="preserve">Compliance reflected in the product.</w:t>
      </w:r>
      <w:r>
        <w:rPr>
          <w:b w:val="false"/>
          <w:bCs w:val="false"/>
        </w:rPr>
        <w:t xml:space="preserve"> A secure-context guard requires HTTPS/localhost before enabling Web Crypto; a full set of legal/policy documents (Privacy, Terms, GDPR data-rights, Acceptable Use, Cookies, Disclaimer, EULA) reflects the local-first design and is surfaced in-app. Every item shows a “claimed time; device clock may not be accurate” caveat — evidentiary honesty about self-reported timestamps.</w:t>
      </w:r>
    </w:p>
    <w:p>
      <w:pPr>
        <w:pStyle w:val="ListParagraph"/>
        <w:numPr>
          <w:ilvl w:val="0"/>
          <w:numId w:val="3"/>
        </w:numPr>
        <w:spacing w:after="80" w:line="276"/>
      </w:pPr>
      <w:r>
        <w:rPr>
          <w:b w:val="false"/>
          <w:bCs w:val="false"/>
        </w:rPr>
        <w:t xml:space="preserve"/>
      </w:r>
      <w:r>
        <w:rPr>
          <w:b/>
          <w:bCs/>
        </w:rPr>
        <w:t xml:space="preserve">Scalability.</w:t>
      </w:r>
      <w:r>
        <w:rPr>
          <w:b w:val="false"/>
          <w:bCs w:val="false"/>
        </w:rPr>
        <w:t xml:space="preserve"> Because evidence storage and compute are on the device, the only server component (the relay) is stateless and horizontally scalable; per-route rate limiting is already in place.</w:t>
      </w:r>
    </w:p>
    <w:p>
      <w:pPr>
        <w:pBdr>
          <w:left w:val="single" w:color="9A6A2F" w:sz="18" w:space="12"/>
        </w:pBdr>
        <w:spacing w:after="140" w:before="100"/>
        <w:ind w:left="240"/>
      </w:pPr>
      <w:r>
        <w:rPr>
          <w:b w:val="false"/>
          <w:bCs w:val="false"/>
          <w:i/>
          <w:iCs/>
          <w:color w:val="555555"/>
        </w:rPr>
        <w:t xml:space="preserve">Unclear / not yet built (stated explicitly): the production Solana anchoring program and IPFS pinning are scaffolded in the sibling project but not the default path; the analysis model is a heuristic pending a purpose-trained classifier; Bitcoin confirmation is asynchronous by nature.</w:t>
      </w:r>
    </w:p>
    <w:p>
      <w:pPr>
        <w:pStyle w:val="Heading1"/>
        <w:spacing w:after="120" w:before="260"/>
      </w:pPr>
      <w:r>
        <w:rPr>
          <w:color w:val="5B3A5C"/>
        </w:rPr>
        <w:t xml:space="preserve">5. What this demonstrates (originality, complexity, maturity)</w:t>
      </w:r>
    </w:p>
    <w:p>
      <w:pPr>
        <w:pStyle w:val="ListParagraph"/>
        <w:numPr>
          <w:ilvl w:val="0"/>
          <w:numId w:val="3"/>
        </w:numPr>
        <w:spacing w:after="80" w:line="276"/>
      </w:pPr>
      <w:r>
        <w:rPr>
          <w:b w:val="false"/>
          <w:bCs w:val="false"/>
        </w:rPr>
        <w:t xml:space="preserve"/>
      </w:r>
      <w:r>
        <w:rPr>
          <w:b/>
          <w:bCs/>
        </w:rPr>
        <w:t xml:space="preserve">Originality:</w:t>
      </w:r>
      <w:r>
        <w:rPr>
          <w:b w:val="false"/>
          <w:bCs w:val="false"/>
        </w:rPr>
        <w:t xml:space="preserve"> the combination of disguised entry, on-device zero-knowledge encryption, and public-chain tamper-evidence aimed specifically at abuse survivors is an unusual, coherent design — not a standard CRUD app.</w:t>
      </w:r>
    </w:p>
    <w:p>
      <w:pPr>
        <w:pStyle w:val="ListParagraph"/>
        <w:numPr>
          <w:ilvl w:val="0"/>
          <w:numId w:val="3"/>
        </w:numPr>
        <w:spacing w:after="80" w:line="276"/>
      </w:pPr>
      <w:r>
        <w:rPr>
          <w:b w:val="false"/>
          <w:bCs w:val="false"/>
        </w:rPr>
        <w:t xml:space="preserve"/>
      </w:r>
      <w:r>
        <w:rPr>
          <w:b/>
          <w:bCs/>
        </w:rPr>
        <w:t xml:space="preserve">Complexity:</w:t>
      </w:r>
      <w:r>
        <w:rPr>
          <w:b w:val="false"/>
          <w:bCs w:val="false"/>
        </w:rPr>
        <w:t xml:space="preserve"> genuine cryptographic engineering (PBKDF2/AES-GCM/Merkle proofs), a real cross-project client↔relay↔blockchain integration, on-device ML (OCR + Whisper), RFC-6238 TOTP and BIP-39 recovery, and an independent offline + on-chain verifier.</w:t>
      </w:r>
    </w:p>
    <w:p>
      <w:pPr>
        <w:pStyle w:val="ListParagraph"/>
        <w:numPr>
          <w:ilvl w:val="0"/>
          <w:numId w:val="3"/>
        </w:numPr>
        <w:spacing w:after="80" w:line="276"/>
      </w:pPr>
      <w:r>
        <w:rPr>
          <w:b w:val="false"/>
          <w:bCs w:val="false"/>
        </w:rPr>
        <w:t xml:space="preserve"/>
      </w:r>
      <w:r>
        <w:rPr>
          <w:b/>
          <w:bCs/>
        </w:rPr>
        <w:t xml:space="preserve">Maturity:</w:t>
      </w:r>
      <w:r>
        <w:rPr>
          <w:b w:val="false"/>
          <w:bCs w:val="false"/>
        </w:rPr>
        <w:t xml:space="preserve"> ~7,000 lines across a well-separated codebase (crypto, data, UI, games, backend), end-to-end flows verified in-browser, honest handling of edge cases (duress, panic wipe, soft-delete, secure-context, “pending” anchor states), and a complete legal/policy pack.</w:t>
      </w:r>
    </w:p>
    <w:p>
      <w:pPr>
        <w:pStyle w:val="Heading1"/>
        <w:spacing w:after="120" w:before="260"/>
      </w:pPr>
      <w:r>
        <w:rPr>
          <w:color w:val="5B3A5C"/>
        </w:rPr>
        <w:t xml:space="preserve">Appendix — Supporting code references</w:t>
      </w:r>
    </w:p>
    <w:p>
      <w:pPr>
        <w:spacing w:after="100"/>
      </w:pPr>
      <w:r>
        <w:rPr>
          <w:b w:val="false"/>
          <w:bCs w:val="false"/>
          <w:i/>
          <w:iCs/>
          <w:color w:val="555555"/>
          <w:sz w:val="18"/>
          <w:szCs w:val="18"/>
        </w:rPr>
        <w:t xml:space="preserve">Foren client (~/Desktop/Foren/src) unless noted; relay in ~/Documents/forenlabs-prutet/relay.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5B3A5C"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Architectural claim</w:t>
            </w:r>
          </w:p>
        </w:tc>
        <w:tc>
          <w:tcPr>
            <w:tcW w:type="dxa" w:w="3300"/>
            <w:shd w:fill="5B3A5C" w:val="clear"/>
            <w:tcMar>
              <w:top w:type="dxa" w:w="40"/>
              <w:left w:type="dxa" w:w="80"/>
              <w:bottom w:type="dxa" w:w="40"/>
              <w:right w:type="dxa" w:w="80"/>
            </w:tcMar>
          </w:tcPr>
          <w:p>
            <w:pPr>
              <w:spacing w:after="0"/>
            </w:pPr>
            <w:r>
              <w:rPr>
                <w:rFonts w:ascii="Calibri" w:cs="Calibri" w:eastAsia="Calibri" w:hAnsi="Calibri"/>
                <w:b/>
                <w:bCs/>
                <w:color w:val="FFFFFF"/>
                <w:sz w:val="18"/>
                <w:szCs w:val="18"/>
              </w:rPr>
              <w:t xml:space="preserve">Primary file(s)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PBKDF2-SHA256 hashing + AES-256-GCM encrypt/decrypt (Web Crypto)</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lib/crypto.ts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Passcode / key / duress / panic-wipe session logic</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store/vaultStore.ts, lib/vaultConfig.ts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Encrypted IndexedDB schema (ciphertext at rest)</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data/db.ts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Encrypt/decrypt CRUD + re-encryption on passcode change</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data/repository.ts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Query hooks gated on the in-memory key</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data/queries.ts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SHA-256 Merkle tree, inclusion proofs, offline verify</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lib/merkle.ts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Self-verifying export bundle (JSON schema) + PDF</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lib/exportBundle.ts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Independent verification (offline Merkle + on-chain check)</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lib/verifyBundle.ts, pages/Verify.tsx</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Relay client (browser → relay)</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lib/relay.ts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Disguise wrapper + hidden gesture + keypad</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components/GameDisguise.tsx, hooks/useUnlockGesture.ts, components/DiscreteKeypad.tsx</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Playable decoy games</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games/Game2048.tsx, games/Sudoku.tsx, games/Wordle.tsx</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Onboarding wizard (game, passcode, recovery, dry-run, duress, first unlock)</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pages/onboarding/*</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Recovery: TOTP (RFC-6238), BIP-39 words, printed base32</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lib/recovery.ts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On-device OCR (Tesseract) + speech-to-text (Whisper)</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lib/media.ts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Content analysis (severity + pattern tags)</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lib/analysis.ts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Evidence capture / detail / commitment UI</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components/EvidenceUploadModal.tsx, EvidenceDetailModal.tsx, CommitmentPanel.tsx</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Secure-context (Web Crypto) guard</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components/SecureContextGuard.tsx</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In-app legal / policy documents</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legal/*.md, src/legal/index.ts, pages/Legal.tsx</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Relay: Solana anchoring service + route</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relay/src/services/anchor.ts, relay/src/routes/anchor.ts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Relay: Bitcoin / OpenTimestamps service</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relay/src/services/bitcoin.ts</w:t>
            </w:r>
          </w:p>
        </w:tc>
      </w:tr>
      <w:tr>
        <w:trPr>
          <w:tblHeader w:val="false"/>
        </w:trPr>
        <w:tc>
          <w:tcPr>
            <w:tcW w:type="dxa" w:w="3300"/>
            <w:tcMar>
              <w:top w:type="dxa" w:w="40"/>
              <w:left w:type="dxa" w:w="80"/>
              <w:bottom w:type="dxa" w:w="40"/>
              <w:right w:type="dxa" w:w="80"/>
            </w:tcMar>
          </w:tcPr>
          <w:p>
            <w:pPr>
              <w:spacing w:after="0"/>
            </w:pPr>
            <w:r>
              <w:rPr>
                <w:rFonts w:ascii="Calibri" w:cs="Calibri" w:eastAsia="Calibri" w:hAnsi="Calibri"/>
                <w:b w:val="false"/>
                <w:bCs w:val="false"/>
                <w:color w:val="222222"/>
                <w:sz w:val="16"/>
                <w:szCs w:val="16"/>
              </w:rPr>
              <w:t xml:space="preserve">Relay: security middleware, config, server</w:t>
            </w:r>
          </w:p>
        </w:tc>
        <w:tc>
          <w:tcPr>
            <w:tcW w:type="dxa" w:w="6060"/>
            <w:tcMar>
              <w:top w:type="dxa" w:w="40"/>
              <w:left w:type="dxa" w:w="80"/>
              <w:bottom w:type="dxa" w:w="40"/>
              <w:right w:type="dxa" w:w="80"/>
            </w:tcMar>
          </w:tcPr>
          <w:p>
            <w:pPr>
              <w:spacing w:after="0"/>
            </w:pPr>
            <w:r>
              <w:rPr>
                <w:rFonts w:ascii="Consolas" w:cs="Consolas" w:eastAsia="Consolas" w:hAnsi="Consolas"/>
                <w:b w:val="false"/>
                <w:bCs w:val="false"/>
                <w:color w:val="222222"/>
                <w:sz w:val="16"/>
                <w:szCs w:val="16"/>
              </w:rPr>
              <w:t xml:space="preserve">relay/src/middleware/security.ts, relay/src/config.ts, relay/src/server.ts</w:t>
            </w:r>
          </w:p>
        </w:tc>
      </w:tr>
    </w:tbl>
    <w:p>
      <w:pPr>
        <w:spacing w:before="140"/>
      </w:pPr>
      <w:r>
        <w:rPr>
          <w:b w:val="false"/>
          <w:bCs w:val="false"/>
        </w:rPr>
        <w:t xml:space="preserve"/>
      </w:r>
      <w:r>
        <w:rPr>
          <w:b/>
          <w:bCs/>
        </w:rPr>
        <w:t xml:space="preserve">Approximate size:</w:t>
      </w:r>
      <w:r>
        <w:rPr>
          <w:b w:val="false"/>
          <w:bCs w:val="false"/>
        </w:rPr>
        <w:t xml:space="preserve"> Foren client ≈ 5,900 lines of TypeScript/React across ~70 modules; anchoring relay ≈ 1,050 lines of TypeScript. Key dependencies: React, Dexie, @xenova/transformers, tesseract.js, jspdf, @scure/bip39, qrcode.react, react-markdown; relay on Express with @solana/web3.js and opentimestamps.</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Foren — Technical Architecture Overview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5B3A5C"/>
      <w:sz w:val="28"/>
      <w:szCs w:val="28"/>
    </w:rPr>
  </w:style>
  <w:style w:type="paragraph" w:styleId="Heading2">
    <w:name w:val="Heading 2"/>
    <w:basedOn w:val="Normal"/>
    <w:next w:val="Normal"/>
    <w:qFormat/>
    <w:pPr>
      <w:spacing w:after="80" w:before="180"/>
    </w:pPr>
    <w:rPr>
      <w:b/>
      <w:bCs/>
      <w:color w:val="5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 — Technical Architecture Overview</dc:title>
  <dc:creator>Foren</dc:creator>
  <cp:lastModifiedBy>Un-named</cp:lastModifiedBy>
  <cp:revision>1</cp:revision>
  <dcterms:created xsi:type="dcterms:W3CDTF">2026-07-17T22:37:57.209Z</dcterms:created>
  <dcterms:modified xsi:type="dcterms:W3CDTF">2026-07-17T22:37:57.210Z</dcterms:modified>
</cp:coreProperties>
</file>

<file path=docProps/custom.xml><?xml version="1.0" encoding="utf-8"?>
<Properties xmlns="http://schemas.openxmlformats.org/officeDocument/2006/custom-properties" xmlns:vt="http://schemas.openxmlformats.org/officeDocument/2006/docPropsVTypes"/>
</file>