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ETML — Portes Ouvertes</w:t>
      </w:r>
    </w:p>
    <w:p>
      <w:pPr>
        <w:spacing w:before="400"/>
      </w:pPr>
    </w:p>
    <w:p>
      <w:pPr>
        <w:pStyle w:val="Title"/>
        <w:jc w:val="center"/>
      </w:pPr>
      <w:r>
        <w:rPr>
          <w:b/>
          <w:bCs/>
          <w:color w:val="1F3864"/>
          <w:sz w:val="56"/>
          <w:szCs w:val="56"/>
        </w:rPr>
        <w:t xml:space="preserve">Chasse aux tricheurs</w:t>
      </w:r>
    </w:p>
    <w:p>
      <w:pPr>
        <w:spacing w:before="200"/>
        <w:jc w:val="center"/>
      </w:pPr>
      <w:r>
        <w:rPr>
          <w:i/>
          <w:iCs/>
          <w:color w:val="444444"/>
          <w:sz w:val="28"/>
          <w:szCs w:val="28"/>
        </w:rPr>
        <w:t xml:space="preserve">Mission — Enquête dans une base de données de jeu vidéo</w:t>
      </w:r>
    </w:p>
    <w:p>
      <w:pPr>
        <w:spacing w:before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Fiche visiteur — Portes Ouvertes ETML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color w:val="1F3864"/>
        </w:rPr>
        <w:t xml:space="preserve">Votre mission</w:t>
      </w:r>
    </w:p>
    <w:p>
      <w:pPr>
        <w:spacing w:after="160"/>
      </w:pPr>
      <w:r>
        <w:t xml:space="preserve">Vous travaillez pour l’éditeur d’un jeu vidéo compétitif en ligne. Plusieurs joueurs ont été signalés pour triche par la communauté. À vous de mener l’enquête dans la base de données pour démasquer les coupables, puis les sanctionner.</w:t>
      </w:r>
    </w:p>
    <w:p>
      <w:pPr>
        <w:pStyle w:val="Heading1"/>
        <w:spacing w:after="160" w:before="360"/>
      </w:pPr>
      <w:r>
        <w:rPr>
          <w:color w:val="1F3864"/>
        </w:rPr>
        <w:t xml:space="preserve">Aide-mémoire SQL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colonne FROM table WHERE condition;</w:t>
      </w:r>
      <w:r>
        <w:rPr>
          <w:rFonts w:ascii="Consolas" w:cs="Consolas" w:eastAsia="Consolas" w:hAnsi="Consolas"/>
          <w:sz w:val="19"/>
          <w:szCs w:val="19"/>
        </w:rPr>
        <w:br/>
        <w:t xml:space="preserve">SELECT colonne, COUNT(*) FROM table GROUP BY colonne HAVING COUNT(*) &gt;= n;</w:t>
      </w:r>
      <w:r>
        <w:rPr>
          <w:rFonts w:ascii="Consolas" w:cs="Consolas" w:eastAsia="Consolas" w:hAnsi="Consolas"/>
          <w:sz w:val="19"/>
          <w:szCs w:val="19"/>
        </w:rPr>
        <w:br/>
        <w:t xml:space="preserve">SELECT ... FROM tableA JOIN tableB ON tableA.cle = tableB.cle;</w:t>
      </w:r>
      <w:r>
        <w:rPr>
          <w:rFonts w:ascii="Consolas" w:cs="Consolas" w:eastAsia="Consolas" w:hAnsi="Consolas"/>
          <w:sz w:val="19"/>
          <w:szCs w:val="19"/>
        </w:rPr>
        <w:br/>
        <w:t xml:space="preserve">INSERT INTO table (colonnes) VALUES (...);</w:t>
      </w:r>
    </w:p>
    <w:p>
      <w:pPr>
        <w:pStyle w:val="Heading1"/>
        <w:spacing w:after="160" w:before="360"/>
      </w:pPr>
      <w:r>
        <w:rPr>
          <w:color w:val="1F3864"/>
        </w:rPr>
        <w:t xml:space="preserve">Étape 1 — Repérer les joueurs signalés</w:t>
      </w:r>
    </w:p>
    <w:p>
      <w:pPr>
        <w:spacing w:after="160"/>
      </w:pPr>
      <w:r>
        <w:t xml:space="preserve">Indice : la table Signalements contient une colonne motif. Comptez le nombre de signalements par joueur pour le motif ’Triche’, et ne gardez que ceux signalés au moins 3 fois.</w:t>
      </w:r>
    </w:p>
    <w:p>
      <w:pPr>
        <w:spacing w:after="300" w:before="300"/>
      </w:pPr>
    </w:p>
    <w:p>
      <w:pPr>
        <w:pStyle w:val="Heading1"/>
        <w:spacing w:after="160" w:before="360"/>
      </w:pPr>
      <w:r>
        <w:rPr>
          <w:color w:val="1F3864"/>
        </w:rPr>
        <w:t xml:space="preserve">Étape 2 — Vérifier leurs statistiques</w:t>
      </w:r>
    </w:p>
    <w:p>
      <w:pPr>
        <w:spacing w:after="160"/>
      </w:pPr>
      <w:r>
        <w:t xml:space="preserve">Indice : dans la table Joueurs, regardez precision_tir, tirs_tete et heures_jeu pour les joueurs trouvés à l’étape 1. Un tricheur a souvent une précision anormalement haute (plus de 95 %) pour très peu d’heures de jeu (moins de 100 h).</w:t>
      </w:r>
    </w:p>
    <w:p>
      <w:pPr>
        <w:spacing w:after="300" w:before="300"/>
      </w:pPr>
    </w:p>
    <w:p>
      <w:pPr>
        <w:pStyle w:val="Heading1"/>
        <w:spacing w:after="160" w:before="360"/>
      </w:pPr>
      <w:r>
        <w:rPr>
          <w:color w:val="1F3864"/>
        </w:rPr>
        <w:t xml:space="preserve">Étape 3 — Croiser les indices</w:t>
      </w:r>
    </w:p>
    <w:p>
      <w:pPr>
        <w:spacing w:after="160"/>
      </w:pPr>
      <w:r>
        <w:t xml:space="preserve">Combinez les deux conditions précédentes dans une seule requête (JOIN + WHERE/HAVING) pour confirmer les coupables.</w:t>
      </w:r>
    </w:p>
    <w:p>
      <w:pPr>
        <w:spacing w:after="300" w:before="300"/>
      </w:pPr>
    </w:p>
    <w:p>
      <w:pPr>
        <w:pStyle w:val="Heading1"/>
        <w:spacing w:after="160" w:before="360"/>
      </w:pPr>
      <w:r>
        <w:rPr>
          <w:color w:val="1F3864"/>
        </w:rPr>
        <w:t xml:space="preserve">Étape 4 — Sanctionner</w:t>
      </w:r>
    </w:p>
    <w:p>
      <w:pPr>
        <w:spacing w:after="160"/>
      </w:pPr>
      <w:r>
        <w:t xml:space="preserve">Une fois les coupables identifiés, enregistrez leur bannissement dans la table Sanctions avec un INSERT.</w:t>
      </w:r>
    </w:p>
    <w:p>
      <w:pPr>
        <w:spacing w:after="300" w:before="300"/>
      </w:pPr>
    </w:p>
    <w:p>
      <w:pPr>
        <w:spacing w:after="160"/>
      </w:pPr>
      <w:r>
        <w:rPr>
          <w:b/>
          <w:bCs/>
        </w:rPr>
        <w:t xml:space="preserve">Bonne enquête !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2026-09-18T09:14:31.245Z</dcterms:created>
  <dcterms:modified xsi:type="dcterms:W3CDTF">2026-09-18T09:14:31.245Z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