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2E74B5"/>
          <w:sz w:val="24"/>
          <w:szCs w:val="24"/>
        </w:rPr>
        <w:t xml:space="preserve">ETML — Portes Ouvertes</w:t>
      </w:r>
    </w:p>
    <w:p>
      <w:pPr>
        <w:spacing w:before="400"/>
      </w:pPr>
    </w:p>
    <w:p>
      <w:pPr>
        <w:pStyle w:val="Title"/>
        <w:jc w:val="center"/>
      </w:pPr>
      <w:r>
        <w:rPr>
          <w:b/>
          <w:bCs/>
          <w:color w:val="1F3864"/>
          <w:sz w:val="56"/>
          <w:szCs w:val="56"/>
        </w:rPr>
        <w:t xml:space="preserve">Rapport de projet</w:t>
      </w:r>
    </w:p>
    <w:p>
      <w:pPr>
        <w:spacing w:before="200"/>
        <w:jc w:val="center"/>
      </w:pPr>
      <w:r>
        <w:rPr>
          <w:i/>
          <w:iCs/>
          <w:color w:val="444444"/>
          <w:sz w:val="28"/>
          <w:szCs w:val="28"/>
        </w:rPr>
        <w:t xml:space="preserve">Activité Portes Ouvertes ETML — Base de données jeu vidéo</w:t>
      </w:r>
    </w:p>
    <w:p>
      <w:pPr>
        <w:spacing w:before="800"/>
      </w:pPr>
    </w:p>
    <w:p>
      <w:pPr>
        <w:jc w:val="center"/>
      </w:pPr>
      <w:r>
        <w:rPr>
          <w:color w:val="666666"/>
          <w:sz w:val="22"/>
          <w:szCs w:val="22"/>
        </w:rPr>
        <w:t xml:space="preserve">Projet P_BD_141 — Rafael Melo — ETML</w:t>
      </w:r>
    </w:p>
    <w:p>
      <w:pPr>
        <w:jc w:val="center"/>
      </w:pPr>
      <w:r>
        <w:rPr>
          <w:color w:val="666666"/>
          <w:sz w:val="22"/>
          <w:szCs w:val="22"/>
        </w:rPr>
        <w:t xml:space="preserve">Référence CDC : P_BD_141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rPr>
          <w:color w:val="1F3864"/>
        </w:rPr>
        <w:t xml:space="preserve">1. Contexte et objectif</w:t>
      </w:r>
    </w:p>
    <w:p>
      <w:pPr>
        <w:spacing w:after="160"/>
      </w:pPr>
      <w:r>
        <w:t xml:space="preserve">Projet réalisé dans le cadre du cahier des charges P_BD_141 (ETML), visant à concevoir une activité ludique de découverte des bases de données pour les Portes Ouvertes. Objectif SMART : une activité de 5 à 8 minutes, compréhensible par un visiteur non-initié, appuyée sur une base de données d’au moins 10 millions d’enregistrements.</w:t>
      </w:r>
    </w:p>
    <w:p>
      <w:pPr>
        <w:pStyle w:val="Heading1"/>
        <w:spacing w:after="160" w:before="360"/>
      </w:pPr>
      <w:r>
        <w:rPr>
          <w:color w:val="1F3864"/>
        </w:rPr>
        <w:t xml:space="preserve">2. Thème choisi</w:t>
      </w:r>
    </w:p>
    <w:p>
      <w:pPr>
        <w:spacing w:after="160"/>
      </w:pPr>
      <w:r>
        <w:t xml:space="preserve">Plateforme de jeu vidéo compétitif (joueurs, jeux, plateformes, parties, achats, signalements, sanctions) — un thème simple et connu de tous, conforme à l’exigence du cahier des charges (point 5.5).</w:t>
      </w:r>
    </w:p>
    <w:p>
      <w:pPr>
        <w:pStyle w:val="Heading1"/>
        <w:spacing w:after="160" w:before="360"/>
      </w:pPr>
      <w:r>
        <w:rPr>
          <w:color w:val="1F3864"/>
        </w:rPr>
        <w:t xml:space="preserve">3. Scénario retenu</w:t>
      </w:r>
    </w:p>
    <w:p>
      <w:pPr>
        <w:spacing w:after="160"/>
      </w:pPr>
      <w:r>
        <w:t xml:space="preserve">Activité « Chasse aux tricheurs » : le visiteur croise des signalements de triche avec des statistiques de jeu anormales pour démasquer 3 joueurs tricheurs, puis les sanctionne via une requête SQL. Le scénario mobilise SELECT, JOIN, GROUP BY, HAVING et INSERT — des notions vues en cours ICT (SQL Server 2022, J. Poirier).</w:t>
      </w:r>
    </w:p>
    <w:p>
      <w:pPr>
        <w:pStyle w:val="Heading1"/>
        <w:spacing w:after="160" w:before="360"/>
      </w:pPr>
      <w:r>
        <w:rPr>
          <w:color w:val="1F3864"/>
        </w:rPr>
        <w:t xml:space="preserve">4. Conception de la base de données</w:t>
      </w:r>
    </w:p>
    <w:p>
      <w:pPr>
        <w:spacing w:after="160"/>
      </w:pPr>
      <w:r>
        <w:t xml:space="preserve">7 tables : Joueurs, Jeux, Plateformes, Parties, Achats, Signalements, Sanctions, reliées par clés étrangères (id_joueur, id_jeu, id_plateforme).</w:t>
      </w:r>
    </w:p>
    <w:p>
      <w:pPr>
        <w:pStyle w:val="Heading1"/>
        <w:spacing w:after="160" w:before="360"/>
      </w:pPr>
      <w:r>
        <w:rPr>
          <w:color w:val="1F3864"/>
        </w:rPr>
        <w:t xml:space="preserve">5. Génération des données</w:t>
      </w:r>
    </w:p>
    <w:p>
      <w:pPr>
        <w:spacing w:after="160"/>
      </w:pPr>
      <w:r>
        <w:t xml:space="preserve">Données générées avec Python et la librairie Faker (locale fr_FR)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EEAF6" w:val="clear"/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pct" w:w="50%"/>
            <w:shd w:fill="DEEAF6" w:val="clear"/>
          </w:tcPr>
          <w:p>
            <w:r>
              <w:rPr>
                <w:b/>
                <w:bCs/>
              </w:rPr>
              <w:t xml:space="preserve">Nombre de lignes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Joueurs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500 000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Jeux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5 000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Plateformes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Parties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7 000 000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Achats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2 000 000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Signalements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1 000 000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Sanctions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500 000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10 505 020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Trois joueurs (id_joueur 1 à 3) sont volontairement paramétrés avec des statistiques et signalements suspects, afin de servir de solution à l’enquête.</w:t>
      </w:r>
    </w:p>
    <w:p>
      <w:pPr>
        <w:pStyle w:val="Heading1"/>
        <w:spacing w:after="160" w:before="360"/>
      </w:pPr>
      <w:r>
        <w:rPr>
          <w:color w:val="1F3864"/>
        </w:rPr>
        <w:t xml:space="preserve">6. Choix techniques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BULK INSERT plutôt que des INSERT unitaires : indispensable pour charger 7 millions de lignes en un temps raisonnable.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Clés étrangères ajoutées après l’import (et non à la création des tables) : évite une vérification de contrainte à chaque ligne pendant le chargement, un seul contrôle global après coup.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Encodage UTF-8 / CODEPAGE 65001 : gère correctement les accents (pays, motifs en français) et les virgules dans les champs générés par Faker, grâce à FORMAT=’CSV’ + FIELDQUOTE.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 créés sur toutes les colonnes de clé étrangère : accélère les jointures utilisées dans le scénario d’enquête.</w:t>
      </w:r>
    </w:p>
    <w:p>
      <w:pPr>
        <w:pStyle w:val="Heading1"/>
        <w:spacing w:after="160" w:before="360"/>
      </w:pPr>
      <w:r>
        <w:rPr>
          <w:color w:val="1F3864"/>
        </w:rPr>
        <w:t xml:space="preserve">7. Résultat</w:t>
      </w:r>
    </w:p>
    <w:p>
      <w:pPr>
        <w:spacing w:after="160"/>
      </w:pPr>
      <w:r>
        <w:t xml:space="preserve">Une activité fonctionnelle et rejouable (réinitialisable entre deux visiteurs), accompagnée de son manuel d’installation, de son manuel d’animation et de sa fiche visiteur.</w:t>
      </w:r>
    </w:p>
    <w:p>
      <w:pPr>
        <w:pStyle w:val="Heading1"/>
        <w:spacing w:after="160" w:before="360"/>
      </w:pPr>
      <w:r>
        <w:rPr>
          <w:color w:val="1F3864"/>
        </w:rPr>
        <w:t xml:space="preserve">8. Limites et pistes d’amélioration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script SQL généré contient des chemins absolus propres au poste d’origine : une régénération complète est nécessaire après migration vers le site de Sébeillon (voir manuel d’installation, §5).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jeu de données étant aléatoire à chaque exécution, conserver la version validée du script pour la présentation finale plutôt que de le relancer.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2026-09-18T09:14:31.247Z</dcterms:created>
  <dcterms:modified xsi:type="dcterms:W3CDTF">2026-09-18T09:14:31.247Z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