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74B5"/>
          <w:sz w:val="24"/>
          <w:szCs w:val="24"/>
        </w:rPr>
        <w:t xml:space="preserve">ETML — Portes Ouvertes</w:t>
      </w:r>
    </w:p>
    <w:p>
      <w:pPr>
        <w:spacing w:before="400"/>
      </w:pPr>
    </w:p>
    <w:p>
      <w:pPr>
        <w:pStyle w:val="Title"/>
        <w:jc w:val="center"/>
      </w:pPr>
      <w:r>
        <w:rPr>
          <w:b/>
          <w:bCs/>
          <w:color w:val="1F3864"/>
          <w:sz w:val="56"/>
          <w:szCs w:val="56"/>
        </w:rPr>
        <w:t xml:space="preserve">Manuel d'installation du poste</w:t>
      </w:r>
    </w:p>
    <w:p>
      <w:pPr>
        <w:spacing w:before="200"/>
        <w:jc w:val="center"/>
      </w:pPr>
      <w:r>
        <w:rPr>
          <w:i/>
          <w:iCs/>
          <w:color w:val="444444"/>
          <w:sz w:val="28"/>
          <w:szCs w:val="28"/>
        </w:rPr>
        <w:t xml:space="preserve">Activité « Chasse aux tricheurs » — Base de données jeu vidéo</w:t>
      </w:r>
    </w:p>
    <w:p>
      <w:pPr>
        <w:spacing w:before="800"/>
      </w:pPr>
    </w:p>
    <w:p>
      <w:pPr>
        <w:jc w:val="center"/>
      </w:pPr>
      <w:r>
        <w:rPr>
          <w:color w:val="666666"/>
          <w:sz w:val="22"/>
          <w:szCs w:val="22"/>
        </w:rPr>
        <w:t xml:space="preserve">Projet P_BD_141 — Rafael Melo — ETML</w:t>
      </w:r>
    </w:p>
    <w:p>
      <w:pPr>
        <w:jc w:val="center"/>
      </w:pPr>
      <w:r>
        <w:rPr>
          <w:color w:val="666666"/>
          <w:sz w:val="22"/>
          <w:szCs w:val="22"/>
        </w:rPr>
        <w:t xml:space="preserve">Public : administrateur / élève installateur</w:t>
      </w:r>
    </w:p>
    <w:p>
      <w:pPr>
        <w:pageBreakBefore/>
      </w:pPr>
      <w:r>
        <w:br/>
        <w:t xml:space="preserve"/>
      </w:r>
    </w:p>
    <w:p>
      <w:pPr>
        <w:pStyle w:val="Heading1"/>
        <w:spacing w:after="160" w:before="360"/>
      </w:pPr>
      <w:r>
        <w:rPr>
          <w:color w:val="1F3864"/>
        </w:rPr>
        <w:t xml:space="preserve">1. Objectif</w:t>
      </w:r>
    </w:p>
    <w:p>
      <w:pPr>
        <w:spacing w:after="160"/>
      </w:pPr>
      <w:r>
        <w:t xml:space="preserve">Ce manuel permet à n'importe quel élève de la section informatique d'installer et de configurer un poste pour l'activité des Portes Ouvertes, sans connaissance préalable du projet.</w:t>
      </w:r>
    </w:p>
    <w:p>
      <w:pPr>
        <w:pStyle w:val="Heading1"/>
        <w:spacing w:after="160" w:before="360"/>
      </w:pPr>
      <w:r>
        <w:rPr>
          <w:color w:val="1F3864"/>
        </w:rPr>
        <w:t xml:space="preserve">2. Prérequis matériel et logiciel</w:t>
      </w:r>
    </w:p>
    <w:p>
      <w:pPr>
        <w:pStyle w:val="ListParagraph"/>
        <w:numPr>
          <w:ilvl w:val="0"/>
          <w:numId w:val="2"/>
        </w:numPr>
        <w:spacing w:after="80"/>
      </w:pPr>
      <w:r>
        <w:t xml:space="preserve">PC de laboratoire standard (Windows)</w:t>
      </w:r>
    </w:p>
    <w:p>
      <w:pPr>
        <w:pStyle w:val="ListParagraph"/>
        <w:numPr>
          <w:ilvl w:val="0"/>
          <w:numId w:val="2"/>
        </w:numPr>
        <w:spacing w:after="80"/>
      </w:pPr>
      <w:r>
        <w:t xml:space="preserve">Microsoft SQL Server (instance locale) + SQL Server Management Studio (SSMS)</w:t>
      </w:r>
    </w:p>
    <w:p>
      <w:pPr>
        <w:pStyle w:val="ListParagraph"/>
        <w:numPr>
          <w:ilvl w:val="0"/>
          <w:numId w:val="2"/>
        </w:numPr>
        <w:spacing w:after="80"/>
      </w:pPr>
      <w:r>
        <w:t xml:space="preserve">Python 3.x</w:t>
      </w:r>
    </w:p>
    <w:p>
      <w:pPr>
        <w:pStyle w:val="ListParagraph"/>
        <w:numPr>
          <w:ilvl w:val="0"/>
          <w:numId w:val="2"/>
        </w:numPr>
        <w:spacing w:after="80"/>
      </w:pPr>
      <w:r>
        <w:t xml:space="preserve">Module Python Faker</w:t>
      </w:r>
    </w:p>
    <w:p>
      <w:pPr>
        <w:pStyle w:val="ListParagraph"/>
        <w:numPr>
          <w:ilvl w:val="0"/>
          <w:numId w:val="2"/>
        </w:numPr>
        <w:spacing w:after="80"/>
      </w:pPr>
      <w:r>
        <w:t xml:space="preserve">Environ 3 Go d’espace disque libre (fichiers CSV générés)</w:t>
      </w:r>
    </w:p>
    <w:p>
      <w:pPr>
        <w:pStyle w:val="Heading1"/>
        <w:spacing w:after="160" w:before="360"/>
      </w:pPr>
      <w:r>
        <w:rPr>
          <w:color w:val="1F3864"/>
        </w:rPr>
        <w:t xml:space="preserve">3. Étapes d’installation</w:t>
      </w:r>
    </w:p>
    <w:p>
      <w:pPr>
        <w:pStyle w:val="Heading2"/>
        <w:spacing w:after="120" w:before="260"/>
      </w:pPr>
      <w:r>
        <w:rPr>
          <w:color w:val="2E74B5"/>
        </w:rPr>
        <w:t xml:space="preserve">3.1 Récupérer les fichiers du projet</w:t>
      </w:r>
    </w:p>
    <w:p>
      <w:pPr>
        <w:spacing w:after="160"/>
      </w:pPr>
      <w:r>
        <w:t xml:space="preserve">Copier l'intégralité du dossier du projet sur le Bureau (Desktop) du poste.</w:t>
      </w:r>
    </w:p>
    <w:p>
      <w:pPr>
        <w:pStyle w:val="Heading2"/>
        <w:spacing w:after="120" w:before="260"/>
      </w:pPr>
      <w:r>
        <w:rPr>
          <w:color w:val="2E74B5"/>
        </w:rPr>
        <w:t xml:space="preserve">3.2 Installer la dépendance Python</w:t>
      </w:r>
    </w:p>
    <w:p>
      <w:pPr>
        <w:spacing w:after="160"/>
      </w:pPr>
      <w:r>
        <w:t xml:space="preserve">Ouvrir une invite de commandes et exécuter :</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pip install faker</w:t>
      </w:r>
    </w:p>
    <w:p>
      <w:pPr>
        <w:pStyle w:val="Heading2"/>
        <w:spacing w:after="120" w:before="260"/>
      </w:pPr>
      <w:r>
        <w:rPr>
          <w:color w:val="2E74B5"/>
        </w:rPr>
        <w:t xml:space="preserve">3.3 Générer les données et le script SQL</w:t>
      </w:r>
    </w:p>
    <w:p>
      <w:pPr>
        <w:spacing w:after="160"/>
      </w:pPr>
      <w:r>
        <w:t xml:space="preserve">Depuis le dossier du projet, exécuter :</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python generation_bd_portes_ouvertes.py</w:t>
      </w:r>
    </w:p>
    <w:p>
      <w:pPr>
        <w:spacing w:after="160"/>
      </w:pPr>
      <w:r>
        <w:t xml:space="preserve">Le script crée automatiquement :</w:t>
      </w:r>
    </w:p>
    <w:p>
      <w:pPr>
        <w:pStyle w:val="ListParagraph"/>
        <w:numPr>
          <w:ilvl w:val="0"/>
          <w:numId w:val="2"/>
        </w:numPr>
        <w:spacing w:after="80"/>
      </w:pPr>
      <w:r>
        <w:t xml:space="preserve">Bureau\ProjetBD_PortesOuvertes\data\*.csv — 7 fichiers : joueurs, jeux, plateformes, parties, achats, signalements, sanctions</w:t>
      </w:r>
    </w:p>
    <w:p>
      <w:pPr>
        <w:pStyle w:val="ListParagraph"/>
        <w:numPr>
          <w:ilvl w:val="0"/>
          <w:numId w:val="2"/>
        </w:numPr>
        <w:spacing w:after="80"/>
      </w:pPr>
      <w:r>
        <w:t xml:space="preserve">Bureau\ProjetBD_PortesOuvertes\creation_et_import.sql — script de création des tables et d’import</w:t>
      </w:r>
    </w:p>
    <w:p>
      <w:pPr>
        <w:spacing w:after="160"/>
      </w:pPr>
      <w:r>
        <w:t xml:space="preserve">Durée indicative : plusieurs minutes (la table Parties contient à elle seule 7 millions de lignes).</w:t>
      </w:r>
    </w:p>
    <w:p>
      <w:pPr>
        <w:pStyle w:val="Heading2"/>
        <w:spacing w:after="120" w:before="260"/>
      </w:pPr>
      <w:r>
        <w:rPr>
          <w:color w:val="2E74B5"/>
        </w:rPr>
        <w:t xml:space="preserve">3.4 Créer et peupler la base dans SSMS</w:t>
      </w:r>
    </w:p>
    <w:p>
      <w:pPr>
        <w:pStyle w:val="ListParagraph"/>
        <w:numPr>
          <w:ilvl w:val="0"/>
          <w:numId w:val="3"/>
        </w:numPr>
        <w:spacing w:after="80"/>
      </w:pPr>
      <w:r>
        <w:t xml:space="preserve">Ouvrir SSMS et se connecter à l’instance locale.</w:t>
      </w:r>
    </w:p>
    <w:p>
      <w:pPr>
        <w:pStyle w:val="ListParagraph"/>
        <w:numPr>
          <w:ilvl w:val="0"/>
          <w:numId w:val="3"/>
        </w:numPr>
        <w:spacing w:after="80"/>
      </w:pPr>
      <w:r>
        <w:t xml:space="preserve">Ouvrir le fichier creation_et_import.sql généré à l’étape 3.3.</w:t>
      </w:r>
    </w:p>
    <w:p>
      <w:pPr>
        <w:pStyle w:val="ListParagraph"/>
        <w:numPr>
          <w:ilvl w:val="0"/>
          <w:numId w:val="3"/>
        </w:numPr>
        <w:spacing w:after="80"/>
      </w:pPr>
      <w:r>
        <w:t xml:space="preserve">Exécuter le script entier (F5). Il supprime les tables existantes si présentes, les recrée, importe les CSV via BULK INSERT, ajoute les clés étrangères, crée les index, puis affiche le nombre de lignes par table.</w:t>
      </w:r>
    </w:p>
    <w:p>
      <w:pPr>
        <w:pStyle w:val="ListParagraph"/>
        <w:numPr>
          <w:ilvl w:val="0"/>
          <w:numId w:val="3"/>
        </w:numPr>
        <w:spacing w:after="80"/>
      </w:pPr>
      <w:r>
        <w:t xml:space="preserve">Vérifier le résultat final : environ 10,5 millions de lignes au total.</w:t>
      </w:r>
    </w:p>
    <w:p>
      <w:pPr>
        <w:pStyle w:val="Heading2"/>
        <w:spacing w:after="120" w:before="260"/>
      </w:pPr>
      <w:r>
        <w:rPr>
          <w:color w:val="2E74B5"/>
        </w:rPr>
        <w:t xml:space="preserve">3.5 Vérifications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EEAF6" w:val="clear"/>
          </w:tcPr>
          <w:p>
            <w:r>
              <w:rPr>
                <w:b/>
                <w:bCs/>
              </w:rPr>
              <w:t xml:space="preserve">Table</w:t>
            </w:r>
          </w:p>
        </w:tc>
        <w:tc>
          <w:tcPr>
            <w:tcW w:type="pct" w:w="50%"/>
            <w:shd w:fill="DEEAF6" w:val="clear"/>
          </w:tcPr>
          <w:p>
            <w:r>
              <w:rPr>
                <w:b/>
                <w:bCs/>
              </w:rPr>
              <w:t xml:space="preserve">Lignes attendues</w:t>
            </w:r>
          </w:p>
        </w:tc>
      </w:tr>
      <w:tr>
        <w:tc>
          <w:tcPr>
            <w:tcW w:type="pct" w:w="50%"/>
          </w:tcPr>
          <w:p>
            <w:r>
              <w:rPr>
                <w:b w:val="false"/>
                <w:bCs w:val="false"/>
              </w:rPr>
              <w:t xml:space="preserve">Joueurs</w:t>
            </w:r>
          </w:p>
        </w:tc>
        <w:tc>
          <w:tcPr>
            <w:tcW w:type="pct" w:w="50%"/>
          </w:tcPr>
          <w:p>
            <w:r>
              <w:rPr>
                <w:b w:val="false"/>
                <w:bCs w:val="false"/>
              </w:rPr>
              <w:t xml:space="preserve">500 000</w:t>
            </w:r>
          </w:p>
        </w:tc>
      </w:tr>
      <w:tr>
        <w:tc>
          <w:tcPr>
            <w:tcW w:type="pct" w:w="50%"/>
          </w:tcPr>
          <w:p>
            <w:r>
              <w:rPr>
                <w:b w:val="false"/>
                <w:bCs w:val="false"/>
              </w:rPr>
              <w:t xml:space="preserve">Jeux</w:t>
            </w:r>
          </w:p>
        </w:tc>
        <w:tc>
          <w:tcPr>
            <w:tcW w:type="pct" w:w="50%"/>
          </w:tcPr>
          <w:p>
            <w:r>
              <w:rPr>
                <w:b w:val="false"/>
                <w:bCs w:val="false"/>
              </w:rPr>
              <w:t xml:space="preserve">5 000</w:t>
            </w:r>
          </w:p>
        </w:tc>
      </w:tr>
      <w:tr>
        <w:tc>
          <w:tcPr>
            <w:tcW w:type="pct" w:w="50%"/>
          </w:tcPr>
          <w:p>
            <w:r>
              <w:rPr>
                <w:b w:val="false"/>
                <w:bCs w:val="false"/>
              </w:rPr>
              <w:t xml:space="preserve">Plateformes</w:t>
            </w:r>
          </w:p>
        </w:tc>
        <w:tc>
          <w:tcPr>
            <w:tcW w:type="pct" w:w="50%"/>
          </w:tcPr>
          <w:p>
            <w:r>
              <w:rPr>
                <w:b w:val="false"/>
                <w:bCs w:val="false"/>
              </w:rPr>
              <w:t xml:space="preserve">20</w:t>
            </w:r>
          </w:p>
        </w:tc>
      </w:tr>
      <w:tr>
        <w:tc>
          <w:tcPr>
            <w:tcW w:type="pct" w:w="50%"/>
          </w:tcPr>
          <w:p>
            <w:r>
              <w:rPr>
                <w:b w:val="false"/>
                <w:bCs w:val="false"/>
              </w:rPr>
              <w:t xml:space="preserve">Parties</w:t>
            </w:r>
          </w:p>
        </w:tc>
        <w:tc>
          <w:tcPr>
            <w:tcW w:type="pct" w:w="50%"/>
          </w:tcPr>
          <w:p>
            <w:r>
              <w:rPr>
                <w:b w:val="false"/>
                <w:bCs w:val="false"/>
              </w:rPr>
              <w:t xml:space="preserve">7 000 000</w:t>
            </w:r>
          </w:p>
        </w:tc>
      </w:tr>
      <w:tr>
        <w:tc>
          <w:tcPr>
            <w:tcW w:type="pct" w:w="50%"/>
          </w:tcPr>
          <w:p>
            <w:r>
              <w:rPr>
                <w:b w:val="false"/>
                <w:bCs w:val="false"/>
              </w:rPr>
              <w:t xml:space="preserve">Achats</w:t>
            </w:r>
          </w:p>
        </w:tc>
        <w:tc>
          <w:tcPr>
            <w:tcW w:type="pct" w:w="50%"/>
          </w:tcPr>
          <w:p>
            <w:r>
              <w:rPr>
                <w:b w:val="false"/>
                <w:bCs w:val="false"/>
              </w:rPr>
              <w:t xml:space="preserve">2 000 000</w:t>
            </w:r>
          </w:p>
        </w:tc>
      </w:tr>
      <w:tr>
        <w:tc>
          <w:tcPr>
            <w:tcW w:type="pct" w:w="50%"/>
          </w:tcPr>
          <w:p>
            <w:r>
              <w:rPr>
                <w:b w:val="false"/>
                <w:bCs w:val="false"/>
              </w:rPr>
              <w:t xml:space="preserve">Signalements</w:t>
            </w:r>
          </w:p>
        </w:tc>
        <w:tc>
          <w:tcPr>
            <w:tcW w:type="pct" w:w="50%"/>
          </w:tcPr>
          <w:p>
            <w:r>
              <w:rPr>
                <w:b w:val="false"/>
                <w:bCs w:val="false"/>
              </w:rPr>
              <w:t xml:space="preserve">1 000 000</w:t>
            </w:r>
          </w:p>
        </w:tc>
      </w:tr>
      <w:tr>
        <w:tc>
          <w:tcPr>
            <w:tcW w:type="pct" w:w="50%"/>
          </w:tcPr>
          <w:p>
            <w:r>
              <w:rPr>
                <w:b w:val="false"/>
                <w:bCs w:val="false"/>
              </w:rPr>
              <w:t xml:space="preserve">Sanctions</w:t>
            </w:r>
          </w:p>
        </w:tc>
        <w:tc>
          <w:tcPr>
            <w:tcW w:type="pct" w:w="50%"/>
          </w:tcPr>
          <w:p>
            <w:r>
              <w:rPr>
                <w:b w:val="false"/>
                <w:bCs w:val="false"/>
              </w:rPr>
              <w:t xml:space="preserve">500 000</w:t>
            </w:r>
          </w:p>
        </w:tc>
      </w:tr>
    </w:tbl>
    <w:p>
      <w:pPr>
        <w:spacing w:before="200"/>
      </w:pPr>
    </w:p>
    <w:p>
      <w:pPr>
        <w:spacing w:after="160"/>
      </w:pPr>
      <w:r>
        <w:t xml:space="preserve">Exécuter ensuite une requête simple pour valider l’accès :</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SELECT TOP 10 * FROM dbo.Joueurs;</w:t>
      </w:r>
    </w:p>
    <w:p>
      <w:pPr>
        <w:pStyle w:val="Heading1"/>
        <w:spacing w:after="160" w:before="360"/>
      </w:pPr>
      <w:r>
        <w:rPr>
          <w:color w:val="1F3864"/>
        </w:rPr>
        <w:t xml:space="preserve">4. Erreurs fréquentes</w:t>
      </w:r>
    </w:p>
    <w:p>
      <w:pPr>
        <w:pBdr>
          <w:left w:val="single" w:color="BF8F00" w:sz="12"/>
        </w:pBdr>
        <w:shd w:fill="FFF2CC" w:val="clear"/>
        <w:spacing w:after="200" w:before="120"/>
        <w:ind w:left="200"/>
      </w:pPr>
      <w:r>
        <w:rPr>
          <w:i/>
          <w:iCs/>
        </w:rPr>
        <w:t xml:space="preserve">⚠ « Cannot bulk load... Operating system error code 5 (Accès refusé) » : le compte de service SQL Server n’a pas les droits de lecture sur le dossier data. Donner les droits de lecture (clic droit sur le dossier &gt; Propriétés &gt; Sécurité) au compte utilisé par le service SQL Server (souvent NT SERVICE\MSSQLSERVER).</w:t>
      </w:r>
    </w:p>
    <w:p>
      <w:pPr>
        <w:pBdr>
          <w:left w:val="single" w:color="BF8F00" w:sz="12"/>
        </w:pBdr>
        <w:shd w:fill="FFF2CC" w:val="clear"/>
        <w:spacing w:after="200" w:before="120"/>
        <w:ind w:left="200"/>
      </w:pPr>
      <w:r>
        <w:rPr>
          <w:i/>
          <w:iCs/>
        </w:rPr>
        <w:t xml:space="preserve">⚠ « Cannot bulk load... file does not exist » : le script SQL contient des chemins absolus propres au poste où il a été généré. Ne pas copier uniquement le fichier .sql d’un poste à l’autre : relancer entièrement l’étape 3.3 sur le poste cible.</w:t>
      </w:r>
    </w:p>
    <w:p>
      <w:pPr>
        <w:pBdr>
          <w:left w:val="single" w:color="BF8F00" w:sz="12"/>
        </w:pBdr>
        <w:shd w:fill="FFF2CC" w:val="clear"/>
        <w:spacing w:after="200" w:before="120"/>
        <w:ind w:left="200"/>
      </w:pPr>
      <w:r>
        <w:rPr>
          <w:i/>
          <w:iCs/>
        </w:rPr>
        <w:t xml:space="preserve">⚠ Import très lent : vérifier qu’aucune contrainte de clé étrangère n’existe avant le BULK INSERT. C’est normal — le script les ajoute volontairement après coup, pour accélérer le chargement.</w:t>
      </w:r>
    </w:p>
    <w:p>
      <w:pPr>
        <w:pStyle w:val="Heading1"/>
        <w:spacing w:after="160" w:before="360"/>
      </w:pPr>
      <w:r>
        <w:rPr>
          <w:color w:val="1F3864"/>
        </w:rPr>
        <w:t xml:space="preserve">5. Migration vers le site de Sébeillon (Portes Ouvertes du 5 décembre)</w:t>
      </w:r>
    </w:p>
    <w:p>
      <w:pPr>
        <w:spacing w:after="160"/>
      </w:pPr>
      <w:r>
        <w:t xml:space="preserve">Le cahier des charges impose un déplacement de la solution sur l'ordinateur portable mis à disposition par la section. Le script SQL généré contenant des chemins absolus propres au poste d'origine, ne pas copier uniquement le fichier .sql : recopier l'ensemble du dossier projet sur le nouveau poste, puis refaire intégralement les étapes 3.2 à 3.5.</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2026-09-18T09:14:31.224Z</dcterms:created>
  <dcterms:modified xsi:type="dcterms:W3CDTF">2026-09-18T09:14:31.233Z</dcterms:modified>
</cp:coreProperties>
</file>

<file path=docProps/custom.xml><?xml version="1.0" encoding="utf-8"?>
<Properties xmlns="http://schemas.openxmlformats.org/officeDocument/2006/custom-properties" xmlns:vt="http://schemas.openxmlformats.org/officeDocument/2006/docPropsVTypes"/>
</file>