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pPr>
      <w:r>
        <w:rPr>
          <w:rFonts w:ascii="Aptos Display" w:hAnsi="Aptos Display"/>
          <w:b/>
          <w:color w:val="167D8D"/>
          <w:sz w:val="26"/>
        </w:rPr>
        <w:t>INDUSTRIAL SAS</w:t>
      </w:r>
    </w:p>
    <w:p>
      <w:pPr>
        <w:pStyle w:val="Title"/>
      </w:pPr>
      <w:r>
        <w:t>Project Handoff &amp;</w:t>
        <w:br/>
        <w:t>Repository Guide</w:t>
      </w:r>
    </w:p>
    <w:p>
      <w:pPr>
        <w:spacing w:before="160"/>
      </w:pPr>
      <w:r>
        <w:rPr>
          <w:color w:val="68737D"/>
          <w:sz w:val="28"/>
        </w:rPr>
        <w:t>A practical introduction for developers, reviewers, operators, and project stakeholders</w:t>
      </w:r>
    </w:p>
    <w:p>
      <w:r>
        <w:br/>
      </w:r>
    </w:p>
    <w:tbl>
      <w:tblPr>
        <w:tblStyle w:val="TableGrid"/>
        <w:tblW w:type="auto" w:w="0"/>
        <w:jc w:val="left"/>
        <w:tblLook w:firstColumn="1" w:firstRow="1" w:lastColumn="0" w:lastRow="0" w:noHBand="0" w:noVBand="1" w:val="04A0"/>
      </w:tblPr>
      <w:tblGrid>
        <w:gridCol w:w="4819"/>
        <w:gridCol w:w="4819"/>
      </w:tblGrid>
      <w:tr>
        <w:trPr>
          <w:cantSplit/>
        </w:trPr>
        <w:tc>
          <w:tcPr>
            <w:tcW w:type="dxa" w:w="4819"/>
            <w:shd w:fill="173B57"/>
            <w:tcMar>
              <w:top w:w="120" w:type="dxa"/>
              <w:start w:w="150" w:type="dxa"/>
              <w:bottom w:w="120" w:type="dxa"/>
              <w:end w:w="150" w:type="dxa"/>
            </w:tcMar>
          </w:tcPr>
          <w:p>
            <w:r>
              <w:rPr>
                <w:b/>
                <w:color w:val="FFFFFF"/>
              </w:rPr>
              <w:t>Repository</w:t>
            </w:r>
          </w:p>
        </w:tc>
        <w:tc>
          <w:tcPr>
            <w:tcW w:type="dxa" w:w="4819"/>
            <w:shd w:fill="EAF2F7"/>
            <w:tcMar>
              <w:top w:w="120" w:type="dxa"/>
              <w:start w:w="150" w:type="dxa"/>
              <w:bottom w:w="120" w:type="dxa"/>
              <w:end w:w="150" w:type="dxa"/>
            </w:tcMar>
          </w:tcPr>
          <w:p>
            <w:r>
              <w:rPr>
                <w:sz w:val="18"/>
              </w:rPr>
              <w:t>https://github.com/Rugby-Thailand/industrial-sas</w:t>
            </w:r>
          </w:p>
        </w:tc>
      </w:tr>
      <w:tr>
        <w:trPr>
          <w:cantSplit/>
        </w:trPr>
        <w:tc>
          <w:tcPr>
            <w:tcW w:type="dxa" w:w="4819"/>
            <w:shd w:fill="173B57"/>
            <w:tcMar>
              <w:top w:w="120" w:type="dxa"/>
              <w:start w:w="150" w:type="dxa"/>
              <w:bottom w:w="120" w:type="dxa"/>
              <w:end w:w="150" w:type="dxa"/>
            </w:tcMar>
          </w:tcPr>
          <w:p>
            <w:r>
              <w:rPr>
                <w:b/>
                <w:color w:val="FFFFFF"/>
              </w:rPr>
              <w:t>Primary branch</w:t>
            </w:r>
          </w:p>
        </w:tc>
        <w:tc>
          <w:tcPr>
            <w:tcW w:type="dxa" w:w="4819"/>
            <w:shd w:fill="FFFFFF"/>
            <w:tcMar>
              <w:top w:w="120" w:type="dxa"/>
              <w:start w:w="150" w:type="dxa"/>
              <w:bottom w:w="120" w:type="dxa"/>
              <w:end w:w="150" w:type="dxa"/>
            </w:tcMar>
          </w:tcPr>
          <w:p>
            <w:r>
              <w:rPr>
                <w:sz w:val="18"/>
              </w:rPr>
              <w:t>main</w:t>
            </w:r>
          </w:p>
        </w:tc>
      </w:tr>
      <w:tr>
        <w:trPr>
          <w:cantSplit/>
        </w:trPr>
        <w:tc>
          <w:tcPr>
            <w:tcW w:type="dxa" w:w="4819"/>
            <w:shd w:fill="173B57"/>
            <w:tcMar>
              <w:top w:w="120" w:type="dxa"/>
              <w:start w:w="150" w:type="dxa"/>
              <w:bottom w:w="120" w:type="dxa"/>
              <w:end w:w="150" w:type="dxa"/>
            </w:tcMar>
          </w:tcPr>
          <w:p>
            <w:r>
              <w:rPr>
                <w:b/>
                <w:color w:val="FFFFFF"/>
              </w:rPr>
              <w:t>Baseline commit</w:t>
            </w:r>
          </w:p>
        </w:tc>
        <w:tc>
          <w:tcPr>
            <w:tcW w:type="dxa" w:w="4819"/>
            <w:shd w:fill="EAF2F7"/>
            <w:tcMar>
              <w:top w:w="120" w:type="dxa"/>
              <w:start w:w="150" w:type="dxa"/>
              <w:bottom w:w="120" w:type="dxa"/>
              <w:end w:w="150" w:type="dxa"/>
            </w:tcMar>
          </w:tcPr>
          <w:p>
            <w:r>
              <w:rPr>
                <w:sz w:val="18"/>
              </w:rPr>
              <w:t>524a84e016b03e5bd6f065366ce909aced31f75f</w:t>
            </w:r>
          </w:p>
        </w:tc>
      </w:tr>
      <w:tr>
        <w:trPr>
          <w:cantSplit/>
        </w:trPr>
        <w:tc>
          <w:tcPr>
            <w:tcW w:type="dxa" w:w="4819"/>
            <w:shd w:fill="173B57"/>
            <w:tcMar>
              <w:top w:w="120" w:type="dxa"/>
              <w:start w:w="150" w:type="dxa"/>
              <w:bottom w:w="120" w:type="dxa"/>
              <w:end w:w="150" w:type="dxa"/>
            </w:tcMar>
          </w:tcPr>
          <w:p>
            <w:r>
              <w:rPr>
                <w:b/>
                <w:color w:val="FFFFFF"/>
              </w:rPr>
              <w:t>Prepared</w:t>
            </w:r>
          </w:p>
        </w:tc>
        <w:tc>
          <w:tcPr>
            <w:tcW w:type="dxa" w:w="4819"/>
            <w:shd w:fill="FFFFFF"/>
            <w:tcMar>
              <w:top w:w="120" w:type="dxa"/>
              <w:start w:w="150" w:type="dxa"/>
              <w:bottom w:w="120" w:type="dxa"/>
              <w:end w:w="150" w:type="dxa"/>
            </w:tcMar>
          </w:tcPr>
          <w:p>
            <w:r>
              <w:rPr>
                <w:sz w:val="18"/>
              </w:rPr>
              <w:t>18 August 2026 (Asia/Bangkok)</w:t>
            </w:r>
          </w:p>
        </w:tc>
      </w:tr>
      <w:tr>
        <w:trPr>
          <w:cantSplit/>
        </w:trPr>
        <w:tc>
          <w:tcPr>
            <w:tcW w:type="dxa" w:w="4819"/>
            <w:shd w:fill="173B57"/>
            <w:tcMar>
              <w:top w:w="120" w:type="dxa"/>
              <w:start w:w="150" w:type="dxa"/>
              <w:bottom w:w="120" w:type="dxa"/>
              <w:end w:w="150" w:type="dxa"/>
            </w:tcMar>
          </w:tcPr>
          <w:p>
            <w:r>
              <w:rPr>
                <w:b/>
                <w:color w:val="FFFFFF"/>
              </w:rPr>
              <w:t>Distribution</w:t>
            </w:r>
          </w:p>
        </w:tc>
        <w:tc>
          <w:tcPr>
            <w:tcW w:type="dxa" w:w="4819"/>
            <w:shd w:fill="EAF2F7"/>
            <w:tcMar>
              <w:top w:w="120" w:type="dxa"/>
              <w:start w:w="150" w:type="dxa"/>
              <w:bottom w:w="120" w:type="dxa"/>
              <w:end w:w="150" w:type="dxa"/>
            </w:tcMar>
          </w:tcPr>
          <w:p>
            <w:r>
              <w:rPr>
                <w:sz w:val="18"/>
              </w:rPr>
              <w:t>Private / UNLICENSED — owner approval required for external sharing</w:t>
            </w:r>
          </w:p>
        </w:tc>
      </w:tr>
    </w:tbl>
    <w:p>
      <w:r>
        <w:br/>
      </w:r>
    </w:p>
    <w:tbl>
      <w:tblPr>
        <w:tblW w:type="auto" w:w="0"/>
        <w:jc w:val="center"/>
        <w:tblLook w:firstColumn="1" w:firstRow="1" w:lastColumn="0" w:lastRow="0" w:noHBand="0" w:noVBand="1" w:val="04A0"/>
      </w:tblPr>
      <w:tblGrid>
        <w:gridCol w:w="9638"/>
      </w:tblGrid>
      <w:tr>
        <w:trPr>
          <w:cantSplit/>
        </w:trPr>
        <w:tc>
          <w:tcPr>
            <w:tcW w:type="dxa" w:w="9638"/>
            <w:shd w:fill="FFF4D6"/>
            <w:tcMar>
              <w:top w:w="140" w:type="dxa"/>
              <w:start w:w="170" w:type="dxa"/>
              <w:bottom w:w="140" w:type="dxa"/>
              <w:end w:w="170" w:type="dxa"/>
            </w:tcMar>
          </w:tcPr>
          <w:p>
            <w:r>
              <w:rPr>
                <w:b/>
                <w:color w:val="173B57"/>
              </w:rPr>
              <w:t>Snapshot warning</w:t>
              <w:br/>
            </w:r>
            <w:r>
              <w:t>This local checkout had 219 Git status entries (including 16 untracked paths) when this guide was prepared. The remote main branch may not contain all locally described work. Commit and push the intended changes—or label the document as a local preview—before sharing it as the authoritative build.</w:t>
            </w:r>
          </w:p>
        </w:tc>
      </w:tr>
    </w:tbl>
    <w:p>
      <w:r>
        <w:br w:type="page"/>
      </w:r>
    </w:p>
    <w:p>
      <w:pPr>
        <w:pStyle w:val="Heading1"/>
        <w:keepNext/>
      </w:pPr>
      <w:r>
        <w:t>How to use this guide</w:t>
      </w:r>
    </w:p>
    <w:p>
      <w:r>
        <w:t>This document is the shortest useful route into the project. It explains what the product is, how the code is divided, how data is protected, how to run it, and what remains unproved. It summarizes the repository; the linked source documents remain authoritative.</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2880"/>
            <w:shd w:fill="173B57"/>
            <w:tcMar>
              <w:top w:w="100" w:type="dxa"/>
              <w:start w:w="120" w:type="dxa"/>
              <w:bottom w:w="100" w:type="dxa"/>
              <w:end w:w="120" w:type="dxa"/>
            </w:tcMar>
            <w:vAlign w:val="center"/>
          </w:tcPr>
          <w:p>
            <w:pPr>
              <w:jc w:val="left"/>
            </w:pPr>
            <w:r>
              <w:rPr>
                <w:b/>
                <w:color w:val="FFFFFF"/>
                <w:sz w:val="17"/>
              </w:rPr>
              <w:t>Section</w:t>
            </w:r>
          </w:p>
        </w:tc>
        <w:tc>
          <w:tcPr>
            <w:tcW w:type="dxa" w:w="6480"/>
            <w:shd w:fill="173B57"/>
            <w:tcMar>
              <w:top w:w="100" w:type="dxa"/>
              <w:start w:w="120" w:type="dxa"/>
              <w:bottom w:w="100" w:type="dxa"/>
              <w:end w:w="120" w:type="dxa"/>
            </w:tcMar>
            <w:vAlign w:val="center"/>
          </w:tcPr>
          <w:p>
            <w:pPr>
              <w:jc w:val="left"/>
            </w:pPr>
            <w:r>
              <w:rPr>
                <w:b/>
                <w:color w:val="FFFFFF"/>
                <w:sz w:val="17"/>
              </w:rPr>
              <w:t>What you will learn</w:t>
            </w:r>
          </w:p>
        </w:tc>
      </w:tr>
      <w:tr>
        <w:trPr>
          <w:cantSplit/>
        </w:trPr>
        <w:tc>
          <w:tcPr>
            <w:tcW w:type="dxa" w:w="2880"/>
            <w:tcMar>
              <w:top w:w="100" w:type="dxa"/>
              <w:start w:w="120" w:type="dxa"/>
              <w:bottom w:w="100" w:type="dxa"/>
              <w:end w:w="120" w:type="dxa"/>
            </w:tcMar>
          </w:tcPr>
          <w:p>
            <w:pPr>
              <w:spacing w:after="0"/>
            </w:pPr>
            <w:r>
              <w:rPr>
                <w:sz w:val="17"/>
              </w:rPr>
              <w:t>1. Executive summary</w:t>
            </w:r>
          </w:p>
        </w:tc>
        <w:tc>
          <w:tcPr>
            <w:tcW w:type="dxa" w:w="6480"/>
            <w:tcMar>
              <w:top w:w="100" w:type="dxa"/>
              <w:start w:w="120" w:type="dxa"/>
              <w:bottom w:w="100" w:type="dxa"/>
              <w:end w:w="120" w:type="dxa"/>
            </w:tcMar>
          </w:tcPr>
          <w:p>
            <w:pPr>
              <w:spacing w:after="0"/>
            </w:pPr>
            <w:r>
              <w:rPr>
                <w:sz w:val="17"/>
              </w:rPr>
              <w:t>Purpose, audience, scope, scale and delivery state</w:t>
            </w:r>
          </w:p>
        </w:tc>
      </w:tr>
      <w:tr>
        <w:trPr>
          <w:cantSplit/>
        </w:trPr>
        <w:tc>
          <w:tcPr>
            <w:tcW w:type="dxa" w:w="2880"/>
            <w:tcMar>
              <w:top w:w="100" w:type="dxa"/>
              <w:start w:w="120" w:type="dxa"/>
              <w:bottom w:w="100" w:type="dxa"/>
              <w:end w:w="120" w:type="dxa"/>
            </w:tcMar>
            <w:shd w:fill="F3F5F7"/>
          </w:tcPr>
          <w:p>
            <w:pPr>
              <w:spacing w:after="0"/>
            </w:pPr>
            <w:r>
              <w:rPr>
                <w:sz w:val="17"/>
              </w:rPr>
              <w:t>2. Sharing the repository</w:t>
            </w:r>
          </w:p>
        </w:tc>
        <w:tc>
          <w:tcPr>
            <w:tcW w:type="dxa" w:w="6480"/>
            <w:tcMar>
              <w:top w:w="100" w:type="dxa"/>
              <w:start w:w="120" w:type="dxa"/>
              <w:bottom w:w="100" w:type="dxa"/>
              <w:end w:w="120" w:type="dxa"/>
            </w:tcMar>
            <w:shd w:fill="F3F5F7"/>
          </w:tcPr>
          <w:p>
            <w:pPr>
              <w:spacing w:after="0"/>
            </w:pPr>
            <w:r>
              <w:rPr>
                <w:sz w:val="17"/>
              </w:rPr>
              <w:t>Safe ways to grant access and hand over configuration</w:t>
            </w:r>
          </w:p>
        </w:tc>
      </w:tr>
      <w:tr>
        <w:trPr>
          <w:cantSplit/>
        </w:trPr>
        <w:tc>
          <w:tcPr>
            <w:tcW w:type="dxa" w:w="2880"/>
            <w:tcMar>
              <w:top w:w="100" w:type="dxa"/>
              <w:start w:w="120" w:type="dxa"/>
              <w:bottom w:w="100" w:type="dxa"/>
              <w:end w:w="120" w:type="dxa"/>
            </w:tcMar>
          </w:tcPr>
          <w:p>
            <w:pPr>
              <w:spacing w:after="0"/>
            </w:pPr>
            <w:r>
              <w:rPr>
                <w:sz w:val="17"/>
              </w:rPr>
              <w:t>3. Architecture</w:t>
            </w:r>
          </w:p>
        </w:tc>
        <w:tc>
          <w:tcPr>
            <w:tcW w:type="dxa" w:w="6480"/>
            <w:tcMar>
              <w:top w:w="100" w:type="dxa"/>
              <w:start w:w="120" w:type="dxa"/>
              <w:bottom w:w="100" w:type="dxa"/>
              <w:end w:w="120" w:type="dxa"/>
            </w:tcMar>
          </w:tcPr>
          <w:p>
            <w:pPr>
              <w:spacing w:after="0"/>
            </w:pPr>
            <w:r>
              <w:rPr>
                <w:sz w:val="17"/>
              </w:rPr>
              <w:t>Major layers, trust boundaries and external dependencies</w:t>
            </w:r>
          </w:p>
        </w:tc>
      </w:tr>
      <w:tr>
        <w:trPr>
          <w:cantSplit/>
        </w:trPr>
        <w:tc>
          <w:tcPr>
            <w:tcW w:type="dxa" w:w="2880"/>
            <w:tcMar>
              <w:top w:w="100" w:type="dxa"/>
              <w:start w:w="120" w:type="dxa"/>
              <w:bottom w:w="100" w:type="dxa"/>
              <w:end w:w="120" w:type="dxa"/>
            </w:tcMar>
            <w:shd w:fill="F3F5F7"/>
          </w:tcPr>
          <w:p>
            <w:pPr>
              <w:spacing w:after="0"/>
            </w:pPr>
            <w:r>
              <w:rPr>
                <w:sz w:val="17"/>
              </w:rPr>
              <w:t>4. Product workflows</w:t>
            </w:r>
          </w:p>
        </w:tc>
        <w:tc>
          <w:tcPr>
            <w:tcW w:type="dxa" w:w="6480"/>
            <w:tcMar>
              <w:top w:w="100" w:type="dxa"/>
              <w:start w:w="120" w:type="dxa"/>
              <w:bottom w:w="100" w:type="dxa"/>
              <w:end w:w="120" w:type="dxa"/>
            </w:tcMar>
            <w:shd w:fill="F3F5F7"/>
          </w:tcPr>
          <w:p>
            <w:pPr>
              <w:spacing w:after="0"/>
            </w:pPr>
            <w:r>
              <w:rPr>
                <w:sz w:val="17"/>
              </w:rPr>
              <w:t>Inbound, inventory, order-to-factory and reporting flows</w:t>
            </w:r>
          </w:p>
        </w:tc>
      </w:tr>
      <w:tr>
        <w:trPr>
          <w:cantSplit/>
        </w:trPr>
        <w:tc>
          <w:tcPr>
            <w:tcW w:type="dxa" w:w="2880"/>
            <w:tcMar>
              <w:top w:w="100" w:type="dxa"/>
              <w:start w:w="120" w:type="dxa"/>
              <w:bottom w:w="100" w:type="dxa"/>
              <w:end w:w="120" w:type="dxa"/>
            </w:tcMar>
          </w:tcPr>
          <w:p>
            <w:pPr>
              <w:spacing w:after="0"/>
            </w:pPr>
            <w:r>
              <w:rPr>
                <w:sz w:val="17"/>
              </w:rPr>
              <w:t>5. Repository map</w:t>
            </w:r>
          </w:p>
        </w:tc>
        <w:tc>
          <w:tcPr>
            <w:tcW w:type="dxa" w:w="6480"/>
            <w:tcMar>
              <w:top w:w="100" w:type="dxa"/>
              <w:start w:w="120" w:type="dxa"/>
              <w:bottom w:w="100" w:type="dxa"/>
              <w:end w:w="120" w:type="dxa"/>
            </w:tcMar>
          </w:tcPr>
          <w:p>
            <w:pPr>
              <w:spacing w:after="0"/>
            </w:pPr>
            <w:r>
              <w:rPr>
                <w:sz w:val="17"/>
              </w:rPr>
              <w:t>Where to find routes, features, backend, rules, tests and docs</w:t>
            </w:r>
          </w:p>
        </w:tc>
      </w:tr>
      <w:tr>
        <w:trPr>
          <w:cantSplit/>
        </w:trPr>
        <w:tc>
          <w:tcPr>
            <w:tcW w:type="dxa" w:w="2880"/>
            <w:tcMar>
              <w:top w:w="100" w:type="dxa"/>
              <w:start w:w="120" w:type="dxa"/>
              <w:bottom w:w="100" w:type="dxa"/>
              <w:end w:w="120" w:type="dxa"/>
            </w:tcMar>
            <w:shd w:fill="F3F5F7"/>
          </w:tcPr>
          <w:p>
            <w:pPr>
              <w:spacing w:after="0"/>
            </w:pPr>
            <w:r>
              <w:rPr>
                <w:sz w:val="17"/>
              </w:rPr>
              <w:t>6. Local setup</w:t>
            </w:r>
          </w:p>
        </w:tc>
        <w:tc>
          <w:tcPr>
            <w:tcW w:type="dxa" w:w="6480"/>
            <w:tcMar>
              <w:top w:w="100" w:type="dxa"/>
              <w:start w:w="120" w:type="dxa"/>
              <w:bottom w:w="100" w:type="dxa"/>
              <w:end w:w="120" w:type="dxa"/>
            </w:tcMar>
            <w:shd w:fill="F3F5F7"/>
          </w:tcPr>
          <w:p>
            <w:pPr>
              <w:spacing w:after="0"/>
            </w:pPr>
            <w:r>
              <w:rPr>
                <w:sz w:val="17"/>
              </w:rPr>
              <w:t>Prerequisites, environment, startup and validation commands</w:t>
            </w:r>
          </w:p>
        </w:tc>
      </w:tr>
      <w:tr>
        <w:trPr>
          <w:cantSplit/>
        </w:trPr>
        <w:tc>
          <w:tcPr>
            <w:tcW w:type="dxa" w:w="2880"/>
            <w:tcMar>
              <w:top w:w="100" w:type="dxa"/>
              <w:start w:w="120" w:type="dxa"/>
              <w:bottom w:w="100" w:type="dxa"/>
              <w:end w:w="120" w:type="dxa"/>
            </w:tcMar>
          </w:tcPr>
          <w:p>
            <w:pPr>
              <w:spacing w:after="0"/>
            </w:pPr>
            <w:r>
              <w:rPr>
                <w:sz w:val="17"/>
              </w:rPr>
              <w:t>7. Quality and security</w:t>
            </w:r>
          </w:p>
        </w:tc>
        <w:tc>
          <w:tcPr>
            <w:tcW w:type="dxa" w:w="6480"/>
            <w:tcMar>
              <w:top w:w="100" w:type="dxa"/>
              <w:start w:w="120" w:type="dxa"/>
              <w:bottom w:w="100" w:type="dxa"/>
              <w:end w:w="120" w:type="dxa"/>
            </w:tcMar>
          </w:tcPr>
          <w:p>
            <w:pPr>
              <w:spacing w:after="0"/>
            </w:pPr>
            <w:r>
              <w:rPr>
                <w:sz w:val="17"/>
              </w:rPr>
              <w:t>Test tiers, CI gates and tenant-safety invariants</w:t>
            </w:r>
          </w:p>
        </w:tc>
      </w:tr>
      <w:tr>
        <w:trPr>
          <w:cantSplit/>
        </w:trPr>
        <w:tc>
          <w:tcPr>
            <w:tcW w:type="dxa" w:w="2880"/>
            <w:tcMar>
              <w:top w:w="100" w:type="dxa"/>
              <w:start w:w="120" w:type="dxa"/>
              <w:bottom w:w="100" w:type="dxa"/>
              <w:end w:w="120" w:type="dxa"/>
            </w:tcMar>
            <w:shd w:fill="F3F5F7"/>
          </w:tcPr>
          <w:p>
            <w:pPr>
              <w:spacing w:after="0"/>
            </w:pPr>
            <w:r>
              <w:rPr>
                <w:sz w:val="17"/>
              </w:rPr>
              <w:t>8. Open work and risks</w:t>
            </w:r>
          </w:p>
        </w:tc>
        <w:tc>
          <w:tcPr>
            <w:tcW w:type="dxa" w:w="6480"/>
            <w:tcMar>
              <w:top w:w="100" w:type="dxa"/>
              <w:start w:w="120" w:type="dxa"/>
              <w:bottom w:w="100" w:type="dxa"/>
              <w:end w:w="120" w:type="dxa"/>
            </w:tcMar>
            <w:shd w:fill="F3F5F7"/>
          </w:tcPr>
          <w:p>
            <w:pPr>
              <w:spacing w:after="0"/>
            </w:pPr>
            <w:r>
              <w:rPr>
                <w:sz w:val="17"/>
              </w:rPr>
              <w:t>What is not production-ready and what to prove next</w:t>
            </w:r>
          </w:p>
        </w:tc>
      </w:tr>
      <w:tr>
        <w:trPr>
          <w:cantSplit/>
        </w:trPr>
        <w:tc>
          <w:tcPr>
            <w:tcW w:type="dxa" w:w="2880"/>
            <w:tcMar>
              <w:top w:w="100" w:type="dxa"/>
              <w:start w:w="120" w:type="dxa"/>
              <w:bottom w:w="100" w:type="dxa"/>
              <w:end w:w="120" w:type="dxa"/>
            </w:tcMar>
          </w:tcPr>
          <w:p>
            <w:pPr>
              <w:spacing w:after="0"/>
            </w:pPr>
            <w:r>
              <w:rPr>
                <w:sz w:val="17"/>
              </w:rPr>
              <w:t>9. Reading path</w:t>
            </w:r>
          </w:p>
        </w:tc>
        <w:tc>
          <w:tcPr>
            <w:tcW w:type="dxa" w:w="6480"/>
            <w:tcMar>
              <w:top w:w="100" w:type="dxa"/>
              <w:start w:w="120" w:type="dxa"/>
              <w:bottom w:w="100" w:type="dxa"/>
              <w:end w:w="120" w:type="dxa"/>
            </w:tcMar>
          </w:tcPr>
          <w:p>
            <w:pPr>
              <w:spacing w:after="0"/>
            </w:pPr>
            <w:r>
              <w:rPr>
                <w:sz w:val="17"/>
              </w:rPr>
              <w:t>The best source documents for each kind of collaborator</w:t>
            </w:r>
          </w:p>
        </w:tc>
      </w:tr>
    </w:tbl>
    <w:p>
      <w:pPr>
        <w:spacing w:after="0"/>
      </w:pPr>
    </w:p>
    <w:p>
      <w:pPr>
        <w:pStyle w:val="Heading1"/>
        <w:keepNext/>
      </w:pPr>
      <w:r>
        <w:t>1. Executive summary</w:t>
      </w:r>
    </w:p>
    <w:p>
      <w:r>
        <w:t>Industrial SAS is a mobile-first, multi-tenant B2B warehouse management system for Thai manufacturing companies. Its goal is fast, accurate and traceable warehouse work with Thai-first handheld workflows and a complete audit trail.</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shd w:fill="173B57"/>
            <w:tcMar>
              <w:top w:w="100" w:type="dxa"/>
              <w:start w:w="120" w:type="dxa"/>
              <w:bottom w:w="100" w:type="dxa"/>
              <w:end w:w="120" w:type="dxa"/>
            </w:tcMar>
            <w:vAlign w:val="center"/>
          </w:tcPr>
          <w:p>
            <w:pPr>
              <w:jc w:val="left"/>
            </w:pPr>
            <w:r>
              <w:rPr>
                <w:b/>
                <w:color w:val="FFFFFF"/>
                <w:sz w:val="17"/>
              </w:rPr>
              <w:t>Topic</w:t>
            </w:r>
          </w:p>
        </w:tc>
        <w:tc>
          <w:tcPr>
            <w:tcW w:type="dxa" w:w="4819"/>
            <w:shd w:fill="173B57"/>
            <w:tcMar>
              <w:top w:w="100" w:type="dxa"/>
              <w:start w:w="120" w:type="dxa"/>
              <w:bottom w:w="100" w:type="dxa"/>
              <w:end w:w="120" w:type="dxa"/>
            </w:tcMar>
            <w:vAlign w:val="center"/>
          </w:tcPr>
          <w:p>
            <w:pPr>
              <w:jc w:val="left"/>
            </w:pPr>
            <w:r>
              <w:rPr>
                <w:b/>
                <w:color w:val="FFFFFF"/>
                <w:sz w:val="17"/>
              </w:rPr>
              <w:t>Summary</w:t>
            </w:r>
          </w:p>
        </w:tc>
      </w:tr>
      <w:tr>
        <w:trPr>
          <w:cantSplit/>
        </w:trPr>
        <w:tc>
          <w:tcPr>
            <w:tcW w:type="dxa" w:w="4819"/>
            <w:tcMar>
              <w:top w:w="100" w:type="dxa"/>
              <w:start w:w="120" w:type="dxa"/>
              <w:bottom w:w="100" w:type="dxa"/>
              <w:end w:w="120" w:type="dxa"/>
            </w:tcMar>
          </w:tcPr>
          <w:p>
            <w:pPr>
              <w:spacing w:after="0"/>
            </w:pPr>
            <w:r>
              <w:rPr>
                <w:sz w:val="17"/>
              </w:rPr>
              <w:t>Primary customers</w:t>
            </w:r>
          </w:p>
        </w:tc>
        <w:tc>
          <w:tcPr>
            <w:tcW w:type="dxa" w:w="4819"/>
            <w:tcMar>
              <w:top w:w="100" w:type="dxa"/>
              <w:start w:w="120" w:type="dxa"/>
              <w:bottom w:w="100" w:type="dxa"/>
              <w:end w:w="120" w:type="dxa"/>
            </w:tcMar>
          </w:tcPr>
          <w:p>
            <w:pPr>
              <w:spacing w:after="0"/>
            </w:pPr>
            <w:r>
              <w:rPr>
                <w:sz w:val="17"/>
              </w:rPr>
              <w:t>Thai mid-market manufacturers; typically 1–3 warehouses and 500–5,000 SKUs</w:t>
            </w:r>
          </w:p>
        </w:tc>
      </w:tr>
      <w:tr>
        <w:trPr>
          <w:cantSplit/>
        </w:trPr>
        <w:tc>
          <w:tcPr>
            <w:tcW w:type="dxa" w:w="4819"/>
            <w:tcMar>
              <w:top w:w="100" w:type="dxa"/>
              <w:start w:w="120" w:type="dxa"/>
              <w:bottom w:w="100" w:type="dxa"/>
              <w:end w:w="120" w:type="dxa"/>
            </w:tcMar>
            <w:shd w:fill="F3F5F7"/>
          </w:tcPr>
          <w:p>
            <w:pPr>
              <w:spacing w:after="0"/>
            </w:pPr>
            <w:r>
              <w:rPr>
                <w:sz w:val="17"/>
              </w:rPr>
              <w:t>Users</w:t>
            </w:r>
          </w:p>
        </w:tc>
        <w:tc>
          <w:tcPr>
            <w:tcW w:type="dxa" w:w="4819"/>
            <w:tcMar>
              <w:top w:w="100" w:type="dxa"/>
              <w:start w:w="120" w:type="dxa"/>
              <w:bottom w:w="100" w:type="dxa"/>
              <w:end w:w="120" w:type="dxa"/>
            </w:tcMar>
            <w:shd w:fill="F3F5F7"/>
          </w:tcPr>
          <w:p>
            <w:pPr>
              <w:spacing w:after="0"/>
            </w:pPr>
            <w:r>
              <w:rPr>
                <w:sz w:val="17"/>
              </w:rPr>
              <w:t>Operators, supervisors, planners, engineers and tenant administrators</w:t>
            </w:r>
          </w:p>
        </w:tc>
      </w:tr>
      <w:tr>
        <w:trPr>
          <w:cantSplit/>
        </w:trPr>
        <w:tc>
          <w:tcPr>
            <w:tcW w:type="dxa" w:w="4819"/>
            <w:tcMar>
              <w:top w:w="100" w:type="dxa"/>
              <w:start w:w="120" w:type="dxa"/>
              <w:bottom w:w="100" w:type="dxa"/>
              <w:end w:w="120" w:type="dxa"/>
            </w:tcMar>
          </w:tcPr>
          <w:p>
            <w:pPr>
              <w:spacing w:after="0"/>
            </w:pPr>
            <w:r>
              <w:rPr>
                <w:sz w:val="17"/>
              </w:rPr>
              <w:t>Inbound scope</w:t>
            </w:r>
          </w:p>
        </w:tc>
        <w:tc>
          <w:tcPr>
            <w:tcW w:type="dxa" w:w="4819"/>
            <w:tcMar>
              <w:top w:w="100" w:type="dxa"/>
              <w:start w:w="120" w:type="dxa"/>
              <w:bottom w:w="100" w:type="dxa"/>
              <w:end w:w="120" w:type="dxa"/>
            </w:tcMar>
          </w:tcPr>
          <w:p>
            <w:pPr>
              <w:spacing w:after="0"/>
            </w:pPr>
            <w:r>
              <w:rPr>
                <w:sz w:val="17"/>
              </w:rPr>
              <w:t>Purchase order → receive → QC → pallet/lot → label → putaway → inventory ledger</w:t>
            </w:r>
          </w:p>
        </w:tc>
      </w:tr>
      <w:tr>
        <w:trPr>
          <w:cantSplit/>
        </w:trPr>
        <w:tc>
          <w:tcPr>
            <w:tcW w:type="dxa" w:w="4819"/>
            <w:tcMar>
              <w:top w:w="100" w:type="dxa"/>
              <w:start w:w="120" w:type="dxa"/>
              <w:bottom w:w="100" w:type="dxa"/>
              <w:end w:w="120" w:type="dxa"/>
            </w:tcMar>
            <w:shd w:fill="F3F5F7"/>
          </w:tcPr>
          <w:p>
            <w:pPr>
              <w:spacing w:after="0"/>
            </w:pPr>
            <w:r>
              <w:rPr>
                <w:sz w:val="17"/>
              </w:rPr>
              <w:t>Order-to-factory scope</w:t>
            </w:r>
          </w:p>
        </w:tc>
        <w:tc>
          <w:tcPr>
            <w:tcW w:type="dxa" w:w="4819"/>
            <w:tcMar>
              <w:top w:w="100" w:type="dxa"/>
              <w:start w:w="120" w:type="dxa"/>
              <w:bottom w:w="100" w:type="dxa"/>
              <w:end w:w="120" w:type="dxa"/>
            </w:tcMar>
            <w:shd w:fill="F3F5F7"/>
          </w:tcPr>
          <w:p>
            <w:pPr>
              <w:spacing w:after="0"/>
            </w:pPr>
            <w:r>
              <w:rPr>
                <w:sz w:val="17"/>
              </w:rPr>
              <w:t>Customer PO → design check → master-card release → factory packet → acknowledgement</w:t>
            </w:r>
          </w:p>
        </w:tc>
      </w:tr>
      <w:tr>
        <w:trPr>
          <w:cantSplit/>
        </w:trPr>
        <w:tc>
          <w:tcPr>
            <w:tcW w:type="dxa" w:w="4819"/>
            <w:tcMar>
              <w:top w:w="100" w:type="dxa"/>
              <w:start w:w="120" w:type="dxa"/>
              <w:bottom w:w="100" w:type="dxa"/>
              <w:end w:w="120" w:type="dxa"/>
            </w:tcMar>
          </w:tcPr>
          <w:p>
            <w:pPr>
              <w:spacing w:after="0"/>
            </w:pPr>
            <w:r>
              <w:rPr>
                <w:sz w:val="17"/>
              </w:rPr>
              <w:t>Target scale</w:t>
            </w:r>
          </w:p>
        </w:tc>
        <w:tc>
          <w:tcPr>
            <w:tcW w:type="dxa" w:w="4819"/>
            <w:tcMar>
              <w:top w:w="100" w:type="dxa"/>
              <w:start w:w="120" w:type="dxa"/>
              <w:bottom w:w="100" w:type="dxa"/>
              <w:end w:w="120" w:type="dxa"/>
            </w:tcMar>
          </w:tcPr>
          <w:p>
            <w:pPr>
              <w:spacing w:after="0"/>
            </w:pPr>
            <w:r>
              <w:rPr>
                <w:sz w:val="17"/>
              </w:rPr>
              <w:t>5–40 concurrent scanners, 3,000 inbound lines/day, about 1M ledger lines/year/tenant</w:t>
            </w:r>
          </w:p>
        </w:tc>
      </w:tr>
      <w:tr>
        <w:trPr>
          <w:cantSplit/>
        </w:trPr>
        <w:tc>
          <w:tcPr>
            <w:tcW w:type="dxa" w:w="4819"/>
            <w:tcMar>
              <w:top w:w="100" w:type="dxa"/>
              <w:start w:w="120" w:type="dxa"/>
              <w:bottom w:w="100" w:type="dxa"/>
              <w:end w:w="120" w:type="dxa"/>
            </w:tcMar>
            <w:shd w:fill="F3F5F7"/>
          </w:tcPr>
          <w:p>
            <w:pPr>
              <w:spacing w:after="0"/>
            </w:pPr>
            <w:r>
              <w:rPr>
                <w:sz w:val="17"/>
              </w:rPr>
              <w:t>Local state</w:t>
            </w:r>
          </w:p>
        </w:tc>
        <w:tc>
          <w:tcPr>
            <w:tcW w:type="dxa" w:w="4819"/>
            <w:tcMar>
              <w:top w:w="100" w:type="dxa"/>
              <w:start w:w="120" w:type="dxa"/>
              <w:bottom w:w="100" w:type="dxa"/>
              <w:end w:w="120" w:type="dxa"/>
            </w:tcMar>
            <w:shd w:fill="F3F5F7"/>
          </w:tcPr>
          <w:p>
            <w:pPr>
              <w:spacing w:after="0"/>
            </w:pPr>
            <w:r>
              <w:rPr>
                <w:sz w:val="17"/>
              </w:rPr>
              <w:t>Code through Phase 5A runs locally; staging, production, hardware, legal and pilot evidence remain open</w:t>
            </w:r>
          </w:p>
        </w:tc>
      </w:tr>
      <w:tr>
        <w:trPr>
          <w:cantSplit/>
        </w:trPr>
        <w:tc>
          <w:tcPr>
            <w:tcW w:type="dxa" w:w="4819"/>
            <w:tcMar>
              <w:top w:w="100" w:type="dxa"/>
              <w:start w:w="120" w:type="dxa"/>
              <w:bottom w:w="100" w:type="dxa"/>
              <w:end w:w="120" w:type="dxa"/>
            </w:tcMar>
          </w:tcPr>
          <w:p>
            <w:pPr>
              <w:spacing w:after="0"/>
            </w:pPr>
            <w:r>
              <w:rPr>
                <w:sz w:val="17"/>
              </w:rPr>
              <w:t>Commercial state</w:t>
            </w:r>
          </w:p>
        </w:tc>
        <w:tc>
          <w:tcPr>
            <w:tcW w:type="dxa" w:w="4819"/>
            <w:tcMar>
              <w:top w:w="100" w:type="dxa"/>
              <w:start w:w="120" w:type="dxa"/>
              <w:bottom w:w="100" w:type="dxa"/>
              <w:end w:w="120" w:type="dxa"/>
            </w:tcMar>
          </w:tcPr>
          <w:p>
            <w:pPr>
              <w:spacing w:after="0"/>
            </w:pPr>
            <w:r>
              <w:rPr>
                <w:sz w:val="17"/>
              </w:rPr>
              <w:t>Sales-led pilot and manual billing; pricing and self-service signup are open decisions</w:t>
            </w:r>
          </w:p>
        </w:tc>
      </w:tr>
    </w:tbl>
    <w:p>
      <w:pPr>
        <w:spacing w:after="0"/>
      </w:pPr>
    </w:p>
    <w:p>
      <w:pPr>
        <w:pStyle w:val="Heading2"/>
        <w:keepNext/>
      </w:pPr>
      <w:r>
        <w:t>What is implemented</w:t>
      </w:r>
    </w:p>
    <w:p>
      <w:pPr>
        <w:pStyle w:val="ListBullet"/>
      </w:pPr>
      <w:r>
        <w:t>Thai-first and English-complete desktop and handheld application shells.</w:t>
      </w:r>
    </w:p>
    <w:p>
      <w:pPr>
        <w:pStyle w:val="ListBullet"/>
      </w:pPr>
      <w:r>
        <w:t>Tenant identity, mirrored organization/membership data, authorization, audit and idempotency foundations.</w:t>
      </w:r>
    </w:p>
    <w:p>
      <w:pPr>
        <w:pStyle w:val="ListBullet"/>
      </w:pPr>
      <w:r>
        <w:t>Pure inventory primitives: exact quantities and UOM conversion, GS1/identifier handling, business dates, stock rotation and ledger rules.</w:t>
      </w:r>
    </w:p>
    <w:p>
      <w:pPr>
        <w:pStyle w:val="ListBullet"/>
      </w:pPr>
      <w:r>
        <w:t>Master-data screens and bounded tenant APIs for items, locations, suppliers, storage classes, labels and related reference data.</w:t>
      </w:r>
    </w:p>
    <w:p>
      <w:pPr>
        <w:pStyle w:val="ListBullet"/>
      </w:pPr>
      <w:r>
        <w:t>Inbound vertical slice: purchase orders/import, receiving, quality, handling units, label evidence and putaway.</w:t>
      </w:r>
    </w:p>
    <w:p>
      <w:pPr>
        <w:pStyle w:val="ListBullet"/>
      </w:pPr>
      <w:r>
        <w:t>Inventory ledger, balances, history, reconciliation logic, dashboard rollups, occupancy views and resumable exports.</w:t>
      </w:r>
    </w:p>
    <w:p>
      <w:pPr>
        <w:pStyle w:val="ListBullet"/>
      </w:pPr>
      <w:r>
        <w:t>Phase 5A order-to-factory foundation: customers, customer orders, design requests, master-card revisions, engineering files and factory packets.</w:t>
      </w:r>
    </w:p>
    <w:p>
      <w:pPr>
        <w:pStyle w:val="ListBullet"/>
      </w:pPr>
      <w:r>
        <w:t>Extensive unit, property, integration, isolation, accessibility and browser tests plus repository safety guards.</w:t>
      </w:r>
    </w:p>
    <w:p>
      <w:pPr>
        <w:pStyle w:val="Heading2"/>
        <w:keepNext/>
      </w:pPr>
      <w:r>
        <w:t>Success targets</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6768"/>
            <w:shd w:fill="173B57"/>
            <w:tcMar>
              <w:top w:w="100" w:type="dxa"/>
              <w:start w:w="120" w:type="dxa"/>
              <w:bottom w:w="100" w:type="dxa"/>
              <w:end w:w="120" w:type="dxa"/>
            </w:tcMar>
            <w:vAlign w:val="center"/>
          </w:tcPr>
          <w:p>
            <w:pPr>
              <w:jc w:val="left"/>
            </w:pPr>
            <w:r>
              <w:rPr>
                <w:b/>
                <w:color w:val="FFFFFF"/>
                <w:sz w:val="17"/>
              </w:rPr>
              <w:t>Metric</w:t>
            </w:r>
          </w:p>
        </w:tc>
        <w:tc>
          <w:tcPr>
            <w:tcW w:type="dxa" w:w="2592"/>
            <w:shd w:fill="173B57"/>
            <w:tcMar>
              <w:top w:w="100" w:type="dxa"/>
              <w:start w:w="120" w:type="dxa"/>
              <w:bottom w:w="100" w:type="dxa"/>
              <w:end w:w="120" w:type="dxa"/>
            </w:tcMar>
            <w:vAlign w:val="center"/>
          </w:tcPr>
          <w:p>
            <w:pPr>
              <w:jc w:val="left"/>
            </w:pPr>
            <w:r>
              <w:rPr>
                <w:b/>
                <w:color w:val="FFFFFF"/>
                <w:sz w:val="17"/>
              </w:rPr>
              <w:t>Target</w:t>
            </w:r>
          </w:p>
        </w:tc>
      </w:tr>
      <w:tr>
        <w:trPr>
          <w:cantSplit/>
        </w:trPr>
        <w:tc>
          <w:tcPr>
            <w:tcW w:type="dxa" w:w="6768"/>
            <w:tcMar>
              <w:top w:w="100" w:type="dxa"/>
              <w:start w:w="120" w:type="dxa"/>
              <w:bottom w:w="100" w:type="dxa"/>
              <w:end w:w="120" w:type="dxa"/>
            </w:tcMar>
          </w:tcPr>
          <w:p>
            <w:pPr>
              <w:spacing w:after="0"/>
            </w:pPr>
            <w:r>
              <w:rPr>
                <w:sz w:val="17"/>
              </w:rPr>
              <w:t>Handheld completion</w:t>
            </w:r>
          </w:p>
        </w:tc>
        <w:tc>
          <w:tcPr>
            <w:tcW w:type="dxa" w:w="2592"/>
            <w:tcMar>
              <w:top w:w="100" w:type="dxa"/>
              <w:start w:w="120" w:type="dxa"/>
              <w:bottom w:w="100" w:type="dxa"/>
              <w:end w:w="120" w:type="dxa"/>
            </w:tcMar>
          </w:tcPr>
          <w:p>
            <w:pPr>
              <w:spacing w:after="0"/>
            </w:pPr>
            <w:r>
              <w:rPr>
                <w:sz w:val="17"/>
              </w:rPr>
              <w:t>≥95%</w:t>
            </w:r>
          </w:p>
        </w:tc>
      </w:tr>
      <w:tr>
        <w:trPr>
          <w:cantSplit/>
        </w:trPr>
        <w:tc>
          <w:tcPr>
            <w:tcW w:type="dxa" w:w="6768"/>
            <w:tcMar>
              <w:top w:w="100" w:type="dxa"/>
              <w:start w:w="120" w:type="dxa"/>
              <w:bottom w:w="100" w:type="dxa"/>
              <w:end w:w="120" w:type="dxa"/>
            </w:tcMar>
            <w:shd w:fill="F3F5F7"/>
          </w:tcPr>
          <w:p>
            <w:pPr>
              <w:spacing w:after="0"/>
            </w:pPr>
            <w:r>
              <w:rPr>
                <w:sz w:val="17"/>
              </w:rPr>
              <w:t>Pilot scan acknowledgement p95</w:t>
            </w:r>
          </w:p>
        </w:tc>
        <w:tc>
          <w:tcPr>
            <w:tcW w:type="dxa" w:w="2592"/>
            <w:tcMar>
              <w:top w:w="100" w:type="dxa"/>
              <w:start w:w="120" w:type="dxa"/>
              <w:bottom w:w="100" w:type="dxa"/>
              <w:end w:w="120" w:type="dxa"/>
            </w:tcMar>
            <w:shd w:fill="F3F5F7"/>
          </w:tcPr>
          <w:p>
            <w:pPr>
              <w:spacing w:after="0"/>
            </w:pPr>
            <w:r>
              <w:rPr>
                <w:sz w:val="17"/>
              </w:rPr>
              <w:t>&lt;800 ms</w:t>
            </w:r>
          </w:p>
        </w:tc>
      </w:tr>
      <w:tr>
        <w:trPr>
          <w:cantSplit/>
        </w:trPr>
        <w:tc>
          <w:tcPr>
            <w:tcW w:type="dxa" w:w="6768"/>
            <w:tcMar>
              <w:top w:w="100" w:type="dxa"/>
              <w:start w:w="120" w:type="dxa"/>
              <w:bottom w:w="100" w:type="dxa"/>
              <w:end w:w="120" w:type="dxa"/>
            </w:tcMar>
          </w:tcPr>
          <w:p>
            <w:pPr>
              <w:spacing w:after="0"/>
            </w:pPr>
            <w:r>
              <w:rPr>
                <w:sz w:val="17"/>
              </w:rPr>
              <w:t>Sampled stock accuracy</w:t>
            </w:r>
          </w:p>
        </w:tc>
        <w:tc>
          <w:tcPr>
            <w:tcW w:type="dxa" w:w="2592"/>
            <w:tcMar>
              <w:top w:w="100" w:type="dxa"/>
              <w:start w:w="120" w:type="dxa"/>
              <w:bottom w:w="100" w:type="dxa"/>
              <w:end w:w="120" w:type="dxa"/>
            </w:tcMar>
          </w:tcPr>
          <w:p>
            <w:pPr>
              <w:spacing w:after="0"/>
            </w:pPr>
            <w:r>
              <w:rPr>
                <w:sz w:val="17"/>
              </w:rPr>
              <w:t>≥99%</w:t>
            </w:r>
          </w:p>
        </w:tc>
      </w:tr>
      <w:tr>
        <w:trPr>
          <w:cantSplit/>
        </w:trPr>
        <w:tc>
          <w:tcPr>
            <w:tcW w:type="dxa" w:w="6768"/>
            <w:tcMar>
              <w:top w:w="100" w:type="dxa"/>
              <w:start w:w="120" w:type="dxa"/>
              <w:bottom w:w="100" w:type="dxa"/>
              <w:end w:w="120" w:type="dxa"/>
            </w:tcMar>
            <w:shd w:fill="F3F5F7"/>
          </w:tcPr>
          <w:p>
            <w:pPr>
              <w:spacing w:after="0"/>
            </w:pPr>
            <w:r>
              <w:rPr>
                <w:sz w:val="17"/>
              </w:rPr>
              <w:t>Tenant leaks / ledger drift</w:t>
            </w:r>
          </w:p>
        </w:tc>
        <w:tc>
          <w:tcPr>
            <w:tcW w:type="dxa" w:w="2592"/>
            <w:tcMar>
              <w:top w:w="100" w:type="dxa"/>
              <w:start w:w="120" w:type="dxa"/>
              <w:bottom w:w="100" w:type="dxa"/>
              <w:end w:w="120" w:type="dxa"/>
            </w:tcMar>
            <w:shd w:fill="F3F5F7"/>
          </w:tcPr>
          <w:p>
            <w:pPr>
              <w:spacing w:after="0"/>
            </w:pPr>
            <w:r>
              <w:rPr>
                <w:sz w:val="17"/>
              </w:rPr>
              <w:t>0 / 0</w:t>
            </w:r>
          </w:p>
        </w:tc>
      </w:tr>
      <w:tr>
        <w:trPr>
          <w:cantSplit/>
        </w:trPr>
        <w:tc>
          <w:tcPr>
            <w:tcW w:type="dxa" w:w="6768"/>
            <w:tcMar>
              <w:top w:w="100" w:type="dxa"/>
              <w:start w:w="120" w:type="dxa"/>
              <w:bottom w:w="100" w:type="dxa"/>
              <w:end w:w="120" w:type="dxa"/>
            </w:tcMar>
          </w:tcPr>
          <w:p>
            <w:pPr>
              <w:spacing w:after="0"/>
            </w:pPr>
            <w:r>
              <w:rPr>
                <w:sz w:val="17"/>
              </w:rPr>
              <w:t>Final pilot week defects</w:t>
            </w:r>
          </w:p>
        </w:tc>
        <w:tc>
          <w:tcPr>
            <w:tcW w:type="dxa" w:w="2592"/>
            <w:tcMar>
              <w:top w:w="100" w:type="dxa"/>
              <w:start w:w="120" w:type="dxa"/>
              <w:bottom w:w="100" w:type="dxa"/>
              <w:end w:w="120" w:type="dxa"/>
            </w:tcMar>
          </w:tcPr>
          <w:p>
            <w:pPr>
              <w:spacing w:after="0"/>
            </w:pPr>
            <w:r>
              <w:rPr>
                <w:sz w:val="17"/>
              </w:rPr>
              <w:t>0 P0; ≤2 P1</w:t>
            </w:r>
          </w:p>
        </w:tc>
      </w:tr>
    </w:tbl>
    <w:p>
      <w:pPr>
        <w:spacing w:after="0"/>
      </w:pPr>
    </w:p>
    <w:p>
      <w:pPr>
        <w:pStyle w:val="Heading1"/>
        <w:keepNext/>
      </w:pPr>
      <w:r>
        <w:t>2. How to share the repository</w:t>
      </w:r>
    </w:p>
    <w:tbl>
      <w:tblPr>
        <w:tblW w:type="auto" w:w="0"/>
        <w:jc w:val="center"/>
        <w:tblLook w:firstColumn="1" w:firstRow="1" w:lastColumn="0" w:lastRow="0" w:noHBand="0" w:noVBand="1" w:val="04A0"/>
      </w:tblPr>
      <w:tblGrid>
        <w:gridCol w:w="9638"/>
      </w:tblGrid>
      <w:tr>
        <w:trPr>
          <w:cantSplit/>
        </w:trPr>
        <w:tc>
          <w:tcPr>
            <w:tcW w:type="dxa" w:w="9638"/>
            <w:shd w:fill="E8F5F5"/>
            <w:tcMar>
              <w:top w:w="140" w:type="dxa"/>
              <w:start w:w="170" w:type="dxa"/>
              <w:bottom w:w="140" w:type="dxa"/>
              <w:end w:w="170" w:type="dxa"/>
            </w:tcMar>
          </w:tcPr>
          <w:p>
            <w:r>
              <w:rPr>
                <w:b/>
                <w:color w:val="173B57"/>
              </w:rPr>
              <w:t>Preferred method</w:t>
              <w:br/>
            </w:r>
            <w:r>
              <w:t>Share access to the GitHub repository, not a copy of the author’s working directory. Git preserves history and lets the recipient confirm exactly which revision they received.</w:t>
            </w:r>
          </w:p>
        </w:tc>
      </w:tr>
    </w:tbl>
    <w:p>
      <w:pPr>
        <w:pStyle w:val="ListNumber"/>
      </w:pPr>
      <w:r>
        <w:t>Decide which snapshot is being shared. Because the current working tree differs substantially from main, either commit and push the intended changes or explicitly share a named local archive as a preview.</w:t>
      </w:r>
    </w:p>
    <w:p>
      <w:pPr>
        <w:pStyle w:val="ListNumber"/>
      </w:pPr>
      <w:r>
        <w:t>Confirm the recipient is authorized. The package is marked private and UNLICENSED; do not publish or redistribute it without the repository owner’s approval.</w:t>
      </w:r>
    </w:p>
    <w:p>
      <w:pPr>
        <w:pStyle w:val="ListNumber"/>
      </w:pPr>
      <w:r>
        <w:t>Grant least-privilege GitHub access through the Rugby-Thailand organization or a repository collaborator/team.</w:t>
      </w:r>
    </w:p>
    <w:p>
      <w:pPr>
        <w:pStyle w:val="ListNumber"/>
      </w:pPr>
      <w:r>
        <w:t>Send the repository link and the exact branch or commit. For a stable handoff, use a commit SHA or release tag.</w:t>
      </w:r>
    </w:p>
    <w:p>
      <w:pPr>
        <w:pStyle w:val="ListNumber"/>
      </w:pPr>
      <w:r>
        <w:t>Share credentials separately through an approved password manager. Never send .env.local, deployment keys, webhook secrets or production tenant data in this document, chat, email or the repository.</w:t>
      </w:r>
    </w:p>
    <w:p>
      <w:pPr>
        <w:pStyle w:val="ListNumber"/>
      </w:pPr>
      <w:r>
        <w:t>Ask the recipient to run the setup and validation commands in Section 6 and record any environment-specific gap.</w:t>
      </w:r>
    </w:p>
    <w:p>
      <w:pPr>
        <w:pStyle w:val="ListBullet"/>
      </w:pPr>
      <w:r>
        <w:rPr>
          <w:b/>
        </w:rPr>
        <w:t xml:space="preserve">Repository: </w:t>
      </w:r>
      <w:hyperlink r:id="rId11">
        <w:r>
          <w:rPr>
            <w:color w:val="167D8D"/>
            <w:u w:val="single"/>
          </w:rPr>
          <w:t>https://github.com/Rugby-Thailand/industrial-sas</w:t>
        </w:r>
      </w:hyperlink>
      <w:r>
        <w:t xml:space="preserve"> — requires whatever access policy the GitHub organization applies</w:t>
      </w:r>
    </w:p>
    <w:tbl>
      <w:tblPr>
        <w:tblW w:type="auto" w:w="0"/>
        <w:jc w:val="center"/>
        <w:tblLayout w:type="autofit"/>
        <w:tblLook w:firstColumn="1" w:firstRow="1" w:lastColumn="0" w:lastRow="0" w:noHBand="0" w:noVBand="1" w:val="04A0"/>
      </w:tblPr>
      <w:tblGrid>
        <w:gridCol w:w="9638"/>
      </w:tblGrid>
      <w:tr>
        <w:trPr>
          <w:cantSplit/>
        </w:trPr>
        <w:tc>
          <w:tcPr>
            <w:tcW w:type="dxa" w:w="9638"/>
            <w:shd w:fill="142936"/>
            <w:tcMar>
              <w:top w:w="130" w:type="dxa"/>
              <w:start w:w="180" w:type="dxa"/>
              <w:bottom w:w="130" w:type="dxa"/>
              <w:end w:w="180" w:type="dxa"/>
            </w:tcMar>
          </w:tcPr>
          <w:p>
            <w:pPr>
              <w:spacing w:after="0"/>
            </w:pPr>
            <w:r>
              <w:rPr>
                <w:rFonts w:ascii="SFMono-Regular" w:hAnsi="SFMono-Regular"/>
                <w:color w:val="FFFFFF"/>
                <w:sz w:val="17"/>
              </w:rPr>
              <w:t>git clone https://github.com/Rugby-Thailand/industrial-sas.git</w:t>
            </w:r>
            <w:r>
              <w:br/>
            </w:r>
            <w:r>
              <w:rPr>
                <w:rFonts w:ascii="SFMono-Regular" w:hAnsi="SFMono-Regular"/>
                <w:color w:val="FFFFFF"/>
                <w:sz w:val="17"/>
              </w:rPr>
              <w:t>cd industrial-sas</w:t>
            </w:r>
            <w:r>
              <w:br/>
            </w:r>
            <w:r>
              <w:rPr>
                <w:rFonts w:ascii="SFMono-Regular" w:hAnsi="SFMono-Regular"/>
                <w:color w:val="FFFFFF"/>
                <w:sz w:val="17"/>
              </w:rPr>
              <w:t>git switch main</w:t>
            </w:r>
            <w:r>
              <w:br/>
            </w:r>
            <w:r>
              <w:rPr>
                <w:rFonts w:ascii="SFMono-Regular" w:hAnsi="SFMono-Regular"/>
                <w:color w:val="FFFFFF"/>
                <w:sz w:val="17"/>
              </w:rPr>
              <w:t>git rev-parse HEAD</w:t>
            </w:r>
          </w:p>
        </w:tc>
      </w:tr>
    </w:tbl>
    <w:tbl>
      <w:tblPr>
        <w:tblW w:type="auto" w:w="0"/>
        <w:jc w:val="center"/>
        <w:tblLook w:firstColumn="1" w:firstRow="1" w:lastColumn="0" w:lastRow="0" w:noHBand="0" w:noVBand="1" w:val="04A0"/>
      </w:tblPr>
      <w:tblGrid>
        <w:gridCol w:w="9638"/>
      </w:tblGrid>
      <w:tr>
        <w:trPr>
          <w:cantSplit/>
        </w:trPr>
        <w:tc>
          <w:tcPr>
            <w:tcW w:type="dxa" w:w="9638"/>
            <w:shd w:fill="FCE8E6"/>
            <w:tcMar>
              <w:top w:w="140" w:type="dxa"/>
              <w:start w:w="170" w:type="dxa"/>
              <w:bottom w:w="140" w:type="dxa"/>
              <w:end w:w="170" w:type="dxa"/>
            </w:tcMar>
          </w:tcPr>
          <w:p>
            <w:r>
              <w:rPr>
                <w:b/>
                <w:color w:val="173B57"/>
              </w:rPr>
              <w:t>Do not include secrets</w:t>
              <w:br/>
            </w:r>
            <w:r>
              <w:t>Safe to share: source code, .env.example, documentation and this guide. Do not share: .env.local, Clerk secret keys, webhook signing secrets, Convex deploy keys, UploadThing tokens, private exports, tenant files or production data.</w:t>
            </w:r>
          </w:p>
        </w:tc>
      </w:tr>
    </w:tbl>
    <w:p>
      <w:pPr>
        <w:pStyle w:val="Heading2"/>
        <w:keepNext/>
      </w:pPr>
      <w:r>
        <w:t>Minimum handoff package</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shd w:fill="173B57"/>
            <w:tcMar>
              <w:top w:w="100" w:type="dxa"/>
              <w:start w:w="120" w:type="dxa"/>
              <w:bottom w:w="100" w:type="dxa"/>
              <w:end w:w="120" w:type="dxa"/>
            </w:tcMar>
            <w:vAlign w:val="center"/>
          </w:tcPr>
          <w:p>
            <w:pPr>
              <w:jc w:val="left"/>
            </w:pPr>
            <w:r>
              <w:rPr>
                <w:b/>
                <w:color w:val="FFFFFF"/>
                <w:sz w:val="17"/>
              </w:rPr>
              <w:t>Item</w:t>
            </w:r>
          </w:p>
        </w:tc>
        <w:tc>
          <w:tcPr>
            <w:tcW w:type="dxa" w:w="4819"/>
            <w:shd w:fill="173B57"/>
            <w:tcMar>
              <w:top w:w="100" w:type="dxa"/>
              <w:start w:w="120" w:type="dxa"/>
              <w:bottom w:w="100" w:type="dxa"/>
              <w:end w:w="120" w:type="dxa"/>
            </w:tcMar>
            <w:vAlign w:val="center"/>
          </w:tcPr>
          <w:p>
            <w:pPr>
              <w:jc w:val="left"/>
            </w:pPr>
            <w:r>
              <w:rPr>
                <w:b/>
                <w:color w:val="FFFFFF"/>
                <w:sz w:val="17"/>
              </w:rPr>
              <w:t>What to provide</w:t>
            </w:r>
          </w:p>
        </w:tc>
      </w:tr>
      <w:tr>
        <w:trPr>
          <w:cantSplit/>
        </w:trPr>
        <w:tc>
          <w:tcPr>
            <w:tcW w:type="dxa" w:w="4819"/>
            <w:tcMar>
              <w:top w:w="100" w:type="dxa"/>
              <w:start w:w="120" w:type="dxa"/>
              <w:bottom w:w="100" w:type="dxa"/>
              <w:end w:w="120" w:type="dxa"/>
            </w:tcMar>
          </w:tcPr>
          <w:p>
            <w:pPr>
              <w:spacing w:after="0"/>
            </w:pPr>
            <w:r>
              <w:rPr>
                <w:sz w:val="17"/>
              </w:rPr>
              <w:t>Code</w:t>
            </w:r>
          </w:p>
        </w:tc>
        <w:tc>
          <w:tcPr>
            <w:tcW w:type="dxa" w:w="4819"/>
            <w:tcMar>
              <w:top w:w="100" w:type="dxa"/>
              <w:start w:w="120" w:type="dxa"/>
              <w:bottom w:w="100" w:type="dxa"/>
              <w:end w:w="120" w:type="dxa"/>
            </w:tcMar>
          </w:tcPr>
          <w:p>
            <w:pPr>
              <w:spacing w:after="0"/>
            </w:pPr>
            <w:r>
              <w:rPr>
                <w:sz w:val="17"/>
              </w:rPr>
              <w:t>Repository URL + branch/tag/commit SHA</w:t>
            </w:r>
          </w:p>
        </w:tc>
      </w:tr>
      <w:tr>
        <w:trPr>
          <w:cantSplit/>
        </w:trPr>
        <w:tc>
          <w:tcPr>
            <w:tcW w:type="dxa" w:w="4819"/>
            <w:tcMar>
              <w:top w:w="100" w:type="dxa"/>
              <w:start w:w="120" w:type="dxa"/>
              <w:bottom w:w="100" w:type="dxa"/>
              <w:end w:w="120" w:type="dxa"/>
            </w:tcMar>
            <w:shd w:fill="F3F5F7"/>
          </w:tcPr>
          <w:p>
            <w:pPr>
              <w:spacing w:after="0"/>
            </w:pPr>
            <w:r>
              <w:rPr>
                <w:sz w:val="17"/>
              </w:rPr>
              <w:t>Context</w:t>
            </w:r>
          </w:p>
        </w:tc>
        <w:tc>
          <w:tcPr>
            <w:tcW w:type="dxa" w:w="4819"/>
            <w:tcMar>
              <w:top w:w="100" w:type="dxa"/>
              <w:start w:w="120" w:type="dxa"/>
              <w:bottom w:w="100" w:type="dxa"/>
              <w:end w:w="120" w:type="dxa"/>
            </w:tcMar>
            <w:shd w:fill="F3F5F7"/>
          </w:tcPr>
          <w:p>
            <w:pPr>
              <w:spacing w:after="0"/>
            </w:pPr>
            <w:r>
              <w:rPr>
                <w:sz w:val="17"/>
              </w:rPr>
              <w:t>This guide + README + current plan + development setup runbook</w:t>
            </w:r>
          </w:p>
        </w:tc>
      </w:tr>
      <w:tr>
        <w:trPr>
          <w:cantSplit/>
        </w:trPr>
        <w:tc>
          <w:tcPr>
            <w:tcW w:type="dxa" w:w="4819"/>
            <w:tcMar>
              <w:top w:w="100" w:type="dxa"/>
              <w:start w:w="120" w:type="dxa"/>
              <w:bottom w:w="100" w:type="dxa"/>
              <w:end w:w="120" w:type="dxa"/>
            </w:tcMar>
          </w:tcPr>
          <w:p>
            <w:pPr>
              <w:spacing w:after="0"/>
            </w:pPr>
            <w:r>
              <w:rPr>
                <w:sz w:val="17"/>
              </w:rPr>
              <w:t>Access</w:t>
            </w:r>
          </w:p>
        </w:tc>
        <w:tc>
          <w:tcPr>
            <w:tcW w:type="dxa" w:w="4819"/>
            <w:tcMar>
              <w:top w:w="100" w:type="dxa"/>
              <w:start w:w="120" w:type="dxa"/>
              <w:bottom w:w="100" w:type="dxa"/>
              <w:end w:w="120" w:type="dxa"/>
            </w:tcMar>
          </w:tcPr>
          <w:p>
            <w:pPr>
              <w:spacing w:after="0"/>
            </w:pPr>
            <w:r>
              <w:rPr>
                <w:sz w:val="17"/>
              </w:rPr>
              <w:t>GitHub team/collaborator access; separate Clerk/Convex development access if needed</w:t>
            </w:r>
          </w:p>
        </w:tc>
      </w:tr>
      <w:tr>
        <w:trPr>
          <w:cantSplit/>
        </w:trPr>
        <w:tc>
          <w:tcPr>
            <w:tcW w:type="dxa" w:w="4819"/>
            <w:tcMar>
              <w:top w:w="100" w:type="dxa"/>
              <w:start w:w="120" w:type="dxa"/>
              <w:bottom w:w="100" w:type="dxa"/>
              <w:end w:w="120" w:type="dxa"/>
            </w:tcMar>
            <w:shd w:fill="F3F5F7"/>
          </w:tcPr>
          <w:p>
            <w:pPr>
              <w:spacing w:after="0"/>
            </w:pPr>
            <w:r>
              <w:rPr>
                <w:sz w:val="17"/>
              </w:rPr>
              <w:t>Ownership</w:t>
            </w:r>
          </w:p>
        </w:tc>
        <w:tc>
          <w:tcPr>
            <w:tcW w:type="dxa" w:w="4819"/>
            <w:tcMar>
              <w:top w:w="100" w:type="dxa"/>
              <w:start w:w="120" w:type="dxa"/>
              <w:bottom w:w="100" w:type="dxa"/>
              <w:end w:w="120" w:type="dxa"/>
            </w:tcMar>
            <w:shd w:fill="F3F5F7"/>
          </w:tcPr>
          <w:p>
            <w:pPr>
              <w:spacing w:after="0"/>
            </w:pPr>
            <w:r>
              <w:rPr>
                <w:sz w:val="17"/>
              </w:rPr>
              <w:t>Named product, technical, environment and security contacts (not currently recorded in the repo)</w:t>
            </w:r>
          </w:p>
        </w:tc>
      </w:tr>
      <w:tr>
        <w:trPr>
          <w:cantSplit/>
        </w:trPr>
        <w:tc>
          <w:tcPr>
            <w:tcW w:type="dxa" w:w="4819"/>
            <w:tcMar>
              <w:top w:w="100" w:type="dxa"/>
              <w:start w:w="120" w:type="dxa"/>
              <w:bottom w:w="100" w:type="dxa"/>
              <w:end w:w="120" w:type="dxa"/>
            </w:tcMar>
          </w:tcPr>
          <w:p>
            <w:pPr>
              <w:spacing w:after="0"/>
            </w:pPr>
            <w:r>
              <w:rPr>
                <w:sz w:val="17"/>
              </w:rPr>
              <w:t>State</w:t>
            </w:r>
          </w:p>
        </w:tc>
        <w:tc>
          <w:tcPr>
            <w:tcW w:type="dxa" w:w="4819"/>
            <w:tcMar>
              <w:top w:w="100" w:type="dxa"/>
              <w:start w:w="120" w:type="dxa"/>
              <w:bottom w:w="100" w:type="dxa"/>
              <w:end w:w="120" w:type="dxa"/>
            </w:tcMar>
          </w:tcPr>
          <w:p>
            <w:pPr>
              <w:spacing w:after="0"/>
            </w:pPr>
            <w:r>
              <w:rPr>
                <w:sz w:val="17"/>
              </w:rPr>
              <w:t>Known open gates, current test result and whether the snapshot includes uncommitted work</w:t>
            </w:r>
          </w:p>
        </w:tc>
      </w:tr>
    </w:tbl>
    <w:p>
      <w:pPr>
        <w:spacing w:after="0"/>
      </w:pPr>
    </w:p>
    <w:p>
      <w:r>
        <w:br w:type="page"/>
      </w:r>
    </w:p>
    <w:p>
      <w:pPr>
        <w:pStyle w:val="Heading1"/>
        <w:keepNext/>
      </w:pPr>
      <w:r>
        <w:t>3. Architecture</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376"/>
            <w:shd w:fill="DDECF3"/>
            <w:tcMar>
              <w:top w:w="140" w:type="dxa"/>
              <w:start w:w="150" w:type="dxa"/>
              <w:bottom w:w="140" w:type="dxa"/>
              <w:end w:w="150" w:type="dxa"/>
            </w:tcMar>
            <w:vAlign w:val="center"/>
          </w:tcPr>
          <w:p>
            <w:pPr>
              <w:jc w:val="center"/>
            </w:pPr>
            <w:r>
              <w:rPr>
                <w:b/>
                <w:color w:val="173B57"/>
              </w:rPr>
              <w:t>Users and devices</w:t>
            </w:r>
          </w:p>
        </w:tc>
        <w:tc>
          <w:tcPr>
            <w:tcW w:type="dxa" w:w="6984"/>
            <w:shd w:fill="DDECF3"/>
            <w:tcMar>
              <w:top w:w="140" w:type="dxa"/>
              <w:start w:w="150" w:type="dxa"/>
              <w:bottom w:w="140" w:type="dxa"/>
              <w:end w:w="150" w:type="dxa"/>
            </w:tcMar>
            <w:vAlign w:val="center"/>
          </w:tcPr>
          <w:p>
            <w:r>
              <w:t>Thai/English desktop browsers and handheld scan workflows</w:t>
            </w:r>
          </w:p>
        </w:tc>
      </w:tr>
      <w:tr>
        <w:trPr>
          <w:cantSplit/>
        </w:trPr>
        <w:tc>
          <w:tcPr>
            <w:tcW w:type="dxa" w:w="2376"/>
            <w:shd w:fill="D4EAF0"/>
            <w:tcMar>
              <w:top w:w="140" w:type="dxa"/>
              <w:start w:w="150" w:type="dxa"/>
              <w:bottom w:w="140" w:type="dxa"/>
              <w:end w:w="150" w:type="dxa"/>
            </w:tcMar>
            <w:vAlign w:val="center"/>
          </w:tcPr>
          <w:p>
            <w:pPr>
              <w:jc w:val="center"/>
            </w:pPr>
            <w:r>
              <w:rPr>
                <w:b/>
                <w:color w:val="173B57"/>
              </w:rPr>
              <w:t>Web application</w:t>
            </w:r>
          </w:p>
        </w:tc>
        <w:tc>
          <w:tcPr>
            <w:tcW w:type="dxa" w:w="6984"/>
            <w:shd w:fill="D4EAF0"/>
            <w:tcMar>
              <w:top w:w="140" w:type="dxa"/>
              <w:start w:w="150" w:type="dxa"/>
              <w:bottom w:w="140" w:type="dxa"/>
              <w:end w:w="150" w:type="dxa"/>
            </w:tcMar>
            <w:vAlign w:val="center"/>
          </w:tcPr>
          <w:p>
            <w:r>
              <w:t>Next.js App Router + React; routes compose feature UI</w:t>
            </w:r>
          </w:p>
        </w:tc>
      </w:tr>
      <w:tr>
        <w:trPr>
          <w:cantSplit/>
        </w:trPr>
        <w:tc>
          <w:tcPr>
            <w:tcW w:type="dxa" w:w="2376"/>
            <w:shd w:fill="C6E4E7"/>
            <w:tcMar>
              <w:top w:w="140" w:type="dxa"/>
              <w:start w:w="150" w:type="dxa"/>
              <w:bottom w:w="140" w:type="dxa"/>
              <w:end w:w="150" w:type="dxa"/>
            </w:tcMar>
            <w:vAlign w:val="center"/>
          </w:tcPr>
          <w:p>
            <w:pPr>
              <w:jc w:val="center"/>
            </w:pPr>
            <w:r>
              <w:rPr>
                <w:b/>
                <w:color w:val="173B57"/>
              </w:rPr>
              <w:t>Identity and context</w:t>
            </w:r>
          </w:p>
        </w:tc>
        <w:tc>
          <w:tcPr>
            <w:tcW w:type="dxa" w:w="6984"/>
            <w:shd w:fill="C6E4E7"/>
            <w:tcMar>
              <w:top w:w="140" w:type="dxa"/>
              <w:start w:w="150" w:type="dxa"/>
              <w:bottom w:w="140" w:type="dxa"/>
              <w:end w:w="150" w:type="dxa"/>
            </w:tcMar>
            <w:vAlign w:val="center"/>
          </w:tcPr>
          <w:p>
            <w:r>
              <w:t>Clerk session → active organization → warehouse scope</w:t>
            </w:r>
          </w:p>
        </w:tc>
      </w:tr>
      <w:tr>
        <w:trPr>
          <w:cantSplit/>
        </w:trPr>
        <w:tc>
          <w:tcPr>
            <w:tcW w:type="dxa" w:w="2376"/>
            <w:shd w:fill="B7DCDE"/>
            <w:tcMar>
              <w:top w:w="140" w:type="dxa"/>
              <w:start w:w="150" w:type="dxa"/>
              <w:bottom w:w="140" w:type="dxa"/>
              <w:end w:w="150" w:type="dxa"/>
            </w:tcMar>
            <w:vAlign w:val="center"/>
          </w:tcPr>
          <w:p>
            <w:pPr>
              <w:jc w:val="center"/>
            </w:pPr>
            <w:r>
              <w:rPr>
                <w:b/>
                <w:color w:val="173B57"/>
              </w:rPr>
              <w:t>Backend boundary</w:t>
            </w:r>
          </w:p>
        </w:tc>
        <w:tc>
          <w:tcPr>
            <w:tcW w:type="dxa" w:w="6984"/>
            <w:shd w:fill="B7DCDE"/>
            <w:tcMar>
              <w:top w:w="140" w:type="dxa"/>
              <w:start w:w="150" w:type="dxa"/>
              <w:bottom w:w="140" w:type="dxa"/>
              <w:end w:w="150" w:type="dxa"/>
            </w:tcMar>
            <w:vAlign w:val="center"/>
          </w:tcPr>
          <w:p>
            <w:r>
              <w:t>Convex query/mutation/action validates, authorizes and resolves tenant</w:t>
            </w:r>
          </w:p>
        </w:tc>
      </w:tr>
      <w:tr>
        <w:trPr>
          <w:cantSplit/>
        </w:trPr>
        <w:tc>
          <w:tcPr>
            <w:tcW w:type="dxa" w:w="2376"/>
            <w:shd w:fill="A8D1D4"/>
            <w:tcMar>
              <w:top w:w="140" w:type="dxa"/>
              <w:start w:w="150" w:type="dxa"/>
              <w:bottom w:w="140" w:type="dxa"/>
              <w:end w:w="150" w:type="dxa"/>
            </w:tcMar>
            <w:vAlign w:val="center"/>
          </w:tcPr>
          <w:p>
            <w:pPr>
              <w:jc w:val="center"/>
            </w:pPr>
            <w:r>
              <w:rPr>
                <w:b/>
                <w:color w:val="173B57"/>
              </w:rPr>
              <w:t>Business rules</w:t>
            </w:r>
          </w:p>
        </w:tc>
        <w:tc>
          <w:tcPr>
            <w:tcW w:type="dxa" w:w="6984"/>
            <w:shd w:fill="A8D1D4"/>
            <w:tcMar>
              <w:top w:w="140" w:type="dxa"/>
              <w:start w:w="150" w:type="dxa"/>
              <w:bottom w:w="140" w:type="dxa"/>
              <w:end w:w="150" w:type="dxa"/>
            </w:tcMar>
            <w:vAlign w:val="center"/>
          </w:tcPr>
          <w:p>
            <w:r>
              <w:t>Pure TypeScript modules: quantities, UOM, GS1, ledger, rotation, dates</w:t>
            </w:r>
          </w:p>
        </w:tc>
      </w:tr>
      <w:tr>
        <w:trPr>
          <w:cantSplit/>
        </w:trPr>
        <w:tc>
          <w:tcPr>
            <w:tcW w:type="dxa" w:w="2376"/>
            <w:shd w:fill="99C6CB"/>
            <w:tcMar>
              <w:top w:w="140" w:type="dxa"/>
              <w:start w:w="150" w:type="dxa"/>
              <w:bottom w:w="140" w:type="dxa"/>
              <w:end w:w="150" w:type="dxa"/>
            </w:tcMar>
            <w:vAlign w:val="center"/>
          </w:tcPr>
          <w:p>
            <w:pPr>
              <w:jc w:val="center"/>
            </w:pPr>
            <w:r>
              <w:rPr>
                <w:b/>
                <w:color w:val="173B57"/>
              </w:rPr>
              <w:t>Data and evidence</w:t>
            </w:r>
          </w:p>
        </w:tc>
        <w:tc>
          <w:tcPr>
            <w:tcW w:type="dxa" w:w="6984"/>
            <w:shd w:fill="99C6CB"/>
            <w:tcMar>
              <w:top w:w="140" w:type="dxa"/>
              <w:start w:w="150" w:type="dxa"/>
              <w:bottom w:w="140" w:type="dxa"/>
              <w:end w:w="150" w:type="dxa"/>
            </w:tcMar>
            <w:vAlign w:val="center"/>
          </w:tcPr>
          <w:p>
            <w:r>
              <w:t>Tenant tables, append-only ledger/audit, balance projections, jobs and files</w:t>
            </w:r>
          </w:p>
        </w:tc>
      </w:tr>
    </w:tbl>
    <w:p/>
    <w:p>
      <w:r>
        <w:t>The browser is never authoritative. Clerk establishes identity and active organization context. Convex validates that identity, resolves tenant and warehouse access, enforces a code-owned permission, and only then exposes tenant-bound data access. Pure TypeScript modules contain deterministic business rules and do not import Convex.</w:t>
      </w:r>
    </w:p>
    <w:p>
      <w:pPr>
        <w:pStyle w:val="Heading2"/>
        <w:keepNext/>
      </w:pPr>
      <w:r>
        <w:t>Pinned technology stack</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213"/>
            <w:shd w:fill="173B57"/>
            <w:tcMar>
              <w:top w:w="100" w:type="dxa"/>
              <w:start w:w="120" w:type="dxa"/>
              <w:bottom w:w="100" w:type="dxa"/>
              <w:end w:w="120" w:type="dxa"/>
            </w:tcMar>
            <w:vAlign w:val="center"/>
          </w:tcPr>
          <w:p>
            <w:pPr>
              <w:jc w:val="left"/>
            </w:pPr>
            <w:r>
              <w:rPr>
                <w:b/>
                <w:color w:val="FFFFFF"/>
                <w:sz w:val="17"/>
              </w:rPr>
              <w:t>Concern</w:t>
            </w:r>
          </w:p>
        </w:tc>
        <w:tc>
          <w:tcPr>
            <w:tcW w:type="dxa" w:w="3213"/>
            <w:shd w:fill="173B57"/>
            <w:tcMar>
              <w:top w:w="100" w:type="dxa"/>
              <w:start w:w="120" w:type="dxa"/>
              <w:bottom w:w="100" w:type="dxa"/>
              <w:end w:w="120" w:type="dxa"/>
            </w:tcMar>
            <w:vAlign w:val="center"/>
          </w:tcPr>
          <w:p>
            <w:pPr>
              <w:jc w:val="left"/>
            </w:pPr>
            <w:r>
              <w:rPr>
                <w:b/>
                <w:color w:val="FFFFFF"/>
                <w:sz w:val="17"/>
              </w:rPr>
              <w:t>Technology</w:t>
            </w:r>
          </w:p>
        </w:tc>
        <w:tc>
          <w:tcPr>
            <w:tcW w:type="dxa" w:w="3213"/>
            <w:shd w:fill="173B57"/>
            <w:tcMar>
              <w:top w:w="100" w:type="dxa"/>
              <w:start w:w="120" w:type="dxa"/>
              <w:bottom w:w="100" w:type="dxa"/>
              <w:end w:w="120" w:type="dxa"/>
            </w:tcMar>
            <w:vAlign w:val="center"/>
          </w:tcPr>
          <w:p>
            <w:pPr>
              <w:jc w:val="left"/>
            </w:pPr>
            <w:r>
              <w:rPr>
                <w:b/>
                <w:color w:val="FFFFFF"/>
                <w:sz w:val="17"/>
              </w:rPr>
              <w:t>Version / note</w:t>
            </w:r>
          </w:p>
        </w:tc>
      </w:tr>
      <w:tr>
        <w:trPr>
          <w:cantSplit/>
        </w:trPr>
        <w:tc>
          <w:tcPr>
            <w:tcW w:type="dxa" w:w="3213"/>
            <w:tcMar>
              <w:top w:w="100" w:type="dxa"/>
              <w:start w:w="120" w:type="dxa"/>
              <w:bottom w:w="100" w:type="dxa"/>
              <w:end w:w="120" w:type="dxa"/>
            </w:tcMar>
          </w:tcPr>
          <w:p>
            <w:pPr>
              <w:spacing w:after="0"/>
            </w:pPr>
            <w:r>
              <w:rPr>
                <w:sz w:val="17"/>
              </w:rPr>
              <w:t>Web</w:t>
            </w:r>
          </w:p>
        </w:tc>
        <w:tc>
          <w:tcPr>
            <w:tcW w:type="dxa" w:w="3213"/>
            <w:tcMar>
              <w:top w:w="100" w:type="dxa"/>
              <w:start w:w="120" w:type="dxa"/>
              <w:bottom w:w="100" w:type="dxa"/>
              <w:end w:w="120" w:type="dxa"/>
            </w:tcMar>
          </w:tcPr>
          <w:p>
            <w:pPr>
              <w:spacing w:after="0"/>
            </w:pPr>
            <w:r>
              <w:rPr>
                <w:sz w:val="17"/>
              </w:rPr>
              <w:t>Next.js App Router</w:t>
            </w:r>
          </w:p>
        </w:tc>
        <w:tc>
          <w:tcPr>
            <w:tcW w:type="dxa" w:w="3213"/>
            <w:tcMar>
              <w:top w:w="100" w:type="dxa"/>
              <w:start w:w="120" w:type="dxa"/>
              <w:bottom w:w="100" w:type="dxa"/>
              <w:end w:w="120" w:type="dxa"/>
            </w:tcMar>
          </w:tcPr>
          <w:p>
            <w:pPr>
              <w:spacing w:after="0"/>
            </w:pPr>
            <w:r>
              <w:rPr>
                <w:sz w:val="17"/>
              </w:rPr>
              <w:t>16.2.12</w:t>
            </w:r>
          </w:p>
        </w:tc>
      </w:tr>
      <w:tr>
        <w:trPr>
          <w:cantSplit/>
        </w:trPr>
        <w:tc>
          <w:tcPr>
            <w:tcW w:type="dxa" w:w="3213"/>
            <w:tcMar>
              <w:top w:w="100" w:type="dxa"/>
              <w:start w:w="120" w:type="dxa"/>
              <w:bottom w:w="100" w:type="dxa"/>
              <w:end w:w="120" w:type="dxa"/>
            </w:tcMar>
            <w:shd w:fill="F3F5F7"/>
          </w:tcPr>
          <w:p>
            <w:pPr>
              <w:spacing w:after="0"/>
            </w:pPr>
            <w:r>
              <w:rPr>
                <w:sz w:val="17"/>
              </w:rPr>
              <w:t>UI runtime</w:t>
            </w:r>
          </w:p>
        </w:tc>
        <w:tc>
          <w:tcPr>
            <w:tcW w:type="dxa" w:w="3213"/>
            <w:tcMar>
              <w:top w:w="100" w:type="dxa"/>
              <w:start w:w="120" w:type="dxa"/>
              <w:bottom w:w="100" w:type="dxa"/>
              <w:end w:w="120" w:type="dxa"/>
            </w:tcMar>
            <w:shd w:fill="F3F5F7"/>
          </w:tcPr>
          <w:p>
            <w:pPr>
              <w:spacing w:after="0"/>
            </w:pPr>
            <w:r>
              <w:rPr>
                <w:sz w:val="17"/>
              </w:rPr>
              <w:t>React / React DOM</w:t>
            </w:r>
          </w:p>
        </w:tc>
        <w:tc>
          <w:tcPr>
            <w:tcW w:type="dxa" w:w="3213"/>
            <w:tcMar>
              <w:top w:w="100" w:type="dxa"/>
              <w:start w:w="120" w:type="dxa"/>
              <w:bottom w:w="100" w:type="dxa"/>
              <w:end w:w="120" w:type="dxa"/>
            </w:tcMar>
            <w:shd w:fill="F3F5F7"/>
          </w:tcPr>
          <w:p>
            <w:pPr>
              <w:spacing w:after="0"/>
            </w:pPr>
            <w:r>
              <w:rPr>
                <w:sz w:val="17"/>
              </w:rPr>
              <w:t>19.2.8</w:t>
            </w:r>
          </w:p>
        </w:tc>
      </w:tr>
      <w:tr>
        <w:trPr>
          <w:cantSplit/>
        </w:trPr>
        <w:tc>
          <w:tcPr>
            <w:tcW w:type="dxa" w:w="3213"/>
            <w:tcMar>
              <w:top w:w="100" w:type="dxa"/>
              <w:start w:w="120" w:type="dxa"/>
              <w:bottom w:w="100" w:type="dxa"/>
              <w:end w:w="120" w:type="dxa"/>
            </w:tcMar>
          </w:tcPr>
          <w:p>
            <w:pPr>
              <w:spacing w:after="0"/>
            </w:pPr>
            <w:r>
              <w:rPr>
                <w:sz w:val="17"/>
              </w:rPr>
              <w:t>Language</w:t>
            </w:r>
          </w:p>
        </w:tc>
        <w:tc>
          <w:tcPr>
            <w:tcW w:type="dxa" w:w="3213"/>
            <w:tcMar>
              <w:top w:w="100" w:type="dxa"/>
              <w:start w:w="120" w:type="dxa"/>
              <w:bottom w:w="100" w:type="dxa"/>
              <w:end w:w="120" w:type="dxa"/>
            </w:tcMar>
          </w:tcPr>
          <w:p>
            <w:pPr>
              <w:spacing w:after="0"/>
            </w:pPr>
            <w:r>
              <w:rPr>
                <w:sz w:val="17"/>
              </w:rPr>
              <w:t>TypeScript</w:t>
            </w:r>
          </w:p>
        </w:tc>
        <w:tc>
          <w:tcPr>
            <w:tcW w:type="dxa" w:w="3213"/>
            <w:tcMar>
              <w:top w:w="100" w:type="dxa"/>
              <w:start w:w="120" w:type="dxa"/>
              <w:bottom w:w="100" w:type="dxa"/>
              <w:end w:w="120" w:type="dxa"/>
            </w:tcMar>
          </w:tcPr>
          <w:p>
            <w:pPr>
              <w:spacing w:after="0"/>
            </w:pPr>
            <w:r>
              <w:rPr>
                <w:sz w:val="17"/>
              </w:rPr>
              <w:t>6.0.3; strict type checking</w:t>
            </w:r>
          </w:p>
        </w:tc>
      </w:tr>
      <w:tr>
        <w:trPr>
          <w:cantSplit/>
        </w:trPr>
        <w:tc>
          <w:tcPr>
            <w:tcW w:type="dxa" w:w="3213"/>
            <w:tcMar>
              <w:top w:w="100" w:type="dxa"/>
              <w:start w:w="120" w:type="dxa"/>
              <w:bottom w:w="100" w:type="dxa"/>
              <w:end w:w="120" w:type="dxa"/>
            </w:tcMar>
            <w:shd w:fill="F3F5F7"/>
          </w:tcPr>
          <w:p>
            <w:pPr>
              <w:spacing w:after="0"/>
            </w:pPr>
            <w:r>
              <w:rPr>
                <w:sz w:val="17"/>
              </w:rPr>
              <w:t>Backend and realtime data</w:t>
            </w:r>
          </w:p>
        </w:tc>
        <w:tc>
          <w:tcPr>
            <w:tcW w:type="dxa" w:w="3213"/>
            <w:tcMar>
              <w:top w:w="100" w:type="dxa"/>
              <w:start w:w="120" w:type="dxa"/>
              <w:bottom w:w="100" w:type="dxa"/>
              <w:end w:w="120" w:type="dxa"/>
            </w:tcMar>
            <w:shd w:fill="F3F5F7"/>
          </w:tcPr>
          <w:p>
            <w:pPr>
              <w:spacing w:after="0"/>
            </w:pPr>
            <w:r>
              <w:rPr>
                <w:sz w:val="17"/>
              </w:rPr>
              <w:t>Convex</w:t>
            </w:r>
          </w:p>
        </w:tc>
        <w:tc>
          <w:tcPr>
            <w:tcW w:type="dxa" w:w="3213"/>
            <w:tcMar>
              <w:top w:w="100" w:type="dxa"/>
              <w:start w:w="120" w:type="dxa"/>
              <w:bottom w:w="100" w:type="dxa"/>
              <w:end w:w="120" w:type="dxa"/>
            </w:tcMar>
            <w:shd w:fill="F3F5F7"/>
          </w:tcPr>
          <w:p>
            <w:pPr>
              <w:spacing w:after="0"/>
            </w:pPr>
            <w:r>
              <w:rPr>
                <w:sz w:val="17"/>
              </w:rPr>
              <w:t>1.43.0</w:t>
            </w:r>
          </w:p>
        </w:tc>
      </w:tr>
      <w:tr>
        <w:trPr>
          <w:cantSplit/>
        </w:trPr>
        <w:tc>
          <w:tcPr>
            <w:tcW w:type="dxa" w:w="3213"/>
            <w:tcMar>
              <w:top w:w="100" w:type="dxa"/>
              <w:start w:w="120" w:type="dxa"/>
              <w:bottom w:w="100" w:type="dxa"/>
              <w:end w:w="120" w:type="dxa"/>
            </w:tcMar>
          </w:tcPr>
          <w:p>
            <w:pPr>
              <w:spacing w:after="0"/>
            </w:pPr>
            <w:r>
              <w:rPr>
                <w:sz w:val="17"/>
              </w:rPr>
              <w:t>Identity</w:t>
            </w:r>
          </w:p>
        </w:tc>
        <w:tc>
          <w:tcPr>
            <w:tcW w:type="dxa" w:w="3213"/>
            <w:tcMar>
              <w:top w:w="100" w:type="dxa"/>
              <w:start w:w="120" w:type="dxa"/>
              <w:bottom w:w="100" w:type="dxa"/>
              <w:end w:w="120" w:type="dxa"/>
            </w:tcMar>
          </w:tcPr>
          <w:p>
            <w:pPr>
              <w:spacing w:after="0"/>
            </w:pPr>
            <w:r>
              <w:rPr>
                <w:sz w:val="17"/>
              </w:rPr>
              <w:t>Clerk</w:t>
            </w:r>
          </w:p>
        </w:tc>
        <w:tc>
          <w:tcPr>
            <w:tcW w:type="dxa" w:w="3213"/>
            <w:tcMar>
              <w:top w:w="100" w:type="dxa"/>
              <w:start w:w="120" w:type="dxa"/>
              <w:bottom w:w="100" w:type="dxa"/>
              <w:end w:w="120" w:type="dxa"/>
            </w:tcMar>
          </w:tcPr>
          <w:p>
            <w:pPr>
              <w:spacing w:after="0"/>
            </w:pPr>
            <w:r>
              <w:rPr>
                <w:sz w:val="17"/>
              </w:rPr>
              <w:t>Next.js 7.7.4; backend 3.16.4</w:t>
            </w:r>
          </w:p>
        </w:tc>
      </w:tr>
      <w:tr>
        <w:trPr>
          <w:cantSplit/>
        </w:trPr>
        <w:tc>
          <w:tcPr>
            <w:tcW w:type="dxa" w:w="3213"/>
            <w:tcMar>
              <w:top w:w="100" w:type="dxa"/>
              <w:start w:w="120" w:type="dxa"/>
              <w:bottom w:w="100" w:type="dxa"/>
              <w:end w:w="120" w:type="dxa"/>
            </w:tcMar>
            <w:shd w:fill="F3F5F7"/>
          </w:tcPr>
          <w:p>
            <w:pPr>
              <w:spacing w:after="0"/>
            </w:pPr>
            <w:r>
              <w:rPr>
                <w:sz w:val="17"/>
              </w:rPr>
              <w:t>Localization</w:t>
            </w:r>
          </w:p>
        </w:tc>
        <w:tc>
          <w:tcPr>
            <w:tcW w:type="dxa" w:w="3213"/>
            <w:tcMar>
              <w:top w:w="100" w:type="dxa"/>
              <w:start w:w="120" w:type="dxa"/>
              <w:bottom w:w="100" w:type="dxa"/>
              <w:end w:w="120" w:type="dxa"/>
            </w:tcMar>
            <w:shd w:fill="F3F5F7"/>
          </w:tcPr>
          <w:p>
            <w:pPr>
              <w:spacing w:after="0"/>
            </w:pPr>
            <w:r>
              <w:rPr>
                <w:sz w:val="17"/>
              </w:rPr>
              <w:t>next-intl</w:t>
            </w:r>
          </w:p>
        </w:tc>
        <w:tc>
          <w:tcPr>
            <w:tcW w:type="dxa" w:w="3213"/>
            <w:tcMar>
              <w:top w:w="100" w:type="dxa"/>
              <w:start w:w="120" w:type="dxa"/>
              <w:bottom w:w="100" w:type="dxa"/>
              <w:end w:w="120" w:type="dxa"/>
            </w:tcMar>
            <w:shd w:fill="F3F5F7"/>
          </w:tcPr>
          <w:p>
            <w:pPr>
              <w:spacing w:after="0"/>
            </w:pPr>
            <w:r>
              <w:rPr>
                <w:sz w:val="17"/>
              </w:rPr>
              <w:t>4.13.4; Thai primary, English fallback</w:t>
            </w:r>
          </w:p>
        </w:tc>
      </w:tr>
      <w:tr>
        <w:trPr>
          <w:cantSplit/>
        </w:trPr>
        <w:tc>
          <w:tcPr>
            <w:tcW w:type="dxa" w:w="3213"/>
            <w:tcMar>
              <w:top w:w="100" w:type="dxa"/>
              <w:start w:w="120" w:type="dxa"/>
              <w:bottom w:w="100" w:type="dxa"/>
              <w:end w:w="120" w:type="dxa"/>
            </w:tcMar>
          </w:tcPr>
          <w:p>
            <w:pPr>
              <w:spacing w:after="0"/>
            </w:pPr>
            <w:r>
              <w:rPr>
                <w:sz w:val="17"/>
              </w:rPr>
              <w:t>Styling/components</w:t>
            </w:r>
          </w:p>
        </w:tc>
        <w:tc>
          <w:tcPr>
            <w:tcW w:type="dxa" w:w="3213"/>
            <w:tcMar>
              <w:top w:w="100" w:type="dxa"/>
              <w:start w:w="120" w:type="dxa"/>
              <w:bottom w:w="100" w:type="dxa"/>
              <w:end w:w="120" w:type="dxa"/>
            </w:tcMar>
          </w:tcPr>
          <w:p>
            <w:pPr>
              <w:spacing w:after="0"/>
            </w:pPr>
            <w:r>
              <w:rPr>
                <w:sz w:val="17"/>
              </w:rPr>
              <w:t>Tailwind CSS, shadcn, Radix UI, ReUI patterns</w:t>
            </w:r>
          </w:p>
        </w:tc>
        <w:tc>
          <w:tcPr>
            <w:tcW w:type="dxa" w:w="3213"/>
            <w:tcMar>
              <w:top w:w="100" w:type="dxa"/>
              <w:start w:w="120" w:type="dxa"/>
              <w:bottom w:w="100" w:type="dxa"/>
              <w:end w:w="120" w:type="dxa"/>
            </w:tcMar>
          </w:tcPr>
          <w:p>
            <w:pPr>
              <w:spacing w:after="0"/>
            </w:pPr>
            <w:r>
              <w:rPr>
                <w:sz w:val="17"/>
              </w:rPr>
              <w:t>Pinned dependencies</w:t>
            </w:r>
          </w:p>
        </w:tc>
      </w:tr>
      <w:tr>
        <w:trPr>
          <w:cantSplit/>
        </w:trPr>
        <w:tc>
          <w:tcPr>
            <w:tcW w:type="dxa" w:w="3213"/>
            <w:tcMar>
              <w:top w:w="100" w:type="dxa"/>
              <w:start w:w="120" w:type="dxa"/>
              <w:bottom w:w="100" w:type="dxa"/>
              <w:end w:w="120" w:type="dxa"/>
            </w:tcMar>
            <w:shd w:fill="F3F5F7"/>
          </w:tcPr>
          <w:p>
            <w:pPr>
              <w:spacing w:after="0"/>
            </w:pPr>
            <w:r>
              <w:rPr>
                <w:sz w:val="17"/>
              </w:rPr>
              <w:t>Testing</w:t>
            </w:r>
          </w:p>
        </w:tc>
        <w:tc>
          <w:tcPr>
            <w:tcW w:type="dxa" w:w="3213"/>
            <w:tcMar>
              <w:top w:w="100" w:type="dxa"/>
              <w:start w:w="120" w:type="dxa"/>
              <w:bottom w:w="100" w:type="dxa"/>
              <w:end w:w="120" w:type="dxa"/>
            </w:tcMar>
            <w:shd w:fill="F3F5F7"/>
          </w:tcPr>
          <w:p>
            <w:pPr>
              <w:spacing w:after="0"/>
            </w:pPr>
            <w:r>
              <w:rPr>
                <w:sz w:val="17"/>
              </w:rPr>
              <w:t>Vitest, fast-check, Playwright, axe</w:t>
            </w:r>
          </w:p>
        </w:tc>
        <w:tc>
          <w:tcPr>
            <w:tcW w:type="dxa" w:w="3213"/>
            <w:tcMar>
              <w:top w:w="100" w:type="dxa"/>
              <w:start w:w="120" w:type="dxa"/>
              <w:bottom w:w="100" w:type="dxa"/>
              <w:end w:w="120" w:type="dxa"/>
            </w:tcMar>
            <w:shd w:fill="F3F5F7"/>
          </w:tcPr>
          <w:p>
            <w:pPr>
              <w:spacing w:after="0"/>
            </w:pPr>
            <w:r>
              <w:rPr>
                <w:sz w:val="17"/>
              </w:rPr>
              <w:t>Six Vitest tiers + browser tests</w:t>
            </w:r>
          </w:p>
        </w:tc>
      </w:tr>
      <w:tr>
        <w:trPr>
          <w:cantSplit/>
        </w:trPr>
        <w:tc>
          <w:tcPr>
            <w:tcW w:type="dxa" w:w="3213"/>
            <w:tcMar>
              <w:top w:w="100" w:type="dxa"/>
              <w:start w:w="120" w:type="dxa"/>
              <w:bottom w:w="100" w:type="dxa"/>
              <w:end w:w="120" w:type="dxa"/>
            </w:tcMar>
          </w:tcPr>
          <w:p>
            <w:pPr>
              <w:spacing w:after="0"/>
            </w:pPr>
            <w:r>
              <w:rPr>
                <w:sz w:val="17"/>
              </w:rPr>
              <w:t>Package/runtime</w:t>
            </w:r>
          </w:p>
        </w:tc>
        <w:tc>
          <w:tcPr>
            <w:tcW w:type="dxa" w:w="3213"/>
            <w:tcMar>
              <w:top w:w="100" w:type="dxa"/>
              <w:start w:w="120" w:type="dxa"/>
              <w:bottom w:w="100" w:type="dxa"/>
              <w:end w:w="120" w:type="dxa"/>
            </w:tcMar>
          </w:tcPr>
          <w:p>
            <w:pPr>
              <w:spacing w:after="0"/>
            </w:pPr>
            <w:r>
              <w:rPr>
                <w:sz w:val="17"/>
              </w:rPr>
              <w:t>Node.js + pnpm</w:t>
            </w:r>
          </w:p>
        </w:tc>
        <w:tc>
          <w:tcPr>
            <w:tcW w:type="dxa" w:w="3213"/>
            <w:tcMar>
              <w:top w:w="100" w:type="dxa"/>
              <w:start w:w="120" w:type="dxa"/>
              <w:bottom w:w="100" w:type="dxa"/>
              <w:end w:w="120" w:type="dxa"/>
            </w:tcMar>
          </w:tcPr>
          <w:p>
            <w:pPr>
              <w:spacing w:after="0"/>
            </w:pPr>
            <w:r>
              <w:rPr>
                <w:sz w:val="17"/>
              </w:rPr>
              <w:t>Node 24.x; pnpm 10.33.2</w:t>
            </w:r>
          </w:p>
        </w:tc>
      </w:tr>
    </w:tbl>
    <w:p>
      <w:pPr>
        <w:spacing w:after="0"/>
      </w:pPr>
    </w:p>
    <w:p>
      <w:pPr>
        <w:pStyle w:val="Heading2"/>
        <w:keepNext/>
      </w:pPr>
      <w:r>
        <w:t>Core trust and data rules</w:t>
      </w:r>
    </w:p>
    <w:p>
      <w:pPr>
        <w:pStyle w:val="ListBullet"/>
      </w:pPr>
      <w:r>
        <w:t>Every tenant row requires orgId; tenant indexes begin with orgId.</w:t>
      </w:r>
    </w:p>
    <w:p>
      <w:pPr>
        <w:pStyle w:val="ListBullet"/>
      </w:pPr>
      <w:r>
        <w:t>The active tenant comes from verified identity and mirrored membership, never a client-supplied organization ID.</w:t>
      </w:r>
    </w:p>
    <w:p>
      <w:pPr>
        <w:pStyle w:val="ListBullet"/>
      </w:pPr>
      <w:r>
        <w:t>Authorization runs before data access; UI checks improve usability but never grant permission.</w:t>
      </w:r>
    </w:p>
    <w:p>
      <w:pPr>
        <w:pStyle w:val="ListBullet"/>
      </w:pPr>
      <w:r>
        <w:t>Inventory ledger facts and audit events are append-only. Corrections use reversal and replacement.</w:t>
      </w:r>
    </w:p>
    <w:p>
      <w:pPr>
        <w:pStyle w:val="ListBullet"/>
      </w:pPr>
      <w:r>
        <w:t>Balances/projections update in the same transaction as the ledger posting and can be reconciled by replay.</w:t>
      </w:r>
    </w:p>
    <w:p>
      <w:pPr>
        <w:pStyle w:val="ListBullet"/>
      </w:pPr>
      <w:r>
        <w:t>Commands are retry-safe through request IDs and idempotency checks.</w:t>
      </w:r>
    </w:p>
    <w:p>
      <w:pPr>
        <w:pStyle w:val="ListBullet"/>
      </w:pPr>
      <w:r>
        <w:t>Quantities use integer thousandths of the item’s base UOM; conversion is exact or rejected—never silently rounded.</w:t>
      </w:r>
    </w:p>
    <w:p>
      <w:pPr>
        <w:pStyle w:val="ListBullet"/>
      </w:pPr>
      <w:r>
        <w:t>Lists, imports, exports and jobs are bounded and paginated; long work is checkpointed and resumable.</w:t>
      </w:r>
    </w:p>
    <w:p>
      <w:pPr>
        <w:pStyle w:val="ListBullet"/>
      </w:pPr>
      <w:r>
        <w:t>Files are intended to be private, with permission checks and short-lived access; vendor wiring is not production-ready.</w:t>
      </w:r>
    </w:p>
    <w:p>
      <w:pPr>
        <w:pStyle w:val="Heading2"/>
        <w:keepNext/>
      </w:pPr>
      <w:r>
        <w:t>External systems and boundaries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213"/>
            <w:shd w:fill="173B57"/>
            <w:tcMar>
              <w:top w:w="100" w:type="dxa"/>
              <w:start w:w="120" w:type="dxa"/>
              <w:bottom w:w="100" w:type="dxa"/>
              <w:end w:w="120" w:type="dxa"/>
            </w:tcMar>
            <w:vAlign w:val="center"/>
          </w:tcPr>
          <w:p>
            <w:pPr>
              <w:jc w:val="left"/>
            </w:pPr>
            <w:r>
              <w:rPr>
                <w:b/>
                <w:color w:val="FFFFFF"/>
                <w:sz w:val="17"/>
              </w:rPr>
              <w:t>System / port</w:t>
            </w:r>
          </w:p>
        </w:tc>
        <w:tc>
          <w:tcPr>
            <w:tcW w:type="dxa" w:w="3213"/>
            <w:shd w:fill="173B57"/>
            <w:tcMar>
              <w:top w:w="100" w:type="dxa"/>
              <w:start w:w="120" w:type="dxa"/>
              <w:bottom w:w="100" w:type="dxa"/>
              <w:end w:w="120" w:type="dxa"/>
            </w:tcMar>
            <w:vAlign w:val="center"/>
          </w:tcPr>
          <w:p>
            <w:pPr>
              <w:jc w:val="left"/>
            </w:pPr>
            <w:r>
              <w:rPr>
                <w:b/>
                <w:color w:val="FFFFFF"/>
                <w:sz w:val="17"/>
              </w:rPr>
              <w:t>Role</w:t>
            </w:r>
          </w:p>
        </w:tc>
        <w:tc>
          <w:tcPr>
            <w:tcW w:type="dxa" w:w="3213"/>
            <w:shd w:fill="173B57"/>
            <w:tcMar>
              <w:top w:w="100" w:type="dxa"/>
              <w:start w:w="120" w:type="dxa"/>
              <w:bottom w:w="100" w:type="dxa"/>
              <w:end w:w="120" w:type="dxa"/>
            </w:tcMar>
            <w:vAlign w:val="center"/>
          </w:tcPr>
          <w:p>
            <w:pPr>
              <w:jc w:val="left"/>
            </w:pPr>
            <w:r>
              <w:rPr>
                <w:b/>
                <w:color w:val="FFFFFF"/>
                <w:sz w:val="17"/>
              </w:rPr>
              <w:t>Current caveat</w:t>
            </w:r>
          </w:p>
        </w:tc>
      </w:tr>
      <w:tr>
        <w:trPr>
          <w:cantSplit/>
        </w:trPr>
        <w:tc>
          <w:tcPr>
            <w:tcW w:type="dxa" w:w="3213"/>
            <w:tcMar>
              <w:top w:w="100" w:type="dxa"/>
              <w:start w:w="120" w:type="dxa"/>
              <w:bottom w:w="100" w:type="dxa"/>
              <w:end w:w="120" w:type="dxa"/>
            </w:tcMar>
          </w:tcPr>
          <w:p>
            <w:pPr>
              <w:spacing w:after="0"/>
            </w:pPr>
            <w:r>
              <w:rPr>
                <w:sz w:val="17"/>
              </w:rPr>
              <w:t>Clerk</w:t>
            </w:r>
          </w:p>
        </w:tc>
        <w:tc>
          <w:tcPr>
            <w:tcW w:type="dxa" w:w="3213"/>
            <w:tcMar>
              <w:top w:w="100" w:type="dxa"/>
              <w:start w:w="120" w:type="dxa"/>
              <w:bottom w:w="100" w:type="dxa"/>
              <w:end w:w="120" w:type="dxa"/>
            </w:tcMar>
          </w:tcPr>
          <w:p>
            <w:pPr>
              <w:spacing w:after="0"/>
            </w:pPr>
            <w:r>
              <w:rPr>
                <w:sz w:val="17"/>
              </w:rPr>
              <w:t>Identity, sessions and organization membership source</w:t>
            </w:r>
          </w:p>
        </w:tc>
        <w:tc>
          <w:tcPr>
            <w:tcW w:type="dxa" w:w="3213"/>
            <w:tcMar>
              <w:top w:w="100" w:type="dxa"/>
              <w:start w:w="120" w:type="dxa"/>
              <w:bottom w:w="100" w:type="dxa"/>
              <w:end w:w="120" w:type="dxa"/>
            </w:tcMar>
          </w:tcPr>
          <w:p>
            <w:pPr>
              <w:spacing w:after="0"/>
            </w:pPr>
            <w:r>
              <w:rPr>
                <w:sz w:val="17"/>
              </w:rPr>
              <w:t>Each environment needs a separate instance; production proof is open</w:t>
            </w:r>
          </w:p>
        </w:tc>
      </w:tr>
      <w:tr>
        <w:trPr>
          <w:cantSplit/>
        </w:trPr>
        <w:tc>
          <w:tcPr>
            <w:tcW w:type="dxa" w:w="3213"/>
            <w:tcMar>
              <w:top w:w="100" w:type="dxa"/>
              <w:start w:w="120" w:type="dxa"/>
              <w:bottom w:w="100" w:type="dxa"/>
              <w:end w:w="120" w:type="dxa"/>
            </w:tcMar>
            <w:shd w:fill="F3F5F7"/>
          </w:tcPr>
          <w:p>
            <w:pPr>
              <w:spacing w:after="0"/>
            </w:pPr>
            <w:r>
              <w:rPr>
                <w:sz w:val="17"/>
              </w:rPr>
              <w:t>Convex</w:t>
            </w:r>
          </w:p>
        </w:tc>
        <w:tc>
          <w:tcPr>
            <w:tcW w:type="dxa" w:w="3213"/>
            <w:tcMar>
              <w:top w:w="100" w:type="dxa"/>
              <w:start w:w="120" w:type="dxa"/>
              <w:bottom w:w="100" w:type="dxa"/>
              <w:end w:w="120" w:type="dxa"/>
            </w:tcMar>
            <w:shd w:fill="F3F5F7"/>
          </w:tcPr>
          <w:p>
            <w:pPr>
              <w:spacing w:after="0"/>
            </w:pPr>
            <w:r>
              <w:rPr>
                <w:sz w:val="17"/>
              </w:rPr>
              <w:t>Functions, realtime data, transactions and schema</w:t>
            </w:r>
          </w:p>
        </w:tc>
        <w:tc>
          <w:tcPr>
            <w:tcW w:type="dxa" w:w="3213"/>
            <w:tcMar>
              <w:top w:w="100" w:type="dxa"/>
              <w:start w:w="120" w:type="dxa"/>
              <w:bottom w:w="100" w:type="dxa"/>
              <w:end w:w="120" w:type="dxa"/>
            </w:tcMar>
            <w:shd w:fill="F3F5F7"/>
          </w:tcPr>
          <w:p>
            <w:pPr>
              <w:spacing w:after="0"/>
            </w:pPr>
            <w:r>
              <w:rPr>
                <w:sz w:val="17"/>
              </w:rPr>
              <w:t>Each environment needs a separate deployment; region/sizing require evidence</w:t>
            </w:r>
          </w:p>
        </w:tc>
      </w:tr>
      <w:tr>
        <w:trPr>
          <w:cantSplit/>
        </w:trPr>
        <w:tc>
          <w:tcPr>
            <w:tcW w:type="dxa" w:w="3213"/>
            <w:tcMar>
              <w:top w:w="100" w:type="dxa"/>
              <w:start w:w="120" w:type="dxa"/>
              <w:bottom w:w="100" w:type="dxa"/>
              <w:end w:w="120" w:type="dxa"/>
            </w:tcMar>
          </w:tcPr>
          <w:p>
            <w:pPr>
              <w:spacing w:after="0"/>
            </w:pPr>
            <w:r>
              <w:rPr>
                <w:sz w:val="17"/>
              </w:rPr>
              <w:t>FileStoragePort / UploadThing</w:t>
            </w:r>
          </w:p>
        </w:tc>
        <w:tc>
          <w:tcPr>
            <w:tcW w:type="dxa" w:w="3213"/>
            <w:tcMar>
              <w:top w:w="100" w:type="dxa"/>
              <w:start w:w="120" w:type="dxa"/>
              <w:bottom w:w="100" w:type="dxa"/>
              <w:end w:w="120" w:type="dxa"/>
            </w:tcMar>
          </w:tcPr>
          <w:p>
            <w:pPr>
              <w:spacing w:after="0"/>
            </w:pPr>
            <w:r>
              <w:rPr>
                <w:sz w:val="17"/>
              </w:rPr>
              <w:t>Private engineering files and export artifacts</w:t>
            </w:r>
          </w:p>
        </w:tc>
        <w:tc>
          <w:tcPr>
            <w:tcW w:type="dxa" w:w="3213"/>
            <w:tcMar>
              <w:top w:w="100" w:type="dxa"/>
              <w:start w:w="120" w:type="dxa"/>
              <w:bottom w:w="100" w:type="dxa"/>
              <w:end w:w="120" w:type="dxa"/>
            </w:tcMar>
          </w:tcPr>
          <w:p>
            <w:pPr>
              <w:spacing w:after="0"/>
            </w:pPr>
            <w:r>
              <w:rPr>
                <w:sz w:val="17"/>
              </w:rPr>
              <w:t>Production private ACL and signed-download path remain open</w:t>
            </w:r>
          </w:p>
        </w:tc>
      </w:tr>
      <w:tr>
        <w:trPr>
          <w:cantSplit/>
        </w:trPr>
        <w:tc>
          <w:tcPr>
            <w:tcW w:type="dxa" w:w="3213"/>
            <w:tcMar>
              <w:top w:w="100" w:type="dxa"/>
              <w:start w:w="120" w:type="dxa"/>
              <w:bottom w:w="100" w:type="dxa"/>
              <w:end w:w="120" w:type="dxa"/>
            </w:tcMar>
            <w:shd w:fill="F3F5F7"/>
          </w:tcPr>
          <w:p>
            <w:pPr>
              <w:spacing w:after="0"/>
            </w:pPr>
            <w:r>
              <w:rPr>
                <w:sz w:val="17"/>
              </w:rPr>
              <w:t>PrinterTransportPort</w:t>
            </w:r>
          </w:p>
        </w:tc>
        <w:tc>
          <w:tcPr>
            <w:tcW w:type="dxa" w:w="3213"/>
            <w:tcMar>
              <w:top w:w="100" w:type="dxa"/>
              <w:start w:w="120" w:type="dxa"/>
              <w:bottom w:w="100" w:type="dxa"/>
              <w:end w:w="120" w:type="dxa"/>
            </w:tcMar>
            <w:shd w:fill="F3F5F7"/>
          </w:tcPr>
          <w:p>
            <w:pPr>
              <w:spacing w:after="0"/>
            </w:pPr>
            <w:r>
              <w:rPr>
                <w:sz w:val="17"/>
              </w:rPr>
              <w:t>Deliver versioned ZPL/PDF label payloads</w:t>
            </w:r>
          </w:p>
        </w:tc>
        <w:tc>
          <w:tcPr>
            <w:tcW w:type="dxa" w:w="3213"/>
            <w:tcMar>
              <w:top w:w="100" w:type="dxa"/>
              <w:start w:w="120" w:type="dxa"/>
              <w:bottom w:w="100" w:type="dxa"/>
              <w:end w:w="120" w:type="dxa"/>
            </w:tcMar>
            <w:shd w:fill="F3F5F7"/>
          </w:tcPr>
          <w:p>
            <w:pPr>
              <w:spacing w:after="0"/>
            </w:pPr>
            <w:r>
              <w:rPr>
                <w:sz w:val="17"/>
              </w:rPr>
              <w:t>No physical printer transport or handling test yet</w:t>
            </w:r>
          </w:p>
        </w:tc>
      </w:tr>
      <w:tr>
        <w:trPr>
          <w:cantSplit/>
        </w:trPr>
        <w:tc>
          <w:tcPr>
            <w:tcW w:type="dxa" w:w="3213"/>
            <w:tcMar>
              <w:top w:w="100" w:type="dxa"/>
              <w:start w:w="120" w:type="dxa"/>
              <w:bottom w:w="100" w:type="dxa"/>
              <w:end w:w="120" w:type="dxa"/>
            </w:tcMar>
          </w:tcPr>
          <w:p>
            <w:pPr>
              <w:spacing w:after="0"/>
            </w:pPr>
            <w:r>
              <w:rPr>
                <w:sz w:val="17"/>
              </w:rPr>
              <w:t>JobQueuePort</w:t>
            </w:r>
          </w:p>
        </w:tc>
        <w:tc>
          <w:tcPr>
            <w:tcW w:type="dxa" w:w="3213"/>
            <w:tcMar>
              <w:top w:w="100" w:type="dxa"/>
              <w:start w:w="120" w:type="dxa"/>
              <w:bottom w:w="100" w:type="dxa"/>
              <w:end w:w="120" w:type="dxa"/>
            </w:tcMar>
          </w:tcPr>
          <w:p>
            <w:pPr>
              <w:spacing w:after="0"/>
            </w:pPr>
            <w:r>
              <w:rPr>
                <w:sz w:val="17"/>
              </w:rPr>
              <w:t>Scheduled/retryable imports, exports, expiry and reconciliation</w:t>
            </w:r>
          </w:p>
        </w:tc>
        <w:tc>
          <w:tcPr>
            <w:tcW w:type="dxa" w:w="3213"/>
            <w:tcMar>
              <w:top w:w="100" w:type="dxa"/>
              <w:start w:w="120" w:type="dxa"/>
              <w:bottom w:w="100" w:type="dxa"/>
              <w:end w:w="120" w:type="dxa"/>
            </w:tcMar>
          </w:tcPr>
          <w:p>
            <w:pPr>
              <w:spacing w:after="0"/>
            </w:pPr>
            <w:r>
              <w:rPr>
                <w:sz w:val="17"/>
              </w:rPr>
              <w:t>Drivers exist; no production scheduler is connected</w:t>
            </w:r>
          </w:p>
        </w:tc>
      </w:tr>
      <w:tr>
        <w:trPr>
          <w:cantSplit/>
        </w:trPr>
        <w:tc>
          <w:tcPr>
            <w:tcW w:type="dxa" w:w="3213"/>
            <w:tcMar>
              <w:top w:w="100" w:type="dxa"/>
              <w:start w:w="120" w:type="dxa"/>
              <w:bottom w:w="100" w:type="dxa"/>
              <w:end w:w="120" w:type="dxa"/>
            </w:tcMar>
            <w:shd w:fill="F3F5F7"/>
          </w:tcPr>
          <w:p>
            <w:pPr>
              <w:spacing w:after="0"/>
            </w:pPr>
            <w:r>
              <w:rPr>
                <w:sz w:val="17"/>
              </w:rPr>
              <w:t>ObservabilityPort</w:t>
            </w:r>
          </w:p>
        </w:tc>
        <w:tc>
          <w:tcPr>
            <w:tcW w:type="dxa" w:w="3213"/>
            <w:tcMar>
              <w:top w:w="100" w:type="dxa"/>
              <w:start w:w="120" w:type="dxa"/>
              <w:bottom w:w="100" w:type="dxa"/>
              <w:end w:w="120" w:type="dxa"/>
            </w:tcMar>
            <w:shd w:fill="F3F5F7"/>
          </w:tcPr>
          <w:p>
            <w:pPr>
              <w:spacing w:after="0"/>
            </w:pPr>
            <w:r>
              <w:rPr>
                <w:sz w:val="17"/>
              </w:rPr>
              <w:t>Structured errors, logs and SLIs</w:t>
            </w:r>
          </w:p>
        </w:tc>
        <w:tc>
          <w:tcPr>
            <w:tcW w:type="dxa" w:w="3213"/>
            <w:tcMar>
              <w:top w:w="100" w:type="dxa"/>
              <w:start w:w="120" w:type="dxa"/>
              <w:bottom w:w="100" w:type="dxa"/>
              <w:end w:w="120" w:type="dxa"/>
            </w:tcMar>
            <w:shd w:fill="F3F5F7"/>
          </w:tcPr>
          <w:p>
            <w:pPr>
              <w:spacing w:after="0"/>
            </w:pPr>
            <w:r>
              <w:rPr>
                <w:sz w:val="17"/>
              </w:rPr>
              <w:t>Local adapters exist; no approved vendor sink is connected</w:t>
            </w:r>
          </w:p>
        </w:tc>
      </w:tr>
    </w:tbl>
    <w:p>
      <w:pPr>
        <w:spacing w:after="0"/>
      </w:pPr>
    </w:p>
    <w:p>
      <w:pPr>
        <w:pStyle w:val="Heading1"/>
        <w:keepNext/>
      </w:pPr>
      <w:r>
        <w:t>4. Main product workflows</w:t>
      </w:r>
    </w:p>
    <w:p>
      <w:pPr>
        <w:pStyle w:val="Heading2"/>
        <w:keepNext/>
      </w:pPr>
      <w:r>
        <w:t>Inbound receiving</w:t>
      </w:r>
    </w:p>
    <w:p>
      <w:r>
        <w:t>Purchase order → receive → QC → handling unit/pallet → label evidence → putaway → ledger</w:t>
      </w:r>
    </w:p>
    <w:p>
      <w:pPr>
        <w:pStyle w:val="ListBullet"/>
      </w:pPr>
      <w:r>
        <w:t>Purchase orders can be authored in-app or imported in previewed, bounded chunks.</w:t>
      </w:r>
    </w:p>
    <w:p>
      <w:pPr>
        <w:pStyle w:val="ListBullet"/>
      </w:pPr>
      <w:r>
        <w:t>Receiving handles partial, over, under-close, unexpected, cancelled and blind cases explicitly.</w:t>
      </w:r>
    </w:p>
    <w:p>
      <w:pPr>
        <w:pStyle w:val="ListBullet"/>
      </w:pPr>
      <w:r>
        <w:t>Scans and UOMs are server-validated; lot, expiry and handling-unit identity are captured where required.</w:t>
      </w:r>
    </w:p>
    <w:p>
      <w:pPr>
        <w:pStyle w:val="ListBullet"/>
      </w:pPr>
      <w:r>
        <w:t>QC can place stock on hold and applies explicit maker-checker dispositions.</w:t>
      </w:r>
    </w:p>
    <w:p>
      <w:pPr>
        <w:pStyle w:val="ListBullet"/>
      </w:pPr>
      <w:r>
        <w:t>Putaway recommendations explain hard filters and score components; overrides are audited.</w:t>
      </w:r>
    </w:p>
    <w:p>
      <w:pPr>
        <w:pStyle w:val="ListBullet"/>
      </w:pPr>
      <w:r>
        <w:t>Every accepted stock change owes balanced ledger postings and updates the relevant projection.</w:t>
      </w:r>
    </w:p>
    <w:p>
      <w:pPr>
        <w:pStyle w:val="Heading2"/>
        <w:keepNext/>
      </w:pPr>
      <w:r>
        <w:t>Inventory truth</w:t>
      </w:r>
    </w:p>
    <w:p>
      <w:r>
        <w:t>Stock is represented by immutable ledger transactions plus narrow balance projections. A stock bucket is scoped by tenant, warehouse, item, location, lot, status, owner and handling unit. Reconciliation replays the ledger and expects zero drift.</w:t>
      </w:r>
    </w:p>
    <w:p>
      <w:pPr>
        <w:pStyle w:val="Heading2"/>
        <w:keepNext/>
      </w:pPr>
      <w:r>
        <w:t>Order to factory (Phase 5A)</w:t>
      </w:r>
    </w:p>
    <w:p>
      <w:r>
        <w:t>Customer PO → design check → master card → released revision → factory packet → acknowledgement</w:t>
      </w:r>
    </w:p>
    <w:p>
      <w:pPr>
        <w:pStyle w:val="ListBullet"/>
      </w:pPr>
      <w:r>
        <w:t>Customer orders are separate from supplier-facing purchase orders.</w:t>
      </w:r>
    </w:p>
    <w:p>
      <w:pPr>
        <w:pStyle w:val="ListBullet"/>
      </w:pPr>
      <w:r>
        <w:t>Exact reuse is based on customer + customer product code; similarity only suggests candidates for human review.</w:t>
      </w:r>
    </w:p>
    <w:p>
      <w:pPr>
        <w:pStyle w:val="ListBullet"/>
      </w:pPr>
      <w:r>
        <w:t>Released master-card revisions are immutable; a change creates a new draft revision.</w:t>
      </w:r>
    </w:p>
    <w:p>
      <w:pPr>
        <w:pStyle w:val="ListBullet"/>
      </w:pPr>
      <w:r>
        <w:t>A factory packet pins one exact released revision and carries a snapshot of its production inputs.</w:t>
      </w:r>
    </w:p>
    <w:p>
      <w:pPr>
        <w:pStyle w:val="ListBullet"/>
      </w:pPr>
      <w:r>
        <w:t>Phase 5A stops at recorded factory acknowledgement; manufacturing execution remains out of scope.</w:t>
      </w:r>
    </w:p>
    <w:p>
      <w:pPr>
        <w:pStyle w:val="Heading2"/>
        <w:keepNext/>
      </w:pPr>
      <w:r>
        <w:t>Reporting and maintenance</w:t>
      </w:r>
    </w:p>
    <w:p>
      <w:pPr>
        <w:pStyle w:val="ListBullet"/>
      </w:pPr>
      <w:r>
        <w:t>Dashboard counters are maintained by the transactions that earn them and can be recomputed.</w:t>
      </w:r>
    </w:p>
    <w:p>
      <w:pPr>
        <w:pStyle w:val="ListBullet"/>
      </w:pPr>
      <w:r>
        <w:t>The occupancy view is an accessible 2D representation based on stock buckets.</w:t>
      </w:r>
    </w:p>
    <w:p>
      <w:pPr>
        <w:pStyle w:val="ListBullet"/>
      </w:pPr>
      <w:r>
        <w:t>Exports are chunked and resumable; an oversized artifact stops rather than silently truncating.</w:t>
      </w:r>
    </w:p>
    <w:p>
      <w:pPr>
        <w:pStyle w:val="ListBullet"/>
      </w:pPr>
      <w:r>
        <w:t>Expiry and reconciliation drivers are bounded; scheduling is an external deployment concern.</w:t>
      </w:r>
    </w:p>
    <w:p>
      <w:r>
        <w:br w:type="page"/>
      </w:r>
    </w:p>
    <w:p>
      <w:pPr>
        <w:pStyle w:val="Heading1"/>
        <w:keepNext/>
      </w:pPr>
      <w:r>
        <w:t>5. Repository map</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shd w:fill="173B57"/>
            <w:tcMar>
              <w:top w:w="100" w:type="dxa"/>
              <w:start w:w="120" w:type="dxa"/>
              <w:bottom w:w="100" w:type="dxa"/>
              <w:end w:w="120" w:type="dxa"/>
            </w:tcMar>
            <w:vAlign w:val="center"/>
          </w:tcPr>
          <w:p>
            <w:pPr>
              <w:jc w:val="left"/>
            </w:pPr>
            <w:r>
              <w:rPr>
                <w:b/>
                <w:color w:val="FFFFFF"/>
                <w:sz w:val="17"/>
              </w:rPr>
              <w:t>Path</w:t>
            </w:r>
          </w:p>
        </w:tc>
        <w:tc>
          <w:tcPr>
            <w:tcW w:type="dxa" w:w="4819"/>
            <w:shd w:fill="173B57"/>
            <w:tcMar>
              <w:top w:w="100" w:type="dxa"/>
              <w:start w:w="120" w:type="dxa"/>
              <w:bottom w:w="100" w:type="dxa"/>
              <w:end w:w="120" w:type="dxa"/>
            </w:tcMar>
            <w:vAlign w:val="center"/>
          </w:tcPr>
          <w:p>
            <w:pPr>
              <w:jc w:val="left"/>
            </w:pPr>
            <w:r>
              <w:rPr>
                <w:b/>
                <w:color w:val="FFFFFF"/>
                <w:sz w:val="17"/>
              </w:rPr>
              <w:t>Responsibility</w:t>
            </w:r>
          </w:p>
        </w:tc>
      </w:tr>
      <w:tr>
        <w:trPr>
          <w:cantSplit/>
        </w:trPr>
        <w:tc>
          <w:tcPr>
            <w:tcW w:type="dxa" w:w="4819"/>
            <w:tcMar>
              <w:top w:w="100" w:type="dxa"/>
              <w:start w:w="120" w:type="dxa"/>
              <w:bottom w:w="100" w:type="dxa"/>
              <w:end w:w="120" w:type="dxa"/>
            </w:tcMar>
          </w:tcPr>
          <w:p>
            <w:pPr>
              <w:spacing w:after="0"/>
            </w:pPr>
            <w:r>
              <w:rPr>
                <w:sz w:val="17"/>
              </w:rPr>
              <w:t>src/app/</w:t>
            </w:r>
          </w:p>
        </w:tc>
        <w:tc>
          <w:tcPr>
            <w:tcW w:type="dxa" w:w="4819"/>
            <w:tcMar>
              <w:top w:w="100" w:type="dxa"/>
              <w:start w:w="120" w:type="dxa"/>
              <w:bottom w:w="100" w:type="dxa"/>
              <w:end w:w="120" w:type="dxa"/>
            </w:tcMar>
          </w:tcPr>
          <w:p>
            <w:pPr>
              <w:spacing w:after="0"/>
            </w:pPr>
            <w:r>
              <w:rPr>
                <w:sz w:val="17"/>
              </w:rPr>
              <w:t>Next.js routes, layouts, locale segments and application composition</w:t>
            </w:r>
          </w:p>
        </w:tc>
      </w:tr>
      <w:tr>
        <w:trPr>
          <w:cantSplit/>
        </w:trPr>
        <w:tc>
          <w:tcPr>
            <w:tcW w:type="dxa" w:w="4819"/>
            <w:tcMar>
              <w:top w:w="100" w:type="dxa"/>
              <w:start w:w="120" w:type="dxa"/>
              <w:bottom w:w="100" w:type="dxa"/>
              <w:end w:w="120" w:type="dxa"/>
            </w:tcMar>
            <w:shd w:fill="F3F5F7"/>
          </w:tcPr>
          <w:p>
            <w:pPr>
              <w:spacing w:after="0"/>
            </w:pPr>
            <w:r>
              <w:rPr>
                <w:sz w:val="17"/>
              </w:rPr>
              <w:t>src/features/</w:t>
            </w:r>
          </w:p>
        </w:tc>
        <w:tc>
          <w:tcPr>
            <w:tcW w:type="dxa" w:w="4819"/>
            <w:tcMar>
              <w:top w:w="100" w:type="dxa"/>
              <w:start w:w="120" w:type="dxa"/>
              <w:bottom w:w="100" w:type="dxa"/>
              <w:end w:w="120" w:type="dxa"/>
            </w:tcMar>
            <w:shd w:fill="F3F5F7"/>
          </w:tcPr>
          <w:p>
            <w:pPr>
              <w:spacing w:after="0"/>
            </w:pPr>
            <w:r>
              <w:rPr>
                <w:sz w:val="17"/>
              </w:rPr>
              <w:t>Workflow UI and feature-level state for inbound, inventory, master data, reporting and order-to-factory</w:t>
            </w:r>
          </w:p>
        </w:tc>
      </w:tr>
      <w:tr>
        <w:trPr>
          <w:cantSplit/>
        </w:trPr>
        <w:tc>
          <w:tcPr>
            <w:tcW w:type="dxa" w:w="4819"/>
            <w:tcMar>
              <w:top w:w="100" w:type="dxa"/>
              <w:start w:w="120" w:type="dxa"/>
              <w:bottom w:w="100" w:type="dxa"/>
              <w:end w:w="120" w:type="dxa"/>
            </w:tcMar>
          </w:tcPr>
          <w:p>
            <w:pPr>
              <w:spacing w:after="0"/>
            </w:pPr>
            <w:r>
              <w:rPr>
                <w:sz w:val="17"/>
              </w:rPr>
              <w:t>src/components/</w:t>
            </w:r>
          </w:p>
        </w:tc>
        <w:tc>
          <w:tcPr>
            <w:tcW w:type="dxa" w:w="4819"/>
            <w:tcMar>
              <w:top w:w="100" w:type="dxa"/>
              <w:start w:w="120" w:type="dxa"/>
              <w:bottom w:w="100" w:type="dxa"/>
              <w:end w:w="120" w:type="dxa"/>
            </w:tcMar>
          </w:tcPr>
          <w:p>
            <w:pPr>
              <w:spacing w:after="0"/>
            </w:pPr>
            <w:r>
              <w:rPr>
                <w:sz w:val="17"/>
              </w:rPr>
              <w:t>Shared UI, providers, application shells and domain presentation tables</w:t>
            </w:r>
          </w:p>
        </w:tc>
      </w:tr>
      <w:tr>
        <w:trPr>
          <w:cantSplit/>
        </w:trPr>
        <w:tc>
          <w:tcPr>
            <w:tcW w:type="dxa" w:w="4819"/>
            <w:tcMar>
              <w:top w:w="100" w:type="dxa"/>
              <w:start w:w="120" w:type="dxa"/>
              <w:bottom w:w="100" w:type="dxa"/>
              <w:end w:w="120" w:type="dxa"/>
            </w:tcMar>
            <w:shd w:fill="F3F5F7"/>
          </w:tcPr>
          <w:p>
            <w:pPr>
              <w:spacing w:after="0"/>
            </w:pPr>
            <w:r>
              <w:rPr>
                <w:sz w:val="17"/>
              </w:rPr>
              <w:t>src/lib/</w:t>
            </w:r>
          </w:p>
        </w:tc>
        <w:tc>
          <w:tcPr>
            <w:tcW w:type="dxa" w:w="4819"/>
            <w:tcMar>
              <w:top w:w="100" w:type="dxa"/>
              <w:start w:w="120" w:type="dxa"/>
              <w:bottom w:w="100" w:type="dxa"/>
              <w:end w:w="120" w:type="dxa"/>
            </w:tcMar>
            <w:shd w:fill="F3F5F7"/>
          </w:tcPr>
          <w:p>
            <w:pPr>
              <w:spacing w:after="0"/>
            </w:pPr>
            <w:r>
              <w:rPr>
                <w:sz w:val="17"/>
              </w:rPr>
              <w:t>Browser/application utilities, Convex client adapters, environment, navigation, observability and formatting</w:t>
            </w:r>
          </w:p>
        </w:tc>
      </w:tr>
      <w:tr>
        <w:trPr>
          <w:cantSplit/>
        </w:trPr>
        <w:tc>
          <w:tcPr>
            <w:tcW w:type="dxa" w:w="4819"/>
            <w:tcMar>
              <w:top w:w="100" w:type="dxa"/>
              <w:start w:w="120" w:type="dxa"/>
              <w:bottom w:w="100" w:type="dxa"/>
              <w:end w:w="120" w:type="dxa"/>
            </w:tcMar>
          </w:tcPr>
          <w:p>
            <w:pPr>
              <w:spacing w:after="0"/>
            </w:pPr>
            <w:r>
              <w:rPr>
                <w:sz w:val="17"/>
              </w:rPr>
              <w:t>src/i18n/ + messages/</w:t>
            </w:r>
          </w:p>
        </w:tc>
        <w:tc>
          <w:tcPr>
            <w:tcW w:type="dxa" w:w="4819"/>
            <w:tcMar>
              <w:top w:w="100" w:type="dxa"/>
              <w:start w:w="120" w:type="dxa"/>
              <w:bottom w:w="100" w:type="dxa"/>
              <w:end w:w="120" w:type="dxa"/>
            </w:tcMar>
          </w:tcPr>
          <w:p>
            <w:pPr>
              <w:spacing w:after="0"/>
            </w:pPr>
            <w:r>
              <w:rPr>
                <w:sz w:val="17"/>
              </w:rPr>
              <w:t>Locale routing and matched Thai/English message catalogues</w:t>
            </w:r>
          </w:p>
        </w:tc>
      </w:tr>
      <w:tr>
        <w:trPr>
          <w:cantSplit/>
        </w:trPr>
        <w:tc>
          <w:tcPr>
            <w:tcW w:type="dxa" w:w="4819"/>
            <w:tcMar>
              <w:top w:w="100" w:type="dxa"/>
              <w:start w:w="120" w:type="dxa"/>
              <w:bottom w:w="100" w:type="dxa"/>
              <w:end w:w="120" w:type="dxa"/>
            </w:tcMar>
            <w:shd w:fill="F3F5F7"/>
          </w:tcPr>
          <w:p>
            <w:pPr>
              <w:spacing w:after="0"/>
            </w:pPr>
            <w:r>
              <w:rPr>
                <w:sz w:val="17"/>
              </w:rPr>
              <w:t>convex/model/</w:t>
            </w:r>
          </w:p>
        </w:tc>
        <w:tc>
          <w:tcPr>
            <w:tcW w:type="dxa" w:w="4819"/>
            <w:tcMar>
              <w:top w:w="100" w:type="dxa"/>
              <w:start w:w="120" w:type="dxa"/>
              <w:bottom w:w="100" w:type="dxa"/>
              <w:end w:w="120" w:type="dxa"/>
            </w:tcMar>
            <w:shd w:fill="F3F5F7"/>
          </w:tcPr>
          <w:p>
            <w:pPr>
              <w:spacing w:after="0"/>
            </w:pPr>
            <w:r>
              <w:rPr>
                <w:sz w:val="17"/>
              </w:rPr>
              <w:t>Pure deterministic domain rules; no Convex imports</w:t>
            </w:r>
          </w:p>
        </w:tc>
      </w:tr>
      <w:tr>
        <w:trPr>
          <w:cantSplit/>
        </w:trPr>
        <w:tc>
          <w:tcPr>
            <w:tcW w:type="dxa" w:w="4819"/>
            <w:tcMar>
              <w:top w:w="100" w:type="dxa"/>
              <w:start w:w="120" w:type="dxa"/>
              <w:bottom w:w="100" w:type="dxa"/>
              <w:end w:w="120" w:type="dxa"/>
            </w:tcMar>
          </w:tcPr>
          <w:p>
            <w:pPr>
              <w:spacing w:after="0"/>
            </w:pPr>
            <w:r>
              <w:rPr>
                <w:sz w:val="17"/>
              </w:rPr>
              <w:t>convex/lib/</w:t>
            </w:r>
          </w:p>
        </w:tc>
        <w:tc>
          <w:tcPr>
            <w:tcW w:type="dxa" w:w="4819"/>
            <w:tcMar>
              <w:top w:w="100" w:type="dxa"/>
              <w:start w:w="120" w:type="dxa"/>
              <w:bottom w:w="100" w:type="dxa"/>
              <w:end w:w="120" w:type="dxa"/>
            </w:tcMar>
          </w:tcPr>
          <w:p>
            <w:pPr>
              <w:spacing w:after="0"/>
            </w:pPr>
            <w:r>
              <w:rPr>
                <w:sz w:val="17"/>
              </w:rPr>
              <w:t>Tenant access, permissions, audit, idempotency, validators and infrastructure ports</w:t>
            </w:r>
          </w:p>
        </w:tc>
      </w:tr>
      <w:tr>
        <w:trPr>
          <w:cantSplit/>
        </w:trPr>
        <w:tc>
          <w:tcPr>
            <w:tcW w:type="dxa" w:w="4819"/>
            <w:tcMar>
              <w:top w:w="100" w:type="dxa"/>
              <w:start w:w="120" w:type="dxa"/>
              <w:bottom w:w="100" w:type="dxa"/>
              <w:end w:w="120" w:type="dxa"/>
            </w:tcMar>
            <w:shd w:fill="F3F5F7"/>
          </w:tcPr>
          <w:p>
            <w:pPr>
              <w:spacing w:after="0"/>
            </w:pPr>
            <w:r>
              <w:rPr>
                <w:sz w:val="17"/>
              </w:rPr>
              <w:t>convex/&lt;domain&gt;/</w:t>
            </w:r>
          </w:p>
        </w:tc>
        <w:tc>
          <w:tcPr>
            <w:tcW w:type="dxa" w:w="4819"/>
            <w:tcMar>
              <w:top w:w="100" w:type="dxa"/>
              <w:start w:w="120" w:type="dxa"/>
              <w:bottom w:w="100" w:type="dxa"/>
              <w:end w:w="120" w:type="dxa"/>
            </w:tcMar>
            <w:shd w:fill="F3F5F7"/>
          </w:tcPr>
          <w:p>
            <w:pPr>
              <w:spacing w:after="0"/>
            </w:pPr>
            <w:r>
              <w:rPr>
                <w:sz w:val="17"/>
              </w:rPr>
              <w:t>Thin public queries, mutations and actions by business domain</w:t>
            </w:r>
          </w:p>
        </w:tc>
      </w:tr>
      <w:tr>
        <w:trPr>
          <w:cantSplit/>
        </w:trPr>
        <w:tc>
          <w:tcPr>
            <w:tcW w:type="dxa" w:w="4819"/>
            <w:tcMar>
              <w:top w:w="100" w:type="dxa"/>
              <w:start w:w="120" w:type="dxa"/>
              <w:bottom w:w="100" w:type="dxa"/>
              <w:end w:w="120" w:type="dxa"/>
            </w:tcMar>
          </w:tcPr>
          <w:p>
            <w:pPr>
              <w:spacing w:after="0"/>
            </w:pPr>
            <w:r>
              <w:rPr>
                <w:sz w:val="17"/>
              </w:rPr>
              <w:t>convex/schema.ts</w:t>
            </w:r>
          </w:p>
        </w:tc>
        <w:tc>
          <w:tcPr>
            <w:tcW w:type="dxa" w:w="4819"/>
            <w:tcMar>
              <w:top w:w="100" w:type="dxa"/>
              <w:start w:w="120" w:type="dxa"/>
              <w:bottom w:w="100" w:type="dxa"/>
              <w:end w:w="120" w:type="dxa"/>
            </w:tcMar>
          </w:tcPr>
          <w:p>
            <w:pPr>
              <w:spacing w:after="0"/>
            </w:pPr>
            <w:r>
              <w:rPr>
                <w:sz w:val="17"/>
              </w:rPr>
              <w:t>Tenant, identity, authorization, master data, inventory, inbound, reporting and order-to-factory tables/indexes</w:t>
            </w:r>
          </w:p>
        </w:tc>
      </w:tr>
      <w:tr>
        <w:trPr>
          <w:cantSplit/>
        </w:trPr>
        <w:tc>
          <w:tcPr>
            <w:tcW w:type="dxa" w:w="4819"/>
            <w:tcMar>
              <w:top w:w="100" w:type="dxa"/>
              <w:start w:w="120" w:type="dxa"/>
              <w:bottom w:w="100" w:type="dxa"/>
              <w:end w:w="120" w:type="dxa"/>
            </w:tcMar>
            <w:shd w:fill="F3F5F7"/>
          </w:tcPr>
          <w:p>
            <w:pPr>
              <w:spacing w:after="0"/>
            </w:pPr>
            <w:r>
              <w:rPr>
                <w:sz w:val="17"/>
              </w:rPr>
              <w:t>tests/</w:t>
            </w:r>
          </w:p>
        </w:tc>
        <w:tc>
          <w:tcPr>
            <w:tcW w:type="dxa" w:w="4819"/>
            <w:tcMar>
              <w:top w:w="100" w:type="dxa"/>
              <w:start w:w="120" w:type="dxa"/>
              <w:bottom w:w="100" w:type="dxa"/>
              <w:end w:w="120" w:type="dxa"/>
            </w:tcMar>
            <w:shd w:fill="F3F5F7"/>
          </w:tcPr>
          <w:p>
            <w:pPr>
              <w:spacing w:after="0"/>
            </w:pPr>
            <w:r>
              <w:rPr>
                <w:sz w:val="17"/>
              </w:rPr>
              <w:t>Property, integration, isolation and end-to-end suites plus fixtures</w:t>
            </w:r>
          </w:p>
        </w:tc>
      </w:tr>
      <w:tr>
        <w:trPr>
          <w:cantSplit/>
        </w:trPr>
        <w:tc>
          <w:tcPr>
            <w:tcW w:type="dxa" w:w="4819"/>
            <w:tcMar>
              <w:top w:w="100" w:type="dxa"/>
              <w:start w:w="120" w:type="dxa"/>
              <w:bottom w:w="100" w:type="dxa"/>
              <w:end w:w="120" w:type="dxa"/>
            </w:tcMar>
          </w:tcPr>
          <w:p>
            <w:pPr>
              <w:spacing w:after="0"/>
            </w:pPr>
            <w:r>
              <w:rPr>
                <w:sz w:val="17"/>
              </w:rPr>
              <w:t>scripts/</w:t>
            </w:r>
          </w:p>
        </w:tc>
        <w:tc>
          <w:tcPr>
            <w:tcW w:type="dxa" w:w="4819"/>
            <w:tcMar>
              <w:top w:w="100" w:type="dxa"/>
              <w:start w:w="120" w:type="dxa"/>
              <w:bottom w:w="100" w:type="dxa"/>
              <w:end w:w="120" w:type="dxa"/>
            </w:tcMar>
          </w:tcPr>
          <w:p>
            <w:pPr>
              <w:spacing w:after="0"/>
            </w:pPr>
            <w:r>
              <w:rPr>
                <w:sz w:val="17"/>
              </w:rPr>
              <w:t>Development orchestration, guards, restore rehearsal, E2E and manual generation</w:t>
            </w:r>
          </w:p>
        </w:tc>
      </w:tr>
      <w:tr>
        <w:trPr>
          <w:cantSplit/>
        </w:trPr>
        <w:tc>
          <w:tcPr>
            <w:tcW w:type="dxa" w:w="4819"/>
            <w:tcMar>
              <w:top w:w="100" w:type="dxa"/>
              <w:start w:w="120" w:type="dxa"/>
              <w:bottom w:w="100" w:type="dxa"/>
              <w:end w:w="120" w:type="dxa"/>
            </w:tcMar>
            <w:shd w:fill="F3F5F7"/>
          </w:tcPr>
          <w:p>
            <w:pPr>
              <w:spacing w:after="0"/>
            </w:pPr>
            <w:r>
              <w:rPr>
                <w:sz w:val="17"/>
              </w:rPr>
              <w:t>docs/</w:t>
            </w:r>
          </w:p>
        </w:tc>
        <w:tc>
          <w:tcPr>
            <w:tcW w:type="dxa" w:w="4819"/>
            <w:tcMar>
              <w:top w:w="100" w:type="dxa"/>
              <w:start w:w="120" w:type="dxa"/>
              <w:bottom w:w="100" w:type="dxa"/>
              <w:end w:w="120" w:type="dxa"/>
            </w:tcMar>
            <w:shd w:fill="F3F5F7"/>
          </w:tcPr>
          <w:p>
            <w:pPr>
              <w:spacing w:after="0"/>
            </w:pPr>
            <w:r>
              <w:rPr>
                <w:sz w:val="17"/>
              </w:rPr>
              <w:t>Current plan, ADRs, manuals, glossary, permissions, integration contracts, gates and runbooks</w:t>
            </w:r>
          </w:p>
        </w:tc>
      </w:tr>
      <w:tr>
        <w:trPr>
          <w:cantSplit/>
        </w:trPr>
        <w:tc>
          <w:tcPr>
            <w:tcW w:type="dxa" w:w="4819"/>
            <w:tcMar>
              <w:top w:w="100" w:type="dxa"/>
              <w:start w:w="120" w:type="dxa"/>
              <w:bottom w:w="100" w:type="dxa"/>
              <w:end w:w="120" w:type="dxa"/>
            </w:tcMar>
          </w:tcPr>
          <w:p>
            <w:pPr>
              <w:spacing w:after="0"/>
            </w:pPr>
            <w:r>
              <w:rPr>
                <w:sz w:val="17"/>
              </w:rPr>
              <w:t>.github/workflows/</w:t>
            </w:r>
          </w:p>
        </w:tc>
        <w:tc>
          <w:tcPr>
            <w:tcW w:type="dxa" w:w="4819"/>
            <w:tcMar>
              <w:top w:w="100" w:type="dxa"/>
              <w:start w:w="120" w:type="dxa"/>
              <w:bottom w:w="100" w:type="dxa"/>
              <w:end w:w="120" w:type="dxa"/>
            </w:tcMar>
          </w:tcPr>
          <w:p>
            <w:pPr>
              <w:spacing w:after="0"/>
            </w:pPr>
            <w:r>
              <w:rPr>
                <w:sz w:val="17"/>
              </w:rPr>
              <w:t>Quality and browser CI workflows</w:t>
            </w:r>
          </w:p>
        </w:tc>
      </w:tr>
    </w:tbl>
    <w:p>
      <w:pPr>
        <w:spacing w:after="0"/>
      </w:pPr>
    </w:p>
    <w:p>
      <w:pPr>
        <w:pStyle w:val="Heading2"/>
        <w:keepNext/>
      </w:pPr>
      <w:r>
        <w:t>Key route groups</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shd w:fill="173B57"/>
            <w:tcMar>
              <w:top w:w="100" w:type="dxa"/>
              <w:start w:w="120" w:type="dxa"/>
              <w:bottom w:w="100" w:type="dxa"/>
              <w:end w:w="120" w:type="dxa"/>
            </w:tcMar>
            <w:vAlign w:val="center"/>
          </w:tcPr>
          <w:p>
            <w:pPr>
              <w:jc w:val="left"/>
            </w:pPr>
            <w:r>
              <w:rPr>
                <w:b/>
                <w:color w:val="FFFFFF"/>
                <w:sz w:val="17"/>
              </w:rPr>
              <w:t>Audience</w:t>
            </w:r>
          </w:p>
        </w:tc>
        <w:tc>
          <w:tcPr>
            <w:tcW w:type="dxa" w:w="4819"/>
            <w:shd w:fill="173B57"/>
            <w:tcMar>
              <w:top w:w="100" w:type="dxa"/>
              <w:start w:w="120" w:type="dxa"/>
              <w:bottom w:w="100" w:type="dxa"/>
              <w:end w:w="120" w:type="dxa"/>
            </w:tcMar>
            <w:vAlign w:val="center"/>
          </w:tcPr>
          <w:p>
            <w:pPr>
              <w:jc w:val="left"/>
            </w:pPr>
            <w:r>
              <w:rPr>
                <w:b/>
                <w:color w:val="FFFFFF"/>
                <w:sz w:val="17"/>
              </w:rPr>
              <w:t>Representative routes</w:t>
            </w:r>
          </w:p>
        </w:tc>
      </w:tr>
      <w:tr>
        <w:trPr>
          <w:cantSplit/>
        </w:trPr>
        <w:tc>
          <w:tcPr>
            <w:tcW w:type="dxa" w:w="4819"/>
            <w:tcMar>
              <w:top w:w="100" w:type="dxa"/>
              <w:start w:w="120" w:type="dxa"/>
              <w:bottom w:w="100" w:type="dxa"/>
              <w:end w:w="120" w:type="dxa"/>
            </w:tcMar>
          </w:tcPr>
          <w:p>
            <w:pPr>
              <w:spacing w:after="0"/>
            </w:pPr>
            <w:r>
              <w:rPr>
                <w:sz w:val="17"/>
              </w:rPr>
              <w:t>Desktop</w:t>
            </w:r>
          </w:p>
        </w:tc>
        <w:tc>
          <w:tcPr>
            <w:tcW w:type="dxa" w:w="4819"/>
            <w:tcMar>
              <w:top w:w="100" w:type="dxa"/>
              <w:start w:w="120" w:type="dxa"/>
              <w:bottom w:w="100" w:type="dxa"/>
              <w:end w:w="120" w:type="dxa"/>
            </w:tcMar>
          </w:tcPr>
          <w:p>
            <w:pPr>
              <w:spacing w:after="0"/>
            </w:pPr>
            <w:r>
              <w:rPr>
                <w:sz w:val="17"/>
              </w:rPr>
              <w:t>/{locale}/dashboard, reports, inventory, master-data, purchasing, receiving, quality, putaway</w:t>
            </w:r>
          </w:p>
        </w:tc>
      </w:tr>
      <w:tr>
        <w:trPr>
          <w:cantSplit/>
        </w:trPr>
        <w:tc>
          <w:tcPr>
            <w:tcW w:type="dxa" w:w="4819"/>
            <w:tcMar>
              <w:top w:w="100" w:type="dxa"/>
              <w:start w:w="120" w:type="dxa"/>
              <w:bottom w:w="100" w:type="dxa"/>
              <w:end w:w="120" w:type="dxa"/>
            </w:tcMar>
            <w:shd w:fill="F3F5F7"/>
          </w:tcPr>
          <w:p>
            <w:pPr>
              <w:spacing w:after="0"/>
            </w:pPr>
            <w:r>
              <w:rPr>
                <w:sz w:val="17"/>
              </w:rPr>
              <w:t>Order-to-factory</w:t>
            </w:r>
          </w:p>
        </w:tc>
        <w:tc>
          <w:tcPr>
            <w:tcW w:type="dxa" w:w="4819"/>
            <w:tcMar>
              <w:top w:w="100" w:type="dxa"/>
              <w:start w:w="120" w:type="dxa"/>
              <w:bottom w:w="100" w:type="dxa"/>
              <w:end w:w="120" w:type="dxa"/>
            </w:tcMar>
            <w:shd w:fill="F3F5F7"/>
          </w:tcPr>
          <w:p>
            <w:pPr>
              <w:spacing w:after="0"/>
            </w:pPr>
            <w:r>
              <w:rPr>
                <w:sz w:val="17"/>
              </w:rPr>
              <w:t>/{locale}/sales/orders, engineering/designs, production/packets</w:t>
            </w:r>
          </w:p>
        </w:tc>
      </w:tr>
      <w:tr>
        <w:trPr>
          <w:cantSplit/>
        </w:trPr>
        <w:tc>
          <w:tcPr>
            <w:tcW w:type="dxa" w:w="4819"/>
            <w:tcMar>
              <w:top w:w="100" w:type="dxa"/>
              <w:start w:w="120" w:type="dxa"/>
              <w:bottom w:w="100" w:type="dxa"/>
              <w:end w:w="120" w:type="dxa"/>
            </w:tcMar>
          </w:tcPr>
          <w:p>
            <w:pPr>
              <w:spacing w:after="0"/>
            </w:pPr>
            <w:r>
              <w:rPr>
                <w:sz w:val="17"/>
              </w:rPr>
              <w:t>Handheld</w:t>
            </w:r>
          </w:p>
        </w:tc>
        <w:tc>
          <w:tcPr>
            <w:tcW w:type="dxa" w:w="4819"/>
            <w:tcMar>
              <w:top w:w="100" w:type="dxa"/>
              <w:start w:w="120" w:type="dxa"/>
              <w:bottom w:w="100" w:type="dxa"/>
              <w:end w:w="120" w:type="dxa"/>
            </w:tcMar>
          </w:tcPr>
          <w:p>
            <w:pPr>
              <w:spacing w:after="0"/>
            </w:pPr>
            <w:r>
              <w:rPr>
                <w:sz w:val="17"/>
              </w:rPr>
              <w:t>/{locale}/handheld/receive, quality, putaway, inventory</w:t>
            </w:r>
          </w:p>
        </w:tc>
      </w:tr>
      <w:tr>
        <w:trPr>
          <w:cantSplit/>
        </w:trPr>
        <w:tc>
          <w:tcPr>
            <w:tcW w:type="dxa" w:w="4819"/>
            <w:tcMar>
              <w:top w:w="100" w:type="dxa"/>
              <w:start w:w="120" w:type="dxa"/>
              <w:bottom w:w="100" w:type="dxa"/>
              <w:end w:w="120" w:type="dxa"/>
            </w:tcMar>
            <w:shd w:fill="F3F5F7"/>
          </w:tcPr>
          <w:p>
            <w:pPr>
              <w:spacing w:after="0"/>
            </w:pPr>
            <w:r>
              <w:rPr>
                <w:sz w:val="17"/>
              </w:rPr>
              <w:t>Identity/setup</w:t>
            </w:r>
          </w:p>
        </w:tc>
        <w:tc>
          <w:tcPr>
            <w:tcW w:type="dxa" w:w="4819"/>
            <w:tcMar>
              <w:top w:w="100" w:type="dxa"/>
              <w:start w:w="120" w:type="dxa"/>
              <w:bottom w:w="100" w:type="dxa"/>
              <w:end w:w="120" w:type="dxa"/>
            </w:tcMar>
            <w:shd w:fill="F3F5F7"/>
          </w:tcPr>
          <w:p>
            <w:pPr>
              <w:spacing w:after="0"/>
            </w:pPr>
            <w:r>
              <w:rPr>
                <w:sz w:val="17"/>
              </w:rPr>
              <w:t>/{locale}/sign-in and /{locale}/setup</w:t>
            </w:r>
          </w:p>
        </w:tc>
      </w:tr>
    </w:tbl>
    <w:p>
      <w:pPr>
        <w:spacing w:after="0"/>
      </w:pPr>
    </w:p>
    <w:p>
      <w:pPr>
        <w:pStyle w:val="Heading2"/>
        <w:keepNext/>
      </w:pPr>
      <w:r>
        <w:t>Repository conventions</w:t>
      </w:r>
    </w:p>
    <w:p>
      <w:pPr>
        <w:pStyle w:val="ListBullet"/>
      </w:pPr>
      <w:r>
        <w:t>Route files compose screens; domain behavior belongs below the route layer.</w:t>
      </w:r>
    </w:p>
    <w:p>
      <w:pPr>
        <w:pStyle w:val="ListBullet"/>
      </w:pPr>
      <w:r>
        <w:t>Feature folders own a workflow. Shared code is extracted after real reuse.</w:t>
      </w:r>
    </w:p>
    <w:p>
      <w:pPr>
        <w:pStyle w:val="ListBullet"/>
      </w:pPr>
      <w:r>
        <w:t>Pure domain modules return structured Result values and validate runtime input even when TypeScript types look correct.</w:t>
      </w:r>
    </w:p>
    <w:p>
      <w:pPr>
        <w:pStyle w:val="ListBullet"/>
      </w:pPr>
      <w:r>
        <w:t>Architecture changes require an ADR. Stable IDs (ADR-, INV-, RG-, G-, INT-, RB-, SC-) are not renumbered.</w:t>
      </w:r>
    </w:p>
    <w:p>
      <w:pPr>
        <w:pStyle w:val="ListBullet"/>
      </w:pPr>
      <w:r>
        <w:t>PROJECT_PLAN.md is the approved historical baseline. Active direction lives in docs/plan/.</w:t>
      </w:r>
    </w:p>
    <w:p>
      <w:pPr>
        <w:pStyle w:val="ListBullet"/>
      </w:pPr>
      <w:r>
        <w:t>Implementation claims must point to code, tests or operational evidence; documentation intentionally understates uncertain status.</w:t>
      </w:r>
    </w:p>
    <w:p>
      <w:pPr>
        <w:pStyle w:val="Heading1"/>
        <w:keepNext/>
      </w:pPr>
      <w:r>
        <w:t>6. Local development setup</w:t>
      </w:r>
    </w:p>
    <w:p>
      <w:pPr>
        <w:pStyle w:val="Heading2"/>
        <w:keepNext/>
      </w:pPr>
      <w:r>
        <w:t>Prerequisites</w:t>
      </w:r>
    </w:p>
    <w:p>
      <w:pPr>
        <w:pStyle w:val="ListBullet"/>
      </w:pPr>
      <w:r>
        <w:t>Git access to the repository.</w:t>
      </w:r>
    </w:p>
    <w:p>
      <w:pPr>
        <w:pStyle w:val="ListBullet"/>
      </w:pPr>
      <w:r>
        <w:t>Node.js 24.x (.nvmrc and engine-strict enforce this).</w:t>
      </w:r>
    </w:p>
    <w:p>
      <w:pPr>
        <w:pStyle w:val="ListBullet"/>
      </w:pPr>
      <w:r>
        <w:t>pnpm 10.x; packageManager pins pnpm 10.33.2.</w:t>
      </w:r>
    </w:p>
    <w:p>
      <w:pPr>
        <w:pStyle w:val="ListBullet"/>
      </w:pPr>
      <w:r>
        <w:t>For real tenant flows: a Clerk development instance with Organizations enabled and a development Convex deployment.</w:t>
      </w:r>
    </w:p>
    <w:p>
      <w:pPr>
        <w:pStyle w:val="Heading2"/>
        <w:keepNext/>
      </w:pPr>
      <w:r>
        <w:t>Install and validate</w:t>
      </w:r>
    </w:p>
    <w:tbl>
      <w:tblPr>
        <w:tblW w:type="auto" w:w="0"/>
        <w:jc w:val="center"/>
        <w:tblLayout w:type="autofit"/>
        <w:tblLook w:firstColumn="1" w:firstRow="1" w:lastColumn="0" w:lastRow="0" w:noHBand="0" w:noVBand="1" w:val="04A0"/>
      </w:tblPr>
      <w:tblGrid>
        <w:gridCol w:w="9638"/>
      </w:tblGrid>
      <w:tr>
        <w:trPr>
          <w:cantSplit/>
        </w:trPr>
        <w:tc>
          <w:tcPr>
            <w:tcW w:type="dxa" w:w="9638"/>
            <w:shd w:fill="142936"/>
            <w:tcMar>
              <w:top w:w="130" w:type="dxa"/>
              <w:start w:w="180" w:type="dxa"/>
              <w:bottom w:w="130" w:type="dxa"/>
              <w:end w:w="180" w:type="dxa"/>
            </w:tcMar>
          </w:tcPr>
          <w:p>
            <w:pPr>
              <w:spacing w:after="0"/>
            </w:pPr>
            <w:r>
              <w:rPr>
                <w:rFonts w:ascii="SFMono-Regular" w:hAnsi="SFMono-Regular"/>
                <w:color w:val="FFFFFF"/>
                <w:sz w:val="17"/>
              </w:rPr>
              <w:t>corepack enable</w:t>
            </w:r>
            <w:r>
              <w:br/>
            </w:r>
            <w:r>
              <w:rPr>
                <w:rFonts w:ascii="SFMono-Regular" w:hAnsi="SFMono-Regular"/>
                <w:color w:val="FFFFFF"/>
                <w:sz w:val="17"/>
              </w:rPr>
              <w:t>pnpm install --frozen-lockfile</w:t>
            </w:r>
            <w:r>
              <w:br/>
            </w:r>
            <w:r>
              <w:rPr>
                <w:rFonts w:ascii="SFMono-Regular" w:hAnsi="SFMono-Regular"/>
                <w:color w:val="FFFFFF"/>
                <w:sz w:val="17"/>
              </w:rPr>
              <w:t>cp .env.example .env.local</w:t>
            </w:r>
            <w:r>
              <w:br/>
            </w:r>
            <w:r>
              <w:rPr>
                <w:rFonts w:ascii="SFMono-Regular" w:hAnsi="SFMono-Regular"/>
                <w:color w:val="FFFFFF"/>
                <w:sz w:val="17"/>
              </w:rPr>
              <w:t># Fill only development values; never commit .env.local</w:t>
            </w:r>
            <w:r>
              <w:br/>
            </w:r>
            <w:r>
              <w:rPr>
                <w:rFonts w:ascii="SFMono-Regular" w:hAnsi="SFMono-Regular"/>
                <w:color w:val="FFFFFF"/>
                <w:sz w:val="17"/>
              </w:rPr>
              <w:t>pnpm dev:check</w:t>
            </w:r>
            <w:r>
              <w:br/>
            </w:r>
            <w:r>
              <w:rPr>
                <w:rFonts w:ascii="SFMono-Regular" w:hAnsi="SFMono-Regular"/>
                <w:color w:val="FFFFFF"/>
                <w:sz w:val="17"/>
              </w:rPr>
              <w:t>pnpm dev</w:t>
            </w:r>
          </w:p>
        </w:tc>
      </w:tr>
    </w:tbl>
    <w:p>
      <w:r>
        <w:t>Then open http://localhost:3000/th/sign-in. The Thai locale is the default product experience; /en provides the English catalogue. pnpm dev starts Convex and Next.js together and stops both on Ctrl+C.</w:t>
      </w:r>
    </w:p>
    <w:tbl>
      <w:tblPr>
        <w:tblW w:type="auto" w:w="0"/>
        <w:jc w:val="center"/>
        <w:tblLook w:firstColumn="1" w:firstRow="1" w:lastColumn="0" w:lastRow="0" w:noHBand="0" w:noVBand="1" w:val="04A0"/>
      </w:tblPr>
      <w:tblGrid>
        <w:gridCol w:w="9638"/>
      </w:tblGrid>
      <w:tr>
        <w:trPr>
          <w:cantSplit/>
        </w:trPr>
        <w:tc>
          <w:tcPr>
            <w:tcW w:type="dxa" w:w="9638"/>
            <w:shd w:fill="E8F5F5"/>
            <w:tcMar>
              <w:top w:w="140" w:type="dxa"/>
              <w:start w:w="170" w:type="dxa"/>
              <w:bottom w:w="140" w:type="dxa"/>
              <w:end w:w="170" w:type="dxa"/>
            </w:tcMar>
          </w:tcPr>
          <w:p>
            <w:r>
              <w:rPr>
                <w:b/>
                <w:color w:val="173B57"/>
              </w:rPr>
              <w:t>Current author machine</w:t>
              <w:br/>
            </w:r>
            <w:r>
              <w:t>pnpm dev:check passed on 18 August 2026 for a cloud development Convex deployment, with all eight required settings present. No values were printed. This does not give another collaborator access; they still need their own authorized development configuration.</w:t>
            </w:r>
          </w:p>
        </w:tc>
      </w:tr>
    </w:tbl>
    <w:p>
      <w:pPr>
        <w:pStyle w:val="Heading2"/>
        <w:keepNext/>
      </w:pPr>
      <w:r>
        <w:t>Required development configuration</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shd w:fill="173B57"/>
            <w:tcMar>
              <w:top w:w="100" w:type="dxa"/>
              <w:start w:w="120" w:type="dxa"/>
              <w:bottom w:w="100" w:type="dxa"/>
              <w:end w:w="120" w:type="dxa"/>
            </w:tcMar>
            <w:vAlign w:val="center"/>
          </w:tcPr>
          <w:p>
            <w:pPr>
              <w:jc w:val="left"/>
            </w:pPr>
            <w:r>
              <w:rPr>
                <w:b/>
                <w:color w:val="FFFFFF"/>
                <w:sz w:val="17"/>
              </w:rPr>
              <w:t>Variable</w:t>
            </w:r>
          </w:p>
        </w:tc>
        <w:tc>
          <w:tcPr>
            <w:tcW w:type="dxa" w:w="4819"/>
            <w:shd w:fill="173B57"/>
            <w:tcMar>
              <w:top w:w="100" w:type="dxa"/>
              <w:start w:w="120" w:type="dxa"/>
              <w:bottom w:w="100" w:type="dxa"/>
              <w:end w:w="120" w:type="dxa"/>
            </w:tcMar>
            <w:vAlign w:val="center"/>
          </w:tcPr>
          <w:p>
            <w:pPr>
              <w:jc w:val="left"/>
            </w:pPr>
            <w:r>
              <w:rPr>
                <w:b/>
                <w:color w:val="FFFFFF"/>
                <w:sz w:val="17"/>
              </w:rPr>
              <w:t>Purpose</w:t>
            </w:r>
          </w:p>
        </w:tc>
      </w:tr>
      <w:tr>
        <w:trPr>
          <w:cantSplit/>
        </w:trPr>
        <w:tc>
          <w:tcPr>
            <w:tcW w:type="dxa" w:w="4819"/>
            <w:tcMar>
              <w:top w:w="100" w:type="dxa"/>
              <w:start w:w="120" w:type="dxa"/>
              <w:bottom w:w="100" w:type="dxa"/>
              <w:end w:w="120" w:type="dxa"/>
            </w:tcMar>
          </w:tcPr>
          <w:p>
            <w:pPr>
              <w:spacing w:after="0"/>
            </w:pPr>
            <w:r>
              <w:rPr>
                <w:sz w:val="17"/>
              </w:rPr>
              <w:t>NEXT_PUBLIC_APP_URL</w:t>
            </w:r>
          </w:p>
        </w:tc>
        <w:tc>
          <w:tcPr>
            <w:tcW w:type="dxa" w:w="4819"/>
            <w:tcMar>
              <w:top w:w="100" w:type="dxa"/>
              <w:start w:w="120" w:type="dxa"/>
              <w:bottom w:w="100" w:type="dxa"/>
              <w:end w:w="120" w:type="dxa"/>
            </w:tcMar>
          </w:tcPr>
          <w:p>
            <w:pPr>
              <w:spacing w:after="0"/>
            </w:pPr>
            <w:r>
              <w:rPr>
                <w:sz w:val="17"/>
              </w:rPr>
              <w:t>Application origin; normally http://localhost:3000</w:t>
            </w:r>
          </w:p>
        </w:tc>
      </w:tr>
      <w:tr>
        <w:trPr>
          <w:cantSplit/>
        </w:trPr>
        <w:tc>
          <w:tcPr>
            <w:tcW w:type="dxa" w:w="4819"/>
            <w:tcMar>
              <w:top w:w="100" w:type="dxa"/>
              <w:start w:w="120" w:type="dxa"/>
              <w:bottom w:w="100" w:type="dxa"/>
              <w:end w:w="120" w:type="dxa"/>
            </w:tcMar>
            <w:shd w:fill="F3F5F7"/>
          </w:tcPr>
          <w:p>
            <w:pPr>
              <w:spacing w:after="0"/>
            </w:pPr>
            <w:r>
              <w:rPr>
                <w:sz w:val="17"/>
              </w:rPr>
              <w:t>NEXT_PUBLIC_CONVEX_URL</w:t>
            </w:r>
          </w:p>
        </w:tc>
        <w:tc>
          <w:tcPr>
            <w:tcW w:type="dxa" w:w="4819"/>
            <w:tcMar>
              <w:top w:w="100" w:type="dxa"/>
              <w:start w:w="120" w:type="dxa"/>
              <w:bottom w:w="100" w:type="dxa"/>
              <w:end w:w="120" w:type="dxa"/>
            </w:tcMar>
            <w:shd w:fill="F3F5F7"/>
          </w:tcPr>
          <w:p>
            <w:pPr>
              <w:spacing w:after="0"/>
            </w:pPr>
            <w:r>
              <w:rPr>
                <w:sz w:val="17"/>
              </w:rPr>
              <w:t>Public URL for the chosen development Convex deployment</w:t>
            </w:r>
          </w:p>
        </w:tc>
      </w:tr>
      <w:tr>
        <w:trPr>
          <w:cantSplit/>
        </w:trPr>
        <w:tc>
          <w:tcPr>
            <w:tcW w:type="dxa" w:w="4819"/>
            <w:tcMar>
              <w:top w:w="100" w:type="dxa"/>
              <w:start w:w="120" w:type="dxa"/>
              <w:bottom w:w="100" w:type="dxa"/>
              <w:end w:w="120" w:type="dxa"/>
            </w:tcMar>
          </w:tcPr>
          <w:p>
            <w:pPr>
              <w:spacing w:after="0"/>
            </w:pPr>
            <w:r>
              <w:rPr>
                <w:sz w:val="17"/>
              </w:rPr>
              <w:t>CONVEX_DEPLOYMENT</w:t>
            </w:r>
          </w:p>
        </w:tc>
        <w:tc>
          <w:tcPr>
            <w:tcW w:type="dxa" w:w="4819"/>
            <w:tcMar>
              <w:top w:w="100" w:type="dxa"/>
              <w:start w:w="120" w:type="dxa"/>
              <w:bottom w:w="100" w:type="dxa"/>
              <w:end w:w="120" w:type="dxa"/>
            </w:tcMar>
          </w:tcPr>
          <w:p>
            <w:pPr>
              <w:spacing w:after="0"/>
            </w:pPr>
            <w:r>
              <w:rPr>
                <w:sz w:val="17"/>
              </w:rPr>
              <w:t>Developer-only identifier written by convex dev</w:t>
            </w:r>
          </w:p>
        </w:tc>
      </w:tr>
      <w:tr>
        <w:trPr>
          <w:cantSplit/>
        </w:trPr>
        <w:tc>
          <w:tcPr>
            <w:tcW w:type="dxa" w:w="4819"/>
            <w:tcMar>
              <w:top w:w="100" w:type="dxa"/>
              <w:start w:w="120" w:type="dxa"/>
              <w:bottom w:w="100" w:type="dxa"/>
              <w:end w:w="120" w:type="dxa"/>
            </w:tcMar>
            <w:shd w:fill="F3F5F7"/>
          </w:tcPr>
          <w:p>
            <w:pPr>
              <w:spacing w:after="0"/>
            </w:pPr>
            <w:r>
              <w:rPr>
                <w:sz w:val="17"/>
              </w:rPr>
              <w:t>NEXT_PUBLIC_CLERK_PUBLISHABLE_KEY</w:t>
            </w:r>
          </w:p>
        </w:tc>
        <w:tc>
          <w:tcPr>
            <w:tcW w:type="dxa" w:w="4819"/>
            <w:tcMar>
              <w:top w:w="100" w:type="dxa"/>
              <w:start w:w="120" w:type="dxa"/>
              <w:bottom w:w="100" w:type="dxa"/>
              <w:end w:w="120" w:type="dxa"/>
            </w:tcMar>
            <w:shd w:fill="F3F5F7"/>
          </w:tcPr>
          <w:p>
            <w:pPr>
              <w:spacing w:after="0"/>
            </w:pPr>
            <w:r>
              <w:rPr>
                <w:sz w:val="17"/>
              </w:rPr>
              <w:t>Clerk test publishable key</w:t>
            </w:r>
          </w:p>
        </w:tc>
      </w:tr>
      <w:tr>
        <w:trPr>
          <w:cantSplit/>
        </w:trPr>
        <w:tc>
          <w:tcPr>
            <w:tcW w:type="dxa" w:w="4819"/>
            <w:tcMar>
              <w:top w:w="100" w:type="dxa"/>
              <w:start w:w="120" w:type="dxa"/>
              <w:bottom w:w="100" w:type="dxa"/>
              <w:end w:w="120" w:type="dxa"/>
            </w:tcMar>
          </w:tcPr>
          <w:p>
            <w:pPr>
              <w:spacing w:after="0"/>
            </w:pPr>
            <w:r>
              <w:rPr>
                <w:sz w:val="17"/>
              </w:rPr>
              <w:t>CLERK_SECRET_KEY</w:t>
            </w:r>
          </w:p>
        </w:tc>
        <w:tc>
          <w:tcPr>
            <w:tcW w:type="dxa" w:w="4819"/>
            <w:tcMar>
              <w:top w:w="100" w:type="dxa"/>
              <w:start w:w="120" w:type="dxa"/>
              <w:bottom w:w="100" w:type="dxa"/>
              <w:end w:w="120" w:type="dxa"/>
            </w:tcMar>
          </w:tcPr>
          <w:p>
            <w:pPr>
              <w:spacing w:after="0"/>
            </w:pPr>
            <w:r>
              <w:rPr>
                <w:sz w:val="17"/>
              </w:rPr>
              <w:t>Server-side Clerk test secret</w:t>
            </w:r>
          </w:p>
        </w:tc>
      </w:tr>
      <w:tr>
        <w:trPr>
          <w:cantSplit/>
        </w:trPr>
        <w:tc>
          <w:tcPr>
            <w:tcW w:type="dxa" w:w="4819"/>
            <w:tcMar>
              <w:top w:w="100" w:type="dxa"/>
              <w:start w:w="120" w:type="dxa"/>
              <w:bottom w:w="100" w:type="dxa"/>
              <w:end w:w="120" w:type="dxa"/>
            </w:tcMar>
            <w:shd w:fill="F3F5F7"/>
          </w:tcPr>
          <w:p>
            <w:pPr>
              <w:spacing w:after="0"/>
            </w:pPr>
            <w:r>
              <w:rPr>
                <w:sz w:val="17"/>
              </w:rPr>
              <w:t>CLERK_WEBHOOK_SIGNING_SECRET</w:t>
            </w:r>
          </w:p>
        </w:tc>
        <w:tc>
          <w:tcPr>
            <w:tcW w:type="dxa" w:w="4819"/>
            <w:tcMar>
              <w:top w:w="100" w:type="dxa"/>
              <w:start w:w="120" w:type="dxa"/>
              <w:bottom w:w="100" w:type="dxa"/>
              <w:end w:w="120" w:type="dxa"/>
            </w:tcMar>
            <w:shd w:fill="F3F5F7"/>
          </w:tcPr>
          <w:p>
            <w:pPr>
              <w:spacing w:after="0"/>
            </w:pPr>
            <w:r>
              <w:rPr>
                <w:sz w:val="17"/>
              </w:rPr>
              <w:t>Clerk webhook verification secret</w:t>
            </w:r>
          </w:p>
        </w:tc>
      </w:tr>
      <w:tr>
        <w:trPr>
          <w:cantSplit/>
        </w:trPr>
        <w:tc>
          <w:tcPr>
            <w:tcW w:type="dxa" w:w="4819"/>
            <w:tcMar>
              <w:top w:w="100" w:type="dxa"/>
              <w:start w:w="120" w:type="dxa"/>
              <w:bottom w:w="100" w:type="dxa"/>
              <w:end w:w="120" w:type="dxa"/>
            </w:tcMar>
          </w:tcPr>
          <w:p>
            <w:pPr>
              <w:spacing w:after="0"/>
            </w:pPr>
            <w:r>
              <w:rPr>
                <w:sz w:val="17"/>
              </w:rPr>
              <w:t>CLERK_JWT_ISSUER_DOMAIN</w:t>
            </w:r>
          </w:p>
        </w:tc>
        <w:tc>
          <w:tcPr>
            <w:tcW w:type="dxa" w:w="4819"/>
            <w:tcMar>
              <w:top w:w="100" w:type="dxa"/>
              <w:start w:w="120" w:type="dxa"/>
              <w:bottom w:w="100" w:type="dxa"/>
              <w:end w:w="120" w:type="dxa"/>
            </w:tcMar>
          </w:tcPr>
          <w:p>
            <w:pPr>
              <w:spacing w:after="0"/>
            </w:pPr>
            <w:r>
              <w:rPr>
                <w:sz w:val="17"/>
              </w:rPr>
              <w:t>Clerk issuer; also set in the Convex deployment</w:t>
            </w:r>
          </w:p>
        </w:tc>
      </w:tr>
      <w:tr>
        <w:trPr>
          <w:cantSplit/>
        </w:trPr>
        <w:tc>
          <w:tcPr>
            <w:tcW w:type="dxa" w:w="4819"/>
            <w:tcMar>
              <w:top w:w="100" w:type="dxa"/>
              <w:start w:w="120" w:type="dxa"/>
              <w:bottom w:w="100" w:type="dxa"/>
              <w:end w:w="120" w:type="dxa"/>
            </w:tcMar>
            <w:shd w:fill="F3F5F7"/>
          </w:tcPr>
          <w:p>
            <w:pPr>
              <w:spacing w:after="0"/>
            </w:pPr>
            <w:r>
              <w:rPr>
                <w:sz w:val="17"/>
              </w:rPr>
              <w:t>NEXT_PUBLIC_CLERK_SIGN_IN_URL</w:t>
            </w:r>
          </w:p>
        </w:tc>
        <w:tc>
          <w:tcPr>
            <w:tcW w:type="dxa" w:w="4819"/>
            <w:tcMar>
              <w:top w:w="100" w:type="dxa"/>
              <w:start w:w="120" w:type="dxa"/>
              <w:bottom w:w="100" w:type="dxa"/>
              <w:end w:w="120" w:type="dxa"/>
            </w:tcMar>
            <w:shd w:fill="F3F5F7"/>
          </w:tcPr>
          <w:p>
            <w:pPr>
              <w:spacing w:after="0"/>
            </w:pPr>
            <w:r>
              <w:rPr>
                <w:sz w:val="17"/>
              </w:rPr>
              <w:t>Usually /th/sign-in for development</w:t>
            </w:r>
          </w:p>
        </w:tc>
      </w:tr>
    </w:tbl>
    <w:p>
      <w:pPr>
        <w:spacing w:after="0"/>
      </w:pPr>
    </w:p>
    <w:p>
      <w:r>
        <w:t>The full environment contract also covers preview, staging and production and forbids laptop deployment credentials from leaking into deployed classes. Use .env.example only as a blank template.</w:t>
      </w:r>
    </w:p>
    <w:p>
      <w:pPr>
        <w:pStyle w:val="Heading2"/>
        <w:keepNext/>
      </w:pPr>
      <w:r>
        <w:t>Useful commands</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shd w:fill="173B57"/>
            <w:tcMar>
              <w:top w:w="100" w:type="dxa"/>
              <w:start w:w="120" w:type="dxa"/>
              <w:bottom w:w="100" w:type="dxa"/>
              <w:end w:w="120" w:type="dxa"/>
            </w:tcMar>
            <w:vAlign w:val="center"/>
          </w:tcPr>
          <w:p>
            <w:pPr>
              <w:jc w:val="left"/>
            </w:pPr>
            <w:r>
              <w:rPr>
                <w:b/>
                <w:color w:val="FFFFFF"/>
                <w:sz w:val="17"/>
              </w:rPr>
              <w:t>Command</w:t>
            </w:r>
          </w:p>
        </w:tc>
        <w:tc>
          <w:tcPr>
            <w:tcW w:type="dxa" w:w="4819"/>
            <w:shd w:fill="173B57"/>
            <w:tcMar>
              <w:top w:w="100" w:type="dxa"/>
              <w:start w:w="120" w:type="dxa"/>
              <w:bottom w:w="100" w:type="dxa"/>
              <w:end w:w="120" w:type="dxa"/>
            </w:tcMar>
            <w:vAlign w:val="center"/>
          </w:tcPr>
          <w:p>
            <w:pPr>
              <w:jc w:val="left"/>
            </w:pPr>
            <w:r>
              <w:rPr>
                <w:b/>
                <w:color w:val="FFFFFF"/>
                <w:sz w:val="17"/>
              </w:rPr>
              <w:t>Purpose</w:t>
            </w:r>
          </w:p>
        </w:tc>
      </w:tr>
      <w:tr>
        <w:trPr>
          <w:cantSplit/>
        </w:trPr>
        <w:tc>
          <w:tcPr>
            <w:tcW w:type="dxa" w:w="4819"/>
            <w:tcMar>
              <w:top w:w="100" w:type="dxa"/>
              <w:start w:w="120" w:type="dxa"/>
              <w:bottom w:w="100" w:type="dxa"/>
              <w:end w:w="120" w:type="dxa"/>
            </w:tcMar>
          </w:tcPr>
          <w:p>
            <w:pPr>
              <w:spacing w:after="0"/>
            </w:pPr>
            <w:r>
              <w:rPr>
                <w:sz w:val="17"/>
              </w:rPr>
              <w:t>pnpm dev</w:t>
            </w:r>
          </w:p>
        </w:tc>
        <w:tc>
          <w:tcPr>
            <w:tcW w:type="dxa" w:w="4819"/>
            <w:tcMar>
              <w:top w:w="100" w:type="dxa"/>
              <w:start w:w="120" w:type="dxa"/>
              <w:bottom w:w="100" w:type="dxa"/>
              <w:end w:w="120" w:type="dxa"/>
            </w:tcMar>
          </w:tcPr>
          <w:p>
            <w:pPr>
              <w:spacing w:after="0"/>
            </w:pPr>
            <w:r>
              <w:rPr>
                <w:sz w:val="17"/>
              </w:rPr>
              <w:t>Start Convex and Next.js together</w:t>
            </w:r>
          </w:p>
        </w:tc>
      </w:tr>
      <w:tr>
        <w:trPr>
          <w:cantSplit/>
        </w:trPr>
        <w:tc>
          <w:tcPr>
            <w:tcW w:type="dxa" w:w="4819"/>
            <w:tcMar>
              <w:top w:w="100" w:type="dxa"/>
              <w:start w:w="120" w:type="dxa"/>
              <w:bottom w:w="100" w:type="dxa"/>
              <w:end w:w="120" w:type="dxa"/>
            </w:tcMar>
            <w:shd w:fill="F3F5F7"/>
          </w:tcPr>
          <w:p>
            <w:pPr>
              <w:spacing w:after="0"/>
            </w:pPr>
            <w:r>
              <w:rPr>
                <w:sz w:val="17"/>
              </w:rPr>
              <w:t>pnpm dev:web / dev:backend</w:t>
            </w:r>
          </w:p>
        </w:tc>
        <w:tc>
          <w:tcPr>
            <w:tcW w:type="dxa" w:w="4819"/>
            <w:tcMar>
              <w:top w:w="100" w:type="dxa"/>
              <w:start w:w="120" w:type="dxa"/>
              <w:bottom w:w="100" w:type="dxa"/>
              <w:end w:w="120" w:type="dxa"/>
            </w:tcMar>
            <w:shd w:fill="F3F5F7"/>
          </w:tcPr>
          <w:p>
            <w:pPr>
              <w:spacing w:after="0"/>
            </w:pPr>
            <w:r>
              <w:rPr>
                <w:sz w:val="17"/>
              </w:rPr>
              <w:t>Start only one side for focused debugging</w:t>
            </w:r>
          </w:p>
        </w:tc>
      </w:tr>
      <w:tr>
        <w:trPr>
          <w:cantSplit/>
        </w:trPr>
        <w:tc>
          <w:tcPr>
            <w:tcW w:type="dxa" w:w="4819"/>
            <w:tcMar>
              <w:top w:w="100" w:type="dxa"/>
              <w:start w:w="120" w:type="dxa"/>
              <w:bottom w:w="100" w:type="dxa"/>
              <w:end w:w="120" w:type="dxa"/>
            </w:tcMar>
          </w:tcPr>
          <w:p>
            <w:pPr>
              <w:spacing w:after="0"/>
            </w:pPr>
            <w:r>
              <w:rPr>
                <w:sz w:val="17"/>
              </w:rPr>
              <w:t>pnpm format:check</w:t>
            </w:r>
          </w:p>
        </w:tc>
        <w:tc>
          <w:tcPr>
            <w:tcW w:type="dxa" w:w="4819"/>
            <w:tcMar>
              <w:top w:w="100" w:type="dxa"/>
              <w:start w:w="120" w:type="dxa"/>
              <w:bottom w:w="100" w:type="dxa"/>
              <w:end w:w="120" w:type="dxa"/>
            </w:tcMar>
          </w:tcPr>
          <w:p>
            <w:pPr>
              <w:spacing w:after="0"/>
            </w:pPr>
            <w:r>
              <w:rPr>
                <w:sz w:val="17"/>
              </w:rPr>
              <w:t>Check formatting without rewriting</w:t>
            </w:r>
          </w:p>
        </w:tc>
      </w:tr>
      <w:tr>
        <w:trPr>
          <w:cantSplit/>
        </w:trPr>
        <w:tc>
          <w:tcPr>
            <w:tcW w:type="dxa" w:w="4819"/>
            <w:tcMar>
              <w:top w:w="100" w:type="dxa"/>
              <w:start w:w="120" w:type="dxa"/>
              <w:bottom w:w="100" w:type="dxa"/>
              <w:end w:w="120" w:type="dxa"/>
            </w:tcMar>
            <w:shd w:fill="F3F5F7"/>
          </w:tcPr>
          <w:p>
            <w:pPr>
              <w:spacing w:after="0"/>
            </w:pPr>
            <w:r>
              <w:rPr>
                <w:sz w:val="17"/>
              </w:rPr>
              <w:t>pnpm lint</w:t>
            </w:r>
          </w:p>
        </w:tc>
        <w:tc>
          <w:tcPr>
            <w:tcW w:type="dxa" w:w="4819"/>
            <w:tcMar>
              <w:top w:w="100" w:type="dxa"/>
              <w:start w:w="120" w:type="dxa"/>
              <w:bottom w:w="100" w:type="dxa"/>
              <w:end w:w="120" w:type="dxa"/>
            </w:tcMar>
            <w:shd w:fill="F3F5F7"/>
          </w:tcPr>
          <w:p>
            <w:pPr>
              <w:spacing w:after="0"/>
            </w:pPr>
            <w:r>
              <w:rPr>
                <w:sz w:val="17"/>
              </w:rPr>
              <w:t>ESLint with zero warnings allowed</w:t>
            </w:r>
          </w:p>
        </w:tc>
      </w:tr>
      <w:tr>
        <w:trPr>
          <w:cantSplit/>
        </w:trPr>
        <w:tc>
          <w:tcPr>
            <w:tcW w:type="dxa" w:w="4819"/>
            <w:tcMar>
              <w:top w:w="100" w:type="dxa"/>
              <w:start w:w="120" w:type="dxa"/>
              <w:bottom w:w="100" w:type="dxa"/>
              <w:end w:w="120" w:type="dxa"/>
            </w:tcMar>
          </w:tcPr>
          <w:p>
            <w:pPr>
              <w:spacing w:after="0"/>
            </w:pPr>
            <w:r>
              <w:rPr>
                <w:sz w:val="17"/>
              </w:rPr>
              <w:t>pnpm typecheck</w:t>
            </w:r>
          </w:p>
        </w:tc>
        <w:tc>
          <w:tcPr>
            <w:tcW w:type="dxa" w:w="4819"/>
            <w:tcMar>
              <w:top w:w="100" w:type="dxa"/>
              <w:start w:w="120" w:type="dxa"/>
              <w:bottom w:w="100" w:type="dxa"/>
              <w:end w:w="120" w:type="dxa"/>
            </w:tcMar>
          </w:tcPr>
          <w:p>
            <w:pPr>
              <w:spacing w:after="0"/>
            </w:pPr>
            <w:r>
              <w:rPr>
                <w:sz w:val="17"/>
              </w:rPr>
              <w:t>Strict TypeScript check</w:t>
            </w:r>
          </w:p>
        </w:tc>
      </w:tr>
      <w:tr>
        <w:trPr>
          <w:cantSplit/>
        </w:trPr>
        <w:tc>
          <w:tcPr>
            <w:tcW w:type="dxa" w:w="4819"/>
            <w:tcMar>
              <w:top w:w="100" w:type="dxa"/>
              <w:start w:w="120" w:type="dxa"/>
              <w:bottom w:w="100" w:type="dxa"/>
              <w:end w:w="120" w:type="dxa"/>
            </w:tcMar>
            <w:shd w:fill="F3F5F7"/>
          </w:tcPr>
          <w:p>
            <w:pPr>
              <w:spacing w:after="0"/>
            </w:pPr>
            <w:r>
              <w:rPr>
                <w:sz w:val="17"/>
              </w:rPr>
              <w:t>pnpm test</w:t>
            </w:r>
          </w:p>
        </w:tc>
        <w:tc>
          <w:tcPr>
            <w:tcW w:type="dxa" w:w="4819"/>
            <w:tcMar>
              <w:top w:w="100" w:type="dxa"/>
              <w:start w:w="120" w:type="dxa"/>
              <w:bottom w:w="100" w:type="dxa"/>
              <w:end w:w="120" w:type="dxa"/>
            </w:tcMar>
            <w:shd w:fill="F3F5F7"/>
          </w:tcPr>
          <w:p>
            <w:pPr>
              <w:spacing w:after="0"/>
            </w:pPr>
            <w:r>
              <w:rPr>
                <w:sz w:val="17"/>
              </w:rPr>
              <w:t>Run all Vitest projects</w:t>
            </w:r>
          </w:p>
        </w:tc>
      </w:tr>
      <w:tr>
        <w:trPr>
          <w:cantSplit/>
        </w:trPr>
        <w:tc>
          <w:tcPr>
            <w:tcW w:type="dxa" w:w="4819"/>
            <w:tcMar>
              <w:top w:w="100" w:type="dxa"/>
              <w:start w:w="120" w:type="dxa"/>
              <w:bottom w:w="100" w:type="dxa"/>
              <w:end w:w="120" w:type="dxa"/>
            </w:tcMar>
          </w:tcPr>
          <w:p>
            <w:pPr>
              <w:spacing w:after="0"/>
            </w:pPr>
            <w:r>
              <w:rPr>
                <w:sz w:val="17"/>
              </w:rPr>
              <w:t>pnpm build</w:t>
            </w:r>
          </w:p>
        </w:tc>
        <w:tc>
          <w:tcPr>
            <w:tcW w:type="dxa" w:w="4819"/>
            <w:tcMar>
              <w:top w:w="100" w:type="dxa"/>
              <w:start w:w="120" w:type="dxa"/>
              <w:bottom w:w="100" w:type="dxa"/>
              <w:end w:w="120" w:type="dxa"/>
            </w:tcMar>
          </w:tcPr>
          <w:p>
            <w:pPr>
              <w:spacing w:after="0"/>
            </w:pPr>
            <w:r>
              <w:rPr>
                <w:sz w:val="17"/>
              </w:rPr>
              <w:t>Production Next.js build</w:t>
            </w:r>
          </w:p>
        </w:tc>
      </w:tr>
      <w:tr>
        <w:trPr>
          <w:cantSplit/>
        </w:trPr>
        <w:tc>
          <w:tcPr>
            <w:tcW w:type="dxa" w:w="4819"/>
            <w:tcMar>
              <w:top w:w="100" w:type="dxa"/>
              <w:start w:w="120" w:type="dxa"/>
              <w:bottom w:w="100" w:type="dxa"/>
              <w:end w:w="120" w:type="dxa"/>
            </w:tcMar>
            <w:shd w:fill="F3F5F7"/>
          </w:tcPr>
          <w:p>
            <w:pPr>
              <w:spacing w:after="0"/>
            </w:pPr>
            <w:r>
              <w:rPr>
                <w:sz w:val="17"/>
              </w:rPr>
              <w:t>pnpm test:e2e</w:t>
            </w:r>
          </w:p>
        </w:tc>
        <w:tc>
          <w:tcPr>
            <w:tcW w:type="dxa" w:w="4819"/>
            <w:tcMar>
              <w:top w:w="100" w:type="dxa"/>
              <w:start w:w="120" w:type="dxa"/>
              <w:bottom w:w="100" w:type="dxa"/>
              <w:end w:w="120" w:type="dxa"/>
            </w:tcMar>
            <w:shd w:fill="F3F5F7"/>
          </w:tcPr>
          <w:p>
            <w:pPr>
              <w:spacing w:after="0"/>
            </w:pPr>
            <w:r>
              <w:rPr>
                <w:sz w:val="17"/>
              </w:rPr>
              <w:t>Playwright desktop + handheld Chromium journeys</w:t>
            </w:r>
          </w:p>
        </w:tc>
      </w:tr>
      <w:tr>
        <w:trPr>
          <w:cantSplit/>
        </w:trPr>
        <w:tc>
          <w:tcPr>
            <w:tcW w:type="dxa" w:w="4819"/>
            <w:tcMar>
              <w:top w:w="100" w:type="dxa"/>
              <w:start w:w="120" w:type="dxa"/>
              <w:bottom w:w="100" w:type="dxa"/>
              <w:end w:w="120" w:type="dxa"/>
            </w:tcMar>
          </w:tcPr>
          <w:p>
            <w:pPr>
              <w:spacing w:after="0"/>
            </w:pPr>
            <w:r>
              <w:rPr>
                <w:sz w:val="17"/>
              </w:rPr>
              <w:t>pnpm guards</w:t>
            </w:r>
          </w:p>
        </w:tc>
        <w:tc>
          <w:tcPr>
            <w:tcW w:type="dxa" w:w="4819"/>
            <w:tcMar>
              <w:top w:w="100" w:type="dxa"/>
              <w:start w:w="120" w:type="dxa"/>
              <w:bottom w:w="100" w:type="dxa"/>
              <w:end w:w="120" w:type="dxa"/>
            </w:tcMar>
          </w:tcPr>
          <w:p>
            <w:pPr>
              <w:spacing w:after="0"/>
            </w:pPr>
            <w:r>
              <w:rPr>
                <w:sz w:val="17"/>
              </w:rPr>
              <w:t>Repository guards, formatting, lint, typecheck, tests, manual checks and production dependency audit</w:t>
            </w:r>
          </w:p>
        </w:tc>
      </w:tr>
      <w:tr>
        <w:trPr>
          <w:cantSplit/>
        </w:trPr>
        <w:tc>
          <w:tcPr>
            <w:tcW w:type="dxa" w:w="4819"/>
            <w:tcMar>
              <w:top w:w="100" w:type="dxa"/>
              <w:start w:w="120" w:type="dxa"/>
              <w:bottom w:w="100" w:type="dxa"/>
              <w:end w:w="120" w:type="dxa"/>
            </w:tcMar>
            <w:shd w:fill="F3F5F7"/>
          </w:tcPr>
          <w:p>
            <w:pPr>
              <w:spacing w:after="0"/>
            </w:pPr>
            <w:r>
              <w:rPr>
                <w:sz w:val="17"/>
              </w:rPr>
              <w:t>pnpm rehearse:restore</w:t>
            </w:r>
          </w:p>
        </w:tc>
        <w:tc>
          <w:tcPr>
            <w:tcW w:type="dxa" w:w="4819"/>
            <w:tcMar>
              <w:top w:w="100" w:type="dxa"/>
              <w:start w:w="120" w:type="dxa"/>
              <w:bottom w:w="100" w:type="dxa"/>
              <w:end w:w="120" w:type="dxa"/>
            </w:tcMar>
            <w:shd w:fill="F3F5F7"/>
          </w:tcPr>
          <w:p>
            <w:pPr>
              <w:spacing w:after="0"/>
            </w:pPr>
            <w:r>
              <w:rPr>
                <w:sz w:val="17"/>
              </w:rPr>
              <w:t>Verify encrypted export-envelope restore/refusal behavior</w:t>
            </w:r>
          </w:p>
        </w:tc>
      </w:tr>
    </w:tbl>
    <w:p>
      <w:pPr>
        <w:spacing w:after="0"/>
      </w:pPr>
    </w:p>
    <w:p>
      <w:r>
        <w:br w:type="page"/>
      </w:r>
    </w:p>
    <w:p>
      <w:pPr>
        <w:pStyle w:val="Heading1"/>
        <w:keepNext/>
      </w:pPr>
      <w:r>
        <w:t>7. Quality, security and delivery gates</w:t>
      </w:r>
    </w:p>
    <w:p>
      <w:pPr>
        <w:pStyle w:val="Heading2"/>
        <w:keepNext/>
      </w:pPr>
      <w:r>
        <w:t>Test strategy</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shd w:fill="173B57"/>
            <w:tcMar>
              <w:top w:w="100" w:type="dxa"/>
              <w:start w:w="120" w:type="dxa"/>
              <w:bottom w:w="100" w:type="dxa"/>
              <w:end w:w="120" w:type="dxa"/>
            </w:tcMar>
            <w:vAlign w:val="center"/>
          </w:tcPr>
          <w:p>
            <w:pPr>
              <w:jc w:val="left"/>
            </w:pPr>
            <w:r>
              <w:rPr>
                <w:b/>
                <w:color w:val="FFFFFF"/>
                <w:sz w:val="17"/>
              </w:rPr>
              <w:t>Tier</w:t>
            </w:r>
          </w:p>
        </w:tc>
        <w:tc>
          <w:tcPr>
            <w:tcW w:type="dxa" w:w="4819"/>
            <w:shd w:fill="173B57"/>
            <w:tcMar>
              <w:top w:w="100" w:type="dxa"/>
              <w:start w:w="120" w:type="dxa"/>
              <w:bottom w:w="100" w:type="dxa"/>
              <w:end w:w="120" w:type="dxa"/>
            </w:tcMar>
            <w:vAlign w:val="center"/>
          </w:tcPr>
          <w:p>
            <w:pPr>
              <w:jc w:val="left"/>
            </w:pPr>
            <w:r>
              <w:rPr>
                <w:b/>
                <w:color w:val="FFFFFF"/>
                <w:sz w:val="17"/>
              </w:rPr>
              <w:t>Focus</w:t>
            </w:r>
          </w:p>
        </w:tc>
      </w:tr>
      <w:tr>
        <w:trPr>
          <w:cantSplit/>
        </w:trPr>
        <w:tc>
          <w:tcPr>
            <w:tcW w:type="dxa" w:w="4819"/>
            <w:tcMar>
              <w:top w:w="100" w:type="dxa"/>
              <w:start w:w="120" w:type="dxa"/>
              <w:bottom w:w="100" w:type="dxa"/>
              <w:end w:w="120" w:type="dxa"/>
            </w:tcMar>
          </w:tcPr>
          <w:p>
            <w:pPr>
              <w:spacing w:after="0"/>
            </w:pPr>
            <w:r>
              <w:rPr>
                <w:sz w:val="17"/>
              </w:rPr>
              <w:t>Unit</w:t>
            </w:r>
          </w:p>
        </w:tc>
        <w:tc>
          <w:tcPr>
            <w:tcW w:type="dxa" w:w="4819"/>
            <w:tcMar>
              <w:top w:w="100" w:type="dxa"/>
              <w:start w:w="120" w:type="dxa"/>
              <w:bottom w:w="100" w:type="dxa"/>
              <w:end w:w="120" w:type="dxa"/>
            </w:tcMar>
          </w:tcPr>
          <w:p>
            <w:pPr>
              <w:spacing w:after="0"/>
            </w:pPr>
            <w:r>
              <w:rPr>
                <w:sz w:val="17"/>
              </w:rPr>
              <w:t>Components and pure domain modules</w:t>
            </w:r>
          </w:p>
        </w:tc>
      </w:tr>
      <w:tr>
        <w:trPr>
          <w:cantSplit/>
        </w:trPr>
        <w:tc>
          <w:tcPr>
            <w:tcW w:type="dxa" w:w="4819"/>
            <w:tcMar>
              <w:top w:w="100" w:type="dxa"/>
              <w:start w:w="120" w:type="dxa"/>
              <w:bottom w:w="100" w:type="dxa"/>
              <w:end w:w="120" w:type="dxa"/>
            </w:tcMar>
            <w:shd w:fill="F3F5F7"/>
          </w:tcPr>
          <w:p>
            <w:pPr>
              <w:spacing w:after="0"/>
            </w:pPr>
            <w:r>
              <w:rPr>
                <w:sz w:val="17"/>
              </w:rPr>
              <w:t>Accessibility</w:t>
            </w:r>
          </w:p>
        </w:tc>
        <w:tc>
          <w:tcPr>
            <w:tcW w:type="dxa" w:w="4819"/>
            <w:tcMar>
              <w:top w:w="100" w:type="dxa"/>
              <w:start w:w="120" w:type="dxa"/>
              <w:bottom w:w="100" w:type="dxa"/>
              <w:end w:w="120" w:type="dxa"/>
            </w:tcMar>
            <w:shd w:fill="F3F5F7"/>
          </w:tcPr>
          <w:p>
            <w:pPr>
              <w:spacing w:after="0"/>
            </w:pPr>
            <w:r>
              <w:rPr>
                <w:sz w:val="17"/>
              </w:rPr>
              <w:t>axe assertions, focus, labels and Thai UI coverage</w:t>
            </w:r>
          </w:p>
        </w:tc>
      </w:tr>
      <w:tr>
        <w:trPr>
          <w:cantSplit/>
        </w:trPr>
        <w:tc>
          <w:tcPr>
            <w:tcW w:type="dxa" w:w="4819"/>
            <w:tcMar>
              <w:top w:w="100" w:type="dxa"/>
              <w:start w:w="120" w:type="dxa"/>
              <w:bottom w:w="100" w:type="dxa"/>
              <w:end w:w="120" w:type="dxa"/>
            </w:tcMar>
          </w:tcPr>
          <w:p>
            <w:pPr>
              <w:spacing w:after="0"/>
            </w:pPr>
            <w:r>
              <w:rPr>
                <w:sz w:val="17"/>
              </w:rPr>
              <w:t>Property</w:t>
            </w:r>
          </w:p>
        </w:tc>
        <w:tc>
          <w:tcPr>
            <w:tcW w:type="dxa" w:w="4819"/>
            <w:tcMar>
              <w:top w:w="100" w:type="dxa"/>
              <w:start w:w="120" w:type="dxa"/>
              <w:bottom w:w="100" w:type="dxa"/>
              <w:end w:w="120" w:type="dxa"/>
            </w:tcMar>
          </w:tcPr>
          <w:p>
            <w:pPr>
              <w:spacing w:after="0"/>
            </w:pPr>
            <w:r>
              <w:rPr>
                <w:sz w:val="17"/>
              </w:rPr>
              <w:t>Ledger invariants, exact quantities, identifiers, permissions and replay behavior</w:t>
            </w:r>
          </w:p>
        </w:tc>
      </w:tr>
      <w:tr>
        <w:trPr>
          <w:cantSplit/>
        </w:trPr>
        <w:tc>
          <w:tcPr>
            <w:tcW w:type="dxa" w:w="4819"/>
            <w:tcMar>
              <w:top w:w="100" w:type="dxa"/>
              <w:start w:w="120" w:type="dxa"/>
              <w:bottom w:w="100" w:type="dxa"/>
              <w:end w:w="120" w:type="dxa"/>
            </w:tcMar>
            <w:shd w:fill="F3F5F7"/>
          </w:tcPr>
          <w:p>
            <w:pPr>
              <w:spacing w:after="0"/>
            </w:pPr>
            <w:r>
              <w:rPr>
                <w:sz w:val="17"/>
              </w:rPr>
              <w:t>Convex runtime</w:t>
            </w:r>
          </w:p>
        </w:tc>
        <w:tc>
          <w:tcPr>
            <w:tcW w:type="dxa" w:w="4819"/>
            <w:tcMar>
              <w:top w:w="100" w:type="dxa"/>
              <w:start w:w="120" w:type="dxa"/>
              <w:bottom w:w="100" w:type="dxa"/>
              <w:end w:w="120" w:type="dxa"/>
            </w:tcMar>
            <w:shd w:fill="F3F5F7"/>
          </w:tcPr>
          <w:p>
            <w:pPr>
              <w:spacing w:after="0"/>
            </w:pPr>
            <w:r>
              <w:rPr>
                <w:sz w:val="17"/>
              </w:rPr>
              <w:t>Application modules in an edge-like convex-test runtime</w:t>
            </w:r>
          </w:p>
        </w:tc>
      </w:tr>
      <w:tr>
        <w:trPr>
          <w:cantSplit/>
        </w:trPr>
        <w:tc>
          <w:tcPr>
            <w:tcW w:type="dxa" w:w="4819"/>
            <w:tcMar>
              <w:top w:w="100" w:type="dxa"/>
              <w:start w:w="120" w:type="dxa"/>
              <w:bottom w:w="100" w:type="dxa"/>
              <w:end w:w="120" w:type="dxa"/>
            </w:tcMar>
          </w:tcPr>
          <w:p>
            <w:pPr>
              <w:spacing w:after="0"/>
            </w:pPr>
            <w:r>
              <w:rPr>
                <w:sz w:val="17"/>
              </w:rPr>
              <w:t>Integration</w:t>
            </w:r>
          </w:p>
        </w:tc>
        <w:tc>
          <w:tcPr>
            <w:tcW w:type="dxa" w:w="4819"/>
            <w:tcMar>
              <w:top w:w="100" w:type="dxa"/>
              <w:start w:w="120" w:type="dxa"/>
              <w:bottom w:w="100" w:type="dxa"/>
              <w:end w:w="120" w:type="dxa"/>
            </w:tcMar>
          </w:tcPr>
          <w:p>
            <w:pPr>
              <w:spacing w:after="0"/>
            </w:pPr>
            <w:r>
              <w:rPr>
                <w:sz w:val="17"/>
              </w:rPr>
              <w:t>Cross-module, filesystem, process and webhook wiring</w:t>
            </w:r>
          </w:p>
        </w:tc>
      </w:tr>
      <w:tr>
        <w:trPr>
          <w:cantSplit/>
        </w:trPr>
        <w:tc>
          <w:tcPr>
            <w:tcW w:type="dxa" w:w="4819"/>
            <w:tcMar>
              <w:top w:w="100" w:type="dxa"/>
              <w:start w:w="120" w:type="dxa"/>
              <w:bottom w:w="100" w:type="dxa"/>
              <w:end w:w="120" w:type="dxa"/>
            </w:tcMar>
            <w:shd w:fill="F3F5F7"/>
          </w:tcPr>
          <w:p>
            <w:pPr>
              <w:spacing w:after="0"/>
            </w:pPr>
            <w:r>
              <w:rPr>
                <w:sz w:val="17"/>
              </w:rPr>
              <w:t>Isolation</w:t>
            </w:r>
          </w:p>
        </w:tc>
        <w:tc>
          <w:tcPr>
            <w:tcW w:type="dxa" w:w="4819"/>
            <w:tcMar>
              <w:top w:w="100" w:type="dxa"/>
              <w:start w:w="120" w:type="dxa"/>
              <w:bottom w:w="100" w:type="dxa"/>
              <w:end w:w="120" w:type="dxa"/>
            </w:tcMar>
            <w:shd w:fill="F3F5F7"/>
          </w:tcPr>
          <w:p>
            <w:pPr>
              <w:spacing w:after="0"/>
            </w:pPr>
            <w:r>
              <w:rPr>
                <w:sz w:val="17"/>
              </w:rPr>
              <w:t>Tenant-boundary, deny-path and schema policy guards</w:t>
            </w:r>
          </w:p>
        </w:tc>
      </w:tr>
      <w:tr>
        <w:trPr>
          <w:cantSplit/>
        </w:trPr>
        <w:tc>
          <w:tcPr>
            <w:tcW w:type="dxa" w:w="4819"/>
            <w:tcMar>
              <w:top w:w="100" w:type="dxa"/>
              <w:start w:w="120" w:type="dxa"/>
              <w:bottom w:w="100" w:type="dxa"/>
              <w:end w:w="120" w:type="dxa"/>
            </w:tcMar>
          </w:tcPr>
          <w:p>
            <w:pPr>
              <w:spacing w:after="0"/>
            </w:pPr>
            <w:r>
              <w:rPr>
                <w:sz w:val="17"/>
              </w:rPr>
              <w:t>End-to-end</w:t>
            </w:r>
          </w:p>
        </w:tc>
        <w:tc>
          <w:tcPr>
            <w:tcW w:type="dxa" w:w="4819"/>
            <w:tcMar>
              <w:top w:w="100" w:type="dxa"/>
              <w:start w:w="120" w:type="dxa"/>
              <w:bottom w:w="100" w:type="dxa"/>
              <w:end w:w="120" w:type="dxa"/>
            </w:tcMar>
          </w:tcPr>
          <w:p>
            <w:pPr>
              <w:spacing w:after="0"/>
            </w:pPr>
            <w:r>
              <w:rPr>
                <w:sz w:val="17"/>
              </w:rPr>
              <w:t>Credential-free auth gate, locale routing and security headers on desktop/handheld Chromium</w:t>
            </w:r>
          </w:p>
        </w:tc>
      </w:tr>
    </w:tbl>
    <w:p>
      <w:pPr>
        <w:spacing w:after="0"/>
      </w:pPr>
    </w:p>
    <w:p>
      <w:pPr>
        <w:pStyle w:val="Heading2"/>
        <w:keepNext/>
      </w:pPr>
      <w:r>
        <w:t>CI merge bar</w:t>
      </w:r>
    </w:p>
    <w:p>
      <w:r>
        <w:t>GitHub Actions runs static analysis, six separate Vitest jobs, a production build and a separate Playwright workflow. Actions are pinned to immutable commit SHAs and run with read-only repository permissions.</w:t>
      </w:r>
    </w:p>
    <w:tbl>
      <w:tblPr>
        <w:tblW w:type="auto" w:w="0"/>
        <w:jc w:val="center"/>
        <w:tblLayout w:type="autofit"/>
        <w:tblLook w:firstColumn="1" w:firstRow="1" w:lastColumn="0" w:lastRow="0" w:noHBand="0" w:noVBand="1" w:val="04A0"/>
      </w:tblPr>
      <w:tblGrid>
        <w:gridCol w:w="9638"/>
      </w:tblGrid>
      <w:tr>
        <w:trPr>
          <w:cantSplit/>
        </w:trPr>
        <w:tc>
          <w:tcPr>
            <w:tcW w:type="dxa" w:w="9638"/>
            <w:shd w:fill="142936"/>
            <w:tcMar>
              <w:top w:w="130" w:type="dxa"/>
              <w:start w:w="180" w:type="dxa"/>
              <w:bottom w:w="130" w:type="dxa"/>
              <w:end w:w="180" w:type="dxa"/>
            </w:tcMar>
          </w:tcPr>
          <w:p>
            <w:pPr>
              <w:spacing w:after="0"/>
            </w:pPr>
            <w:r>
              <w:rPr>
                <w:rFonts w:ascii="SFMono-Regular" w:hAnsi="SFMono-Regular"/>
                <w:color w:val="FFFFFF"/>
                <w:sz w:val="17"/>
              </w:rPr>
              <w:t>pnpm format:check</w:t>
            </w:r>
            <w:r>
              <w:br/>
            </w:r>
            <w:r>
              <w:rPr>
                <w:rFonts w:ascii="SFMono-Regular" w:hAnsi="SFMono-Regular"/>
                <w:color w:val="FFFFFF"/>
                <w:sz w:val="17"/>
              </w:rPr>
              <w:t>pnpm lint</w:t>
            </w:r>
            <w:r>
              <w:br/>
            </w:r>
            <w:r>
              <w:rPr>
                <w:rFonts w:ascii="SFMono-Regular" w:hAnsi="SFMono-Regular"/>
                <w:color w:val="FFFFFF"/>
                <w:sz w:val="17"/>
              </w:rPr>
              <w:t>pnpm typecheck</w:t>
            </w:r>
            <w:r>
              <w:br/>
            </w:r>
            <w:r>
              <w:rPr>
                <w:rFonts w:ascii="SFMono-Regular" w:hAnsi="SFMono-Regular"/>
                <w:color w:val="FFFFFF"/>
                <w:sz w:val="17"/>
              </w:rPr>
              <w:t>pnpm test</w:t>
            </w:r>
            <w:r>
              <w:br/>
            </w:r>
            <w:r>
              <w:rPr>
                <w:rFonts w:ascii="SFMono-Regular" w:hAnsi="SFMono-Regular"/>
                <w:color w:val="FFFFFF"/>
                <w:sz w:val="17"/>
              </w:rPr>
              <w:t>pnpm build</w:t>
            </w:r>
            <w:r>
              <w:br/>
            </w:r>
            <w:r>
              <w:rPr>
                <w:rFonts w:ascii="SFMono-Regular" w:hAnsi="SFMono-Regular"/>
                <w:color w:val="FFFFFF"/>
                <w:sz w:val="17"/>
              </w:rPr>
              <w:t>pnpm test:e2e</w:t>
            </w:r>
            <w:r>
              <w:br/>
            </w:r>
            <w:r>
              <w:rPr>
                <w:rFonts w:ascii="SFMono-Regular" w:hAnsi="SFMono-Regular"/>
                <w:color w:val="FFFFFF"/>
                <w:sz w:val="17"/>
              </w:rPr>
              <w:t>pnpm guards</w:t>
            </w:r>
          </w:p>
        </w:tc>
      </w:tr>
    </w:tbl>
    <w:p>
      <w:pPr>
        <w:pStyle w:val="Heading2"/>
        <w:keepNext/>
      </w:pPr>
      <w:r>
        <w:t>Security review essentials</w:t>
      </w:r>
    </w:p>
    <w:p>
      <w:pPr>
        <w:pStyle w:val="ListBullet"/>
      </w:pPr>
      <w:r>
        <w:t>Deny by default; verify identity and active organization before tenant data access.</w:t>
      </w:r>
    </w:p>
    <w:p>
      <w:pPr>
        <w:pStyle w:val="ListBullet"/>
      </w:pPr>
      <w:r>
        <w:t>Use tenant-bound accessors and orgId-first indexes; never use unbounded/filter-based tenant selection.</w:t>
      </w:r>
    </w:p>
    <w:p>
      <w:pPr>
        <w:pStyle w:val="ListBullet"/>
      </w:pPr>
      <w:r>
        <w:t>Do not accept actor, orgId, event time, balance, price, status transition or permission from the browser as authority.</w:t>
      </w:r>
    </w:p>
    <w:p>
      <w:pPr>
        <w:pStyle w:val="ListBullet"/>
      </w:pPr>
      <w:r>
        <w:t>Keep secrets and tenant payloads out of logs, fixtures, screenshots and documentation.</w:t>
      </w:r>
    </w:p>
    <w:p>
      <w:pPr>
        <w:pStyle w:val="ListBullet"/>
      </w:pPr>
      <w:r>
        <w:t>Treat exports, support access and file links as privileged, audited paths.</w:t>
      </w:r>
    </w:p>
    <w:p>
      <w:pPr>
        <w:pStyle w:val="ListBullet"/>
      </w:pPr>
      <w:r>
        <w:t>Run two-tenant isolation tests and the tenant-boundary static guard before merge.</w:t>
      </w:r>
    </w:p>
    <w:p>
      <w:pPr>
        <w:pStyle w:val="ListBullet"/>
      </w:pPr>
      <w:r>
        <w:t>Production requires separate identity/data/file/telemetry environments plus legal and operational evidence.</w:t>
      </w:r>
    </w:p>
    <w:p>
      <w:pPr>
        <w:pStyle w:val="Heading1"/>
        <w:keepNext/>
      </w:pPr>
      <w:r>
        <w:t>8. Open work, limitations and risks</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shd w:fill="173B57"/>
            <w:tcMar>
              <w:top w:w="100" w:type="dxa"/>
              <w:start w:w="120" w:type="dxa"/>
              <w:bottom w:w="100" w:type="dxa"/>
              <w:end w:w="120" w:type="dxa"/>
            </w:tcMar>
            <w:vAlign w:val="center"/>
          </w:tcPr>
          <w:p>
            <w:pPr>
              <w:jc w:val="left"/>
            </w:pPr>
            <w:r>
              <w:rPr>
                <w:b/>
                <w:color w:val="FFFFFF"/>
                <w:sz w:val="16"/>
              </w:rPr>
              <w:t>Area</w:t>
            </w:r>
          </w:p>
        </w:tc>
        <w:tc>
          <w:tcPr>
            <w:tcW w:type="dxa" w:w="4819"/>
            <w:shd w:fill="173B57"/>
            <w:tcMar>
              <w:top w:w="100" w:type="dxa"/>
              <w:start w:w="120" w:type="dxa"/>
              <w:bottom w:w="100" w:type="dxa"/>
              <w:end w:w="120" w:type="dxa"/>
            </w:tcMar>
            <w:vAlign w:val="center"/>
          </w:tcPr>
          <w:p>
            <w:pPr>
              <w:jc w:val="left"/>
            </w:pPr>
            <w:r>
              <w:rPr>
                <w:b/>
                <w:color w:val="FFFFFF"/>
                <w:sz w:val="16"/>
              </w:rPr>
              <w:t>What remains</w:t>
            </w:r>
          </w:p>
        </w:tc>
      </w:tr>
      <w:tr>
        <w:trPr>
          <w:cantSplit/>
        </w:trPr>
        <w:tc>
          <w:tcPr>
            <w:tcW w:type="dxa" w:w="4819"/>
            <w:tcMar>
              <w:top w:w="100" w:type="dxa"/>
              <w:start w:w="120" w:type="dxa"/>
              <w:bottom w:w="100" w:type="dxa"/>
              <w:end w:w="120" w:type="dxa"/>
            </w:tcMar>
          </w:tcPr>
          <w:p>
            <w:pPr>
              <w:spacing w:after="0"/>
            </w:pPr>
            <w:r>
              <w:rPr>
                <w:sz w:val="16"/>
              </w:rPr>
              <w:t>Repository snapshot</w:t>
            </w:r>
          </w:p>
        </w:tc>
        <w:tc>
          <w:tcPr>
            <w:tcW w:type="dxa" w:w="4819"/>
            <w:tcMar>
              <w:top w:w="100" w:type="dxa"/>
              <w:start w:w="120" w:type="dxa"/>
              <w:bottom w:w="100" w:type="dxa"/>
              <w:end w:w="120" w:type="dxa"/>
            </w:tcMar>
          </w:tcPr>
          <w:p>
            <w:pPr>
              <w:spacing w:after="0"/>
            </w:pPr>
            <w:r>
              <w:rPr>
                <w:sz w:val="16"/>
              </w:rPr>
              <w:t>Large uncommitted local change set must be reviewed, committed and pushed before the remote is authoritative</w:t>
            </w:r>
          </w:p>
        </w:tc>
      </w:tr>
      <w:tr>
        <w:trPr>
          <w:cantSplit/>
        </w:trPr>
        <w:tc>
          <w:tcPr>
            <w:tcW w:type="dxa" w:w="4819"/>
            <w:tcMar>
              <w:top w:w="100" w:type="dxa"/>
              <w:start w:w="120" w:type="dxa"/>
              <w:bottom w:w="100" w:type="dxa"/>
              <w:end w:w="120" w:type="dxa"/>
            </w:tcMar>
            <w:shd w:fill="F3F5F7"/>
          </w:tcPr>
          <w:p>
            <w:pPr>
              <w:spacing w:after="0"/>
            </w:pPr>
            <w:r>
              <w:rPr>
                <w:sz w:val="16"/>
              </w:rPr>
              <w:t>Production environments</w:t>
            </w:r>
          </w:p>
        </w:tc>
        <w:tc>
          <w:tcPr>
            <w:tcW w:type="dxa" w:w="4819"/>
            <w:tcMar>
              <w:top w:w="100" w:type="dxa"/>
              <w:start w:w="120" w:type="dxa"/>
              <w:bottom w:w="100" w:type="dxa"/>
              <w:end w:w="120" w:type="dxa"/>
            </w:tcMar>
            <w:shd w:fill="F3F5F7"/>
          </w:tcPr>
          <w:p>
            <w:pPr>
              <w:spacing w:after="0"/>
            </w:pPr>
            <w:r>
              <w:rPr>
                <w:sz w:val="16"/>
              </w:rPr>
              <w:t>No production-ready Clerk/Convex/file/telemetry environment or proven deployment/rollback path</w:t>
            </w:r>
          </w:p>
        </w:tc>
      </w:tr>
      <w:tr>
        <w:trPr>
          <w:cantSplit/>
        </w:trPr>
        <w:tc>
          <w:tcPr>
            <w:tcW w:type="dxa" w:w="4819"/>
            <w:tcMar>
              <w:top w:w="100" w:type="dxa"/>
              <w:start w:w="120" w:type="dxa"/>
              <w:bottom w:w="100" w:type="dxa"/>
              <w:end w:w="120" w:type="dxa"/>
            </w:tcMar>
          </w:tcPr>
          <w:p>
            <w:pPr>
              <w:spacing w:after="0"/>
            </w:pPr>
            <w:r>
              <w:rPr>
                <w:sz w:val="16"/>
              </w:rPr>
              <w:t>Identity proof</w:t>
            </w:r>
          </w:p>
        </w:tc>
        <w:tc>
          <w:tcPr>
            <w:tcW w:type="dxa" w:w="4819"/>
            <w:tcMar>
              <w:top w:w="100" w:type="dxa"/>
              <w:start w:w="120" w:type="dxa"/>
              <w:bottom w:w="100" w:type="dxa"/>
              <w:end w:w="120" w:type="dxa"/>
            </w:tcMar>
          </w:tcPr>
          <w:p>
            <w:pPr>
              <w:spacing w:after="0"/>
            </w:pPr>
            <w:r>
              <w:rPr>
                <w:sz w:val="16"/>
              </w:rPr>
              <w:t>Development setup works on the author machine; staging/pilot tenant isolation with real identities still needs evidence</w:t>
            </w:r>
          </w:p>
        </w:tc>
      </w:tr>
      <w:tr>
        <w:trPr>
          <w:cantSplit/>
        </w:trPr>
        <w:tc>
          <w:tcPr>
            <w:tcW w:type="dxa" w:w="4819"/>
            <w:tcMar>
              <w:top w:w="100" w:type="dxa"/>
              <w:start w:w="120" w:type="dxa"/>
              <w:bottom w:w="100" w:type="dxa"/>
              <w:end w:w="120" w:type="dxa"/>
            </w:tcMar>
            <w:shd w:fill="F3F5F7"/>
          </w:tcPr>
          <w:p>
            <w:pPr>
              <w:spacing w:after="0"/>
            </w:pPr>
            <w:r>
              <w:rPr>
                <w:sz w:val="16"/>
              </w:rPr>
              <w:t>Printing and devices</w:t>
            </w:r>
          </w:p>
        </w:tc>
        <w:tc>
          <w:tcPr>
            <w:tcW w:type="dxa" w:w="4819"/>
            <w:tcMar>
              <w:top w:w="100" w:type="dxa"/>
              <w:start w:w="120" w:type="dxa"/>
              <w:bottom w:w="100" w:type="dxa"/>
              <w:end w:w="120" w:type="dxa"/>
            </w:tcMar>
            <w:shd w:fill="F3F5F7"/>
          </w:tcPr>
          <w:p>
            <w:pPr>
              <w:spacing w:after="0"/>
            </w:pPr>
            <w:r>
              <w:rPr>
                <w:sz w:val="16"/>
              </w:rPr>
              <w:t>No printer transport or physical Thai/English label durability and scanning proof; target scanners also need acceptance</w:t>
            </w:r>
          </w:p>
        </w:tc>
      </w:tr>
      <w:tr>
        <w:trPr>
          <w:cantSplit/>
        </w:trPr>
        <w:tc>
          <w:tcPr>
            <w:tcW w:type="dxa" w:w="4819"/>
            <w:tcMar>
              <w:top w:w="100" w:type="dxa"/>
              <w:start w:w="120" w:type="dxa"/>
              <w:bottom w:w="100" w:type="dxa"/>
              <w:end w:w="120" w:type="dxa"/>
            </w:tcMar>
          </w:tcPr>
          <w:p>
            <w:pPr>
              <w:spacing w:after="0"/>
            </w:pPr>
            <w:r>
              <w:rPr>
                <w:sz w:val="16"/>
              </w:rPr>
              <w:t>Files and downloads</w:t>
            </w:r>
          </w:p>
        </w:tc>
        <w:tc>
          <w:tcPr>
            <w:tcW w:type="dxa" w:w="4819"/>
            <w:tcMar>
              <w:top w:w="100" w:type="dxa"/>
              <w:start w:w="120" w:type="dxa"/>
              <w:bottom w:w="100" w:type="dxa"/>
              <w:end w:w="120" w:type="dxa"/>
            </w:tcMar>
          </w:tcPr>
          <w:p>
            <w:pPr>
              <w:spacing w:after="0"/>
            </w:pPr>
            <w:r>
              <w:rPr>
                <w:sz w:val="16"/>
              </w:rPr>
              <w:t>Private file-storage adapter and short-lived signed-download workflow need production vendor proof</w:t>
            </w:r>
          </w:p>
        </w:tc>
      </w:tr>
      <w:tr>
        <w:trPr>
          <w:cantSplit/>
        </w:trPr>
        <w:tc>
          <w:tcPr>
            <w:tcW w:type="dxa" w:w="4819"/>
            <w:tcMar>
              <w:top w:w="100" w:type="dxa"/>
              <w:start w:w="120" w:type="dxa"/>
              <w:bottom w:w="100" w:type="dxa"/>
              <w:end w:w="120" w:type="dxa"/>
            </w:tcMar>
            <w:shd w:fill="F3F5F7"/>
          </w:tcPr>
          <w:p>
            <w:pPr>
              <w:spacing w:after="0"/>
            </w:pPr>
            <w:r>
              <w:rPr>
                <w:sz w:val="16"/>
              </w:rPr>
              <w:t>Scheduling</w:t>
            </w:r>
          </w:p>
        </w:tc>
        <w:tc>
          <w:tcPr>
            <w:tcW w:type="dxa" w:w="4819"/>
            <w:tcMar>
              <w:top w:w="100" w:type="dxa"/>
              <w:start w:w="120" w:type="dxa"/>
              <w:bottom w:w="100" w:type="dxa"/>
              <w:end w:w="120" w:type="dxa"/>
            </w:tcMar>
            <w:shd w:fill="F3F5F7"/>
          </w:tcPr>
          <w:p>
            <w:pPr>
              <w:spacing w:after="0"/>
            </w:pPr>
            <w:r>
              <w:rPr>
                <w:sz w:val="16"/>
              </w:rPr>
              <w:t>Bounded drivers exist, but imports/exports/reconciliation/expiry are not yet connected to a durable scheduler</w:t>
            </w:r>
          </w:p>
        </w:tc>
      </w:tr>
      <w:tr>
        <w:trPr>
          <w:cantSplit/>
        </w:trPr>
        <w:tc>
          <w:tcPr>
            <w:tcW w:type="dxa" w:w="4819"/>
            <w:tcMar>
              <w:top w:w="100" w:type="dxa"/>
              <w:start w:w="120" w:type="dxa"/>
              <w:bottom w:w="100" w:type="dxa"/>
              <w:end w:w="120" w:type="dxa"/>
            </w:tcMar>
          </w:tcPr>
          <w:p>
            <w:pPr>
              <w:spacing w:after="0"/>
            </w:pPr>
            <w:r>
              <w:rPr>
                <w:sz w:val="16"/>
              </w:rPr>
              <w:t>Connectivity</w:t>
            </w:r>
          </w:p>
        </w:tc>
        <w:tc>
          <w:tcPr>
            <w:tcW w:type="dxa" w:w="4819"/>
            <w:tcMar>
              <w:top w:w="100" w:type="dxa"/>
              <w:start w:w="120" w:type="dxa"/>
              <w:bottom w:w="100" w:type="dxa"/>
              <w:end w:w="120" w:type="dxa"/>
            </w:tcMar>
          </w:tcPr>
          <w:p>
            <w:pPr>
              <w:spacing w:after="0"/>
            </w:pPr>
            <w:r>
              <w:rPr>
                <w:sz w:val="16"/>
              </w:rPr>
              <w:t>True offline is out of scope; service worker, cached reference data and an intent queue are not complete</w:t>
            </w:r>
          </w:p>
        </w:tc>
      </w:tr>
      <w:tr>
        <w:trPr>
          <w:cantSplit/>
        </w:trPr>
        <w:tc>
          <w:tcPr>
            <w:tcW w:type="dxa" w:w="4819"/>
            <w:tcMar>
              <w:top w:w="100" w:type="dxa"/>
              <w:start w:w="120" w:type="dxa"/>
              <w:bottom w:w="100" w:type="dxa"/>
              <w:end w:w="120" w:type="dxa"/>
            </w:tcMar>
            <w:shd w:fill="F3F5F7"/>
          </w:tcPr>
          <w:p>
            <w:pPr>
              <w:spacing w:after="0"/>
            </w:pPr>
            <w:r>
              <w:rPr>
                <w:sz w:val="16"/>
              </w:rPr>
              <w:t>Scale and recovery</w:t>
            </w:r>
          </w:p>
        </w:tc>
        <w:tc>
          <w:tcPr>
            <w:tcW w:type="dxa" w:w="4819"/>
            <w:tcMar>
              <w:top w:w="100" w:type="dxa"/>
              <w:start w:w="120" w:type="dxa"/>
              <w:bottom w:w="100" w:type="dxa"/>
              <w:end w:w="120" w:type="dxa"/>
            </w:tcMar>
            <w:shd w:fill="F3F5F7"/>
          </w:tcPr>
          <w:p>
            <w:pPr>
              <w:spacing w:after="0"/>
            </w:pPr>
            <w:r>
              <w:rPr>
                <w:sz w:val="16"/>
              </w:rPr>
              <w:t>Load/conflict testing, production sizing, timed restore and backup evidence remain release gates</w:t>
            </w:r>
          </w:p>
        </w:tc>
      </w:tr>
      <w:tr>
        <w:trPr>
          <w:cantSplit/>
        </w:trPr>
        <w:tc>
          <w:tcPr>
            <w:tcW w:type="dxa" w:w="4819"/>
            <w:tcMar>
              <w:top w:w="100" w:type="dxa"/>
              <w:start w:w="120" w:type="dxa"/>
              <w:bottom w:w="100" w:type="dxa"/>
              <w:end w:w="120" w:type="dxa"/>
            </w:tcMar>
          </w:tcPr>
          <w:p>
            <w:pPr>
              <w:spacing w:after="0"/>
            </w:pPr>
            <w:r>
              <w:rPr>
                <w:sz w:val="16"/>
              </w:rPr>
              <w:t>Operations</w:t>
            </w:r>
          </w:p>
        </w:tc>
        <w:tc>
          <w:tcPr>
            <w:tcW w:type="dxa" w:w="4819"/>
            <w:tcMar>
              <w:top w:w="100" w:type="dxa"/>
              <w:start w:w="120" w:type="dxa"/>
              <w:bottom w:w="100" w:type="dxa"/>
              <w:end w:w="120" w:type="dxa"/>
            </w:tcMar>
          </w:tcPr>
          <w:p>
            <w:pPr>
              <w:spacing w:after="0"/>
            </w:pPr>
            <w:r>
              <w:rPr>
                <w:sz w:val="16"/>
              </w:rPr>
              <w:t>Runbooks are structured skeletons until owners, systems and drill evidence are filled in</w:t>
            </w:r>
          </w:p>
        </w:tc>
      </w:tr>
      <w:tr>
        <w:trPr>
          <w:cantSplit/>
        </w:trPr>
        <w:tc>
          <w:tcPr>
            <w:tcW w:type="dxa" w:w="4819"/>
            <w:tcMar>
              <w:top w:w="100" w:type="dxa"/>
              <w:start w:w="120" w:type="dxa"/>
              <w:bottom w:w="100" w:type="dxa"/>
              <w:end w:w="120" w:type="dxa"/>
            </w:tcMar>
            <w:shd w:fill="F3F5F7"/>
          </w:tcPr>
          <w:p>
            <w:pPr>
              <w:spacing w:after="0"/>
            </w:pPr>
            <w:r>
              <w:rPr>
                <w:sz w:val="16"/>
              </w:rPr>
              <w:t>Compliance</w:t>
            </w:r>
          </w:p>
        </w:tc>
        <w:tc>
          <w:tcPr>
            <w:tcW w:type="dxa" w:w="4819"/>
            <w:tcMar>
              <w:top w:w="100" w:type="dxa"/>
              <w:start w:w="120" w:type="dxa"/>
              <w:bottom w:w="100" w:type="dxa"/>
              <w:end w:w="120" w:type="dxa"/>
            </w:tcMar>
            <w:shd w:fill="F3F5F7"/>
          </w:tcPr>
          <w:p>
            <w:pPr>
              <w:spacing w:after="0"/>
            </w:pPr>
            <w:r>
              <w:rPr>
                <w:sz w:val="16"/>
              </w:rPr>
              <w:t>Thai PDPA, retention, residency, DPA/subprocessors and incident duties require legal approval</w:t>
            </w:r>
          </w:p>
        </w:tc>
      </w:tr>
      <w:tr>
        <w:trPr>
          <w:cantSplit/>
        </w:trPr>
        <w:tc>
          <w:tcPr>
            <w:tcW w:type="dxa" w:w="4819"/>
            <w:tcMar>
              <w:top w:w="100" w:type="dxa"/>
              <w:start w:w="120" w:type="dxa"/>
              <w:bottom w:w="100" w:type="dxa"/>
              <w:end w:w="120" w:type="dxa"/>
            </w:tcMar>
          </w:tcPr>
          <w:p>
            <w:pPr>
              <w:spacing w:after="0"/>
            </w:pPr>
            <w:r>
              <w:rPr>
                <w:sz w:val="16"/>
              </w:rPr>
              <w:t>Pilot</w:t>
            </w:r>
          </w:p>
        </w:tc>
        <w:tc>
          <w:tcPr>
            <w:tcW w:type="dxa" w:w="4819"/>
            <w:tcMar>
              <w:top w:w="100" w:type="dxa"/>
              <w:start w:w="120" w:type="dxa"/>
              <w:bottom w:w="100" w:type="dxa"/>
              <w:end w:w="120" w:type="dxa"/>
            </w:tcMar>
          </w:tcPr>
          <w:p>
            <w:pPr>
              <w:spacing w:after="0"/>
            </w:pPr>
            <w:r>
              <w:rPr>
                <w:sz w:val="16"/>
              </w:rPr>
              <w:t>Hardware, accessibility, performance, stock-accuracy and defect targets need one-factory pilot evidence</w:t>
            </w:r>
          </w:p>
        </w:tc>
      </w:tr>
      <w:tr>
        <w:trPr>
          <w:cantSplit/>
        </w:trPr>
        <w:tc>
          <w:tcPr>
            <w:tcW w:type="dxa" w:w="4819"/>
            <w:tcMar>
              <w:top w:w="100" w:type="dxa"/>
              <w:start w:w="120" w:type="dxa"/>
              <w:bottom w:w="100" w:type="dxa"/>
              <w:end w:w="120" w:type="dxa"/>
            </w:tcMar>
            <w:shd w:fill="F3F5F7"/>
          </w:tcPr>
          <w:p>
            <w:pPr>
              <w:spacing w:after="0"/>
            </w:pPr>
            <w:r>
              <w:rPr>
                <w:sz w:val="16"/>
              </w:rPr>
              <w:t>License/ownership</w:t>
            </w:r>
          </w:p>
        </w:tc>
        <w:tc>
          <w:tcPr>
            <w:tcW w:type="dxa" w:w="4819"/>
            <w:tcMar>
              <w:top w:w="100" w:type="dxa"/>
              <w:start w:w="120" w:type="dxa"/>
              <w:bottom w:w="100" w:type="dxa"/>
              <w:end w:w="120" w:type="dxa"/>
            </w:tcMar>
            <w:shd w:fill="F3F5F7"/>
          </w:tcPr>
          <w:p>
            <w:pPr>
              <w:spacing w:after="0"/>
            </w:pPr>
            <w:r>
              <w:rPr>
                <w:sz w:val="16"/>
              </w:rPr>
              <w:t>Project is private and UNLICENSED; external distribution and reuse require owner authorization</w:t>
            </w:r>
          </w:p>
        </w:tc>
      </w:tr>
    </w:tbl>
    <w:p>
      <w:pPr>
        <w:spacing w:after="0"/>
      </w:pPr>
    </w:p>
    <w:p>
      <w:pPr>
        <w:pStyle w:val="Heading2"/>
        <w:keepNext/>
      </w:pPr>
      <w:r>
        <w:t>Recommended next sequence</w:t>
      </w:r>
    </w:p>
    <w:p>
      <w:pPr>
        <w:pStyle w:val="ListNumber"/>
      </w:pPr>
      <w:r>
        <w:t>Stabilize the intended source snapshot and push a reviewable commit/branch.</w:t>
      </w:r>
    </w:p>
    <w:p>
      <w:pPr>
        <w:pStyle w:val="ListNumber"/>
      </w:pPr>
      <w:r>
        <w:t>Configure separate staging Clerk and Convex environments and prove real tenant isolation.</w:t>
      </w:r>
    </w:p>
    <w:p>
      <w:pPr>
        <w:pStyle w:val="ListNumber"/>
      </w:pPr>
      <w:r>
        <w:t>Test target scanners and printers with representative supplier labels and Thai output.</w:t>
      </w:r>
    </w:p>
    <w:p>
      <w:pPr>
        <w:pStyle w:val="ListNumber"/>
      </w:pPr>
      <w:r>
        <w:t>Run target-scale load/conflict tests and size the paid backend tier from evidence.</w:t>
      </w:r>
    </w:p>
    <w:p>
      <w:pPr>
        <w:pStyle w:val="ListNumber"/>
      </w:pPr>
      <w:r>
        <w:t>Prove backup, restore, tenant export and retention procedures.</w:t>
      </w:r>
    </w:p>
    <w:p>
      <w:pPr>
        <w:pStyle w:val="ListNumber"/>
      </w:pPr>
      <w:r>
        <w:t>Complete Thai operator accessibility/usability checks on physical devices.</w:t>
      </w:r>
    </w:p>
    <w:p>
      <w:pPr>
        <w:pStyle w:val="ListNumber"/>
      </w:pPr>
      <w:r>
        <w:t>Run a controlled one-factory pilot and close legal, security and operational release gates.</w:t>
      </w:r>
    </w:p>
    <w:p>
      <w:r>
        <w:br w:type="page"/>
      </w:r>
    </w:p>
    <w:p>
      <w:pPr>
        <w:pStyle w:val="Heading1"/>
        <w:keepNext/>
      </w:pPr>
      <w:r>
        <w:t>9. Best reading path</w:t>
      </w:r>
    </w:p>
    <w:p>
      <w:r>
        <w:t>The links below point to the main branch. For a reproducible review, replace /main/ with the agreed commit SHA.</w:t>
      </w:r>
    </w:p>
    <w:p>
      <w:pPr>
        <w:pStyle w:val="ListBullet"/>
      </w:pPr>
      <w:r>
        <w:rPr>
          <w:b/>
        </w:rPr>
        <w:t xml:space="preserve">Repository README: </w:t>
      </w:r>
      <w:hyperlink r:id="rId12">
        <w:r>
          <w:rPr>
            <w:color w:val="167D8D"/>
            <w:u w:val="single"/>
          </w:rPr>
          <w:t>https://github.com/Rugby-Thailand/industrial-sas/blob/main/README.md</w:t>
        </w:r>
      </w:hyperlink>
      <w:r>
        <w:t xml:space="preserve"> — long-form technical status and commands</w:t>
      </w:r>
    </w:p>
    <w:p>
      <w:pPr>
        <w:pStyle w:val="ListBullet"/>
      </w:pPr>
      <w:r>
        <w:rPr>
          <w:b/>
        </w:rPr>
        <w:t xml:space="preserve">Documentation index: </w:t>
      </w:r>
      <w:hyperlink r:id="rId13">
        <w:r>
          <w:rPr>
            <w:color w:val="167D8D"/>
            <w:u w:val="single"/>
          </w:rPr>
          <w:t>https://github.com/Rugby-Thailand/industrial-sas/blob/main/docs/README.md</w:t>
        </w:r>
      </w:hyperlink>
      <w:r>
        <w:t xml:space="preserve"> — map of all architecture, manuals, contracts and runbooks</w:t>
      </w:r>
    </w:p>
    <w:p>
      <w:pPr>
        <w:pStyle w:val="ListBullet"/>
      </w:pPr>
      <w:r>
        <w:rPr>
          <w:b/>
        </w:rPr>
        <w:t xml:space="preserve">Current plan: </w:t>
      </w:r>
      <w:hyperlink r:id="rId14">
        <w:r>
          <w:rPr>
            <w:color w:val="167D8D"/>
            <w:u w:val="single"/>
          </w:rPr>
          <w:t>https://github.com/Rugby-Thailand/industrial-sas/blob/main/docs/plan/README.md</w:t>
        </w:r>
      </w:hyperlink>
      <w:r>
        <w:t xml:space="preserve"> — active direction and authority</w:t>
      </w:r>
    </w:p>
    <w:p>
      <w:pPr>
        <w:pStyle w:val="ListBullet"/>
      </w:pPr>
      <w:r>
        <w:rPr>
          <w:b/>
        </w:rPr>
        <w:t xml:space="preserve">Project goal: </w:t>
      </w:r>
      <w:hyperlink r:id="rId15">
        <w:r>
          <w:rPr>
            <w:color w:val="167D8D"/>
            <w:u w:val="single"/>
          </w:rPr>
          <w:t>https://github.com/Rugby-Thailand/industrial-sas/blob/main/docs/plan/project-goal.md</w:t>
        </w:r>
      </w:hyperlink>
      <w:r>
        <w:t xml:space="preserve"> — customers, scope, success and non-goals</w:t>
      </w:r>
    </w:p>
    <w:p>
      <w:pPr>
        <w:pStyle w:val="ListBullet"/>
      </w:pPr>
      <w:r>
        <w:rPr>
          <w:b/>
        </w:rPr>
        <w:t xml:space="preserve">Technology: </w:t>
      </w:r>
      <w:hyperlink r:id="rId16">
        <w:r>
          <w:rPr>
            <w:color w:val="167D8D"/>
            <w:u w:val="single"/>
          </w:rPr>
          <w:t>https://github.com/Rugby-Thailand/industrial-sas/blob/main/docs/plan/technology.md</w:t>
        </w:r>
      </w:hyperlink>
      <w:r>
        <w:t xml:space="preserve"> — stack, module seams and trust rules</w:t>
      </w:r>
    </w:p>
    <w:p>
      <w:pPr>
        <w:pStyle w:val="ListBullet"/>
      </w:pPr>
      <w:r>
        <w:rPr>
          <w:b/>
        </w:rPr>
        <w:t xml:space="preserve">Business logic: </w:t>
      </w:r>
      <w:hyperlink r:id="rId17">
        <w:r>
          <w:rPr>
            <w:color w:val="167D8D"/>
            <w:u w:val="single"/>
          </w:rPr>
          <w:t>https://github.com/Rugby-Thailand/industrial-sas/blob/main/docs/plan/business-logic.md</w:t>
        </w:r>
      </w:hyperlink>
      <w:r>
        <w:t xml:space="preserve"> — tenancy, inbound, inventory and order-to-factory invariants</w:t>
      </w:r>
    </w:p>
    <w:p>
      <w:pPr>
        <w:pStyle w:val="ListBullet"/>
      </w:pPr>
      <w:r>
        <w:rPr>
          <w:b/>
        </w:rPr>
        <w:t xml:space="preserve">Development setup: </w:t>
      </w:r>
      <w:hyperlink r:id="rId18">
        <w:r>
          <w:rPr>
            <w:color w:val="167D8D"/>
            <w:u w:val="single"/>
          </w:rPr>
          <w:t>https://github.com/Rugby-Thailand/industrial-sas/blob/main/docs/development-setup.md</w:t>
        </w:r>
      </w:hyperlink>
      <w:r>
        <w:t xml:space="preserve"> — Clerk/Convex development runbook</w:t>
      </w:r>
    </w:p>
    <w:p>
      <w:pPr>
        <w:pStyle w:val="ListBullet"/>
      </w:pPr>
      <w:r>
        <w:rPr>
          <w:b/>
        </w:rPr>
        <w:t xml:space="preserve">Environment contracts: </w:t>
      </w:r>
      <w:hyperlink r:id="rId19">
        <w:r>
          <w:rPr>
            <w:color w:val="167D8D"/>
            <w:u w:val="single"/>
          </w:rPr>
          <w:t>https://github.com/Rugby-Thailand/industrial-sas/blob/main/docs/environments.md</w:t>
        </w:r>
      </w:hyperlink>
      <w:r>
        <w:t xml:space="preserve"> — developer/preview/staging/production separation</w:t>
      </w:r>
    </w:p>
    <w:p>
      <w:pPr>
        <w:pStyle w:val="ListBullet"/>
      </w:pPr>
      <w:r>
        <w:rPr>
          <w:b/>
        </w:rPr>
        <w:t xml:space="preserve">Feature manuals: </w:t>
      </w:r>
      <w:hyperlink r:id="rId20">
        <w:r>
          <w:rPr>
            <w:color w:val="167D8D"/>
            <w:u w:val="single"/>
          </w:rPr>
          <w:t>https://github.com/Rugby-Thailand/industrial-sas/blob/main/docs/manuals/README.md</w:t>
        </w:r>
      </w:hyperlink>
      <w:r>
        <w:t xml:space="preserve"> — implemented surfaces and where each stops</w:t>
      </w:r>
    </w:p>
    <w:p>
      <w:pPr>
        <w:pStyle w:val="ListBullet"/>
      </w:pPr>
      <w:r>
        <w:rPr>
          <w:b/>
        </w:rPr>
        <w:t xml:space="preserve">Architecture decisions: </w:t>
      </w:r>
      <w:hyperlink r:id="rId21">
        <w:r>
          <w:rPr>
            <w:color w:val="167D8D"/>
            <w:u w:val="single"/>
          </w:rPr>
          <w:t>https://github.com/Rugby-Thailand/industrial-sas/blob/main/docs/adr/README.md</w:t>
        </w:r>
      </w:hyperlink>
      <w:r>
        <w:t xml:space="preserve"> — accepted cross-cutting decisions</w:t>
      </w:r>
    </w:p>
    <w:p>
      <w:pPr>
        <w:pStyle w:val="ListBullet"/>
      </w:pPr>
      <w:r>
        <w:rPr>
          <w:b/>
        </w:rPr>
        <w:t xml:space="preserve">Domain glossary: </w:t>
      </w:r>
      <w:hyperlink r:id="rId22">
        <w:r>
          <w:rPr>
            <w:color w:val="167D8D"/>
            <w:u w:val="single"/>
          </w:rPr>
          <w:t>https://github.com/Rugby-Thailand/industrial-sas/blob/main/docs/domain-glossary.md</w:t>
        </w:r>
      </w:hyperlink>
      <w:r>
        <w:t xml:space="preserve"> — stable project vocabulary</w:t>
      </w:r>
    </w:p>
    <w:p>
      <w:pPr>
        <w:pStyle w:val="ListBullet"/>
      </w:pPr>
      <w:r>
        <w:rPr>
          <w:b/>
        </w:rPr>
        <w:t xml:space="preserve">Permission catalogue: </w:t>
      </w:r>
      <w:hyperlink r:id="rId23">
        <w:r>
          <w:rPr>
            <w:color w:val="167D8D"/>
            <w:u w:val="single"/>
          </w:rPr>
          <w:t>https://github.com/Rugby-Thailand/industrial-sas/blob/main/docs/permissions.md</w:t>
        </w:r>
      </w:hyperlink>
      <w:r>
        <w:t xml:space="preserve"> — roles, permissions and policy semantics</w:t>
      </w:r>
    </w:p>
    <w:p>
      <w:pPr>
        <w:pStyle w:val="ListBullet"/>
      </w:pPr>
      <w:r>
        <w:rPr>
          <w:b/>
        </w:rPr>
        <w:t xml:space="preserve">Release gates: </w:t>
      </w:r>
      <w:hyperlink r:id="rId24">
        <w:r>
          <w:rPr>
            <w:color w:val="167D8D"/>
            <w:u w:val="single"/>
          </w:rPr>
          <w:t>https://github.com/Rugby-Thailand/industrial-sas/blob/main/docs/release-gates.md</w:t>
        </w:r>
      </w:hyperlink>
      <w:r>
        <w:t xml:space="preserve"> — open evidence and launch blockers</w:t>
      </w:r>
    </w:p>
    <w:p>
      <w:pPr>
        <w:pStyle w:val="ListBullet"/>
      </w:pPr>
      <w:r>
        <w:rPr>
          <w:b/>
        </w:rPr>
        <w:t xml:space="preserve">Specification coverage: </w:t>
      </w:r>
      <w:hyperlink r:id="rId25">
        <w:r>
          <w:rPr>
            <w:color w:val="167D8D"/>
            <w:u w:val="single"/>
          </w:rPr>
          <w:t>https://github.com/Rugby-Thailand/industrial-sas/blob/main/docs/specification-coverage.md</w:t>
        </w:r>
      </w:hyperlink>
      <w:r>
        <w:t xml:space="preserve"> — requirements mapped to code, tests and docs</w:t>
      </w:r>
    </w:p>
    <w:p>
      <w:pPr>
        <w:pStyle w:val="ListBullet"/>
      </w:pPr>
      <w:r>
        <w:rPr>
          <w:b/>
        </w:rPr>
        <w:t xml:space="preserve">Runbooks: </w:t>
      </w:r>
      <w:hyperlink r:id="rId26">
        <w:r>
          <w:rPr>
            <w:color w:val="167D8D"/>
            <w:u w:val="single"/>
          </w:rPr>
          <w:t>https://github.com/Rugby-Thailand/industrial-sas/blob/main/docs/runbooks/README.md</w:t>
        </w:r>
      </w:hyperlink>
      <w:r>
        <w:t xml:space="preserve"> — incident, restore, support, tenant lifecycle and release procedures</w:t>
      </w:r>
    </w:p>
    <w:p>
      <w:pPr>
        <w:pStyle w:val="Heading2"/>
        <w:keepNext/>
      </w:pPr>
      <w:r>
        <w:t>Suggested paths by role</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shd w:fill="173B57"/>
            <w:tcMar>
              <w:top w:w="100" w:type="dxa"/>
              <w:start w:w="120" w:type="dxa"/>
              <w:bottom w:w="100" w:type="dxa"/>
              <w:end w:w="120" w:type="dxa"/>
            </w:tcMar>
            <w:vAlign w:val="center"/>
          </w:tcPr>
          <w:p>
            <w:pPr>
              <w:jc w:val="left"/>
            </w:pPr>
            <w:r>
              <w:rPr>
                <w:b/>
                <w:color w:val="FFFFFF"/>
                <w:sz w:val="17"/>
              </w:rPr>
              <w:t>Role</w:t>
            </w:r>
          </w:p>
        </w:tc>
        <w:tc>
          <w:tcPr>
            <w:tcW w:type="dxa" w:w="4819"/>
            <w:shd w:fill="173B57"/>
            <w:tcMar>
              <w:top w:w="100" w:type="dxa"/>
              <w:start w:w="120" w:type="dxa"/>
              <w:bottom w:w="100" w:type="dxa"/>
              <w:end w:w="120" w:type="dxa"/>
            </w:tcMar>
            <w:vAlign w:val="center"/>
          </w:tcPr>
          <w:p>
            <w:pPr>
              <w:jc w:val="left"/>
            </w:pPr>
            <w:r>
              <w:rPr>
                <w:b/>
                <w:color w:val="FFFFFF"/>
                <w:sz w:val="17"/>
              </w:rPr>
              <w:t>Read first</w:t>
            </w:r>
          </w:p>
        </w:tc>
      </w:tr>
      <w:tr>
        <w:trPr>
          <w:cantSplit/>
        </w:trPr>
        <w:tc>
          <w:tcPr>
            <w:tcW w:type="dxa" w:w="4819"/>
            <w:tcMar>
              <w:top w:w="100" w:type="dxa"/>
              <w:start w:w="120" w:type="dxa"/>
              <w:bottom w:w="100" w:type="dxa"/>
              <w:end w:w="120" w:type="dxa"/>
            </w:tcMar>
          </w:tcPr>
          <w:p>
            <w:pPr>
              <w:spacing w:after="0"/>
            </w:pPr>
            <w:r>
              <w:rPr>
                <w:sz w:val="17"/>
              </w:rPr>
              <w:t>Developer</w:t>
            </w:r>
          </w:p>
        </w:tc>
        <w:tc>
          <w:tcPr>
            <w:tcW w:type="dxa" w:w="4819"/>
            <w:tcMar>
              <w:top w:w="100" w:type="dxa"/>
              <w:start w:w="120" w:type="dxa"/>
              <w:bottom w:w="100" w:type="dxa"/>
              <w:end w:w="120" w:type="dxa"/>
            </w:tcMar>
          </w:tcPr>
          <w:p>
            <w:pPr>
              <w:spacing w:after="0"/>
            </w:pPr>
            <w:r>
              <w:rPr>
                <w:sz w:val="17"/>
              </w:rPr>
              <w:t>README → Technology → Development setup → convex/model/README → relevant feature manual</w:t>
            </w:r>
          </w:p>
        </w:tc>
      </w:tr>
      <w:tr>
        <w:trPr>
          <w:cantSplit/>
        </w:trPr>
        <w:tc>
          <w:tcPr>
            <w:tcW w:type="dxa" w:w="4819"/>
            <w:tcMar>
              <w:top w:w="100" w:type="dxa"/>
              <w:start w:w="120" w:type="dxa"/>
              <w:bottom w:w="100" w:type="dxa"/>
              <w:end w:w="120" w:type="dxa"/>
            </w:tcMar>
            <w:shd w:fill="F3F5F7"/>
          </w:tcPr>
          <w:p>
            <w:pPr>
              <w:spacing w:after="0"/>
            </w:pPr>
            <w:r>
              <w:rPr>
                <w:sz w:val="17"/>
              </w:rPr>
              <w:t>Product/operations</w:t>
            </w:r>
          </w:p>
        </w:tc>
        <w:tc>
          <w:tcPr>
            <w:tcW w:type="dxa" w:w="4819"/>
            <w:tcMar>
              <w:top w:w="100" w:type="dxa"/>
              <w:start w:w="120" w:type="dxa"/>
              <w:bottom w:w="100" w:type="dxa"/>
              <w:end w:w="120" w:type="dxa"/>
            </w:tcMar>
            <w:shd w:fill="F3F5F7"/>
          </w:tcPr>
          <w:p>
            <w:pPr>
              <w:spacing w:after="0"/>
            </w:pPr>
            <w:r>
              <w:rPr>
                <w:sz w:val="17"/>
              </w:rPr>
              <w:t>Project goal → Business logic → Feature manuals → Release gates</w:t>
            </w:r>
          </w:p>
        </w:tc>
      </w:tr>
      <w:tr>
        <w:trPr>
          <w:cantSplit/>
        </w:trPr>
        <w:tc>
          <w:tcPr>
            <w:tcW w:type="dxa" w:w="4819"/>
            <w:tcMar>
              <w:top w:w="100" w:type="dxa"/>
              <w:start w:w="120" w:type="dxa"/>
              <w:bottom w:w="100" w:type="dxa"/>
              <w:end w:w="120" w:type="dxa"/>
            </w:tcMar>
          </w:tcPr>
          <w:p>
            <w:pPr>
              <w:spacing w:after="0"/>
            </w:pPr>
            <w:r>
              <w:rPr>
                <w:sz w:val="17"/>
              </w:rPr>
              <w:t>Security reviewer</w:t>
            </w:r>
          </w:p>
        </w:tc>
        <w:tc>
          <w:tcPr>
            <w:tcW w:type="dxa" w:w="4819"/>
            <w:tcMar>
              <w:top w:w="100" w:type="dxa"/>
              <w:start w:w="120" w:type="dxa"/>
              <w:bottom w:w="100" w:type="dxa"/>
              <w:end w:w="120" w:type="dxa"/>
            </w:tcMar>
          </w:tcPr>
          <w:p>
            <w:pPr>
              <w:spacing w:after="0"/>
            </w:pPr>
            <w:r>
              <w:rPr>
                <w:sz w:val="17"/>
              </w:rPr>
              <w:t>Environment contracts → ADR-0001/0002/0006 → Permissions → isolation tests → runbooks</w:t>
            </w:r>
          </w:p>
        </w:tc>
      </w:tr>
      <w:tr>
        <w:trPr>
          <w:cantSplit/>
        </w:trPr>
        <w:tc>
          <w:tcPr>
            <w:tcW w:type="dxa" w:w="4819"/>
            <w:tcMar>
              <w:top w:w="100" w:type="dxa"/>
              <w:start w:w="120" w:type="dxa"/>
              <w:bottom w:w="100" w:type="dxa"/>
              <w:end w:w="120" w:type="dxa"/>
            </w:tcMar>
            <w:shd w:fill="F3F5F7"/>
          </w:tcPr>
          <w:p>
            <w:pPr>
              <w:spacing w:after="0"/>
            </w:pPr>
            <w:r>
              <w:rPr>
                <w:sz w:val="17"/>
              </w:rPr>
              <w:t>Pilot lead</w:t>
            </w:r>
          </w:p>
        </w:tc>
        <w:tc>
          <w:tcPr>
            <w:tcW w:type="dxa" w:w="4819"/>
            <w:tcMar>
              <w:top w:w="100" w:type="dxa"/>
              <w:start w:w="120" w:type="dxa"/>
              <w:bottom w:w="100" w:type="dxa"/>
              <w:end w:w="120" w:type="dxa"/>
            </w:tcMar>
            <w:shd w:fill="F3F5F7"/>
          </w:tcPr>
          <w:p>
            <w:pPr>
              <w:spacing w:after="0"/>
            </w:pPr>
            <w:r>
              <w:rPr>
                <w:sz w:val="17"/>
              </w:rPr>
              <w:t>Delivery → Quality → Thai training/manuals → release gates → device/restore runbooks</w:t>
            </w:r>
          </w:p>
        </w:tc>
      </w:tr>
      <w:tr>
        <w:trPr>
          <w:cantSplit/>
        </w:trPr>
        <w:tc>
          <w:tcPr>
            <w:tcW w:type="dxa" w:w="4819"/>
            <w:tcMar>
              <w:top w:w="100" w:type="dxa"/>
              <w:start w:w="120" w:type="dxa"/>
              <w:bottom w:w="100" w:type="dxa"/>
              <w:end w:w="120" w:type="dxa"/>
            </w:tcMar>
          </w:tcPr>
          <w:p>
            <w:pPr>
              <w:spacing w:after="0"/>
            </w:pPr>
            <w:r>
              <w:rPr>
                <w:sz w:val="17"/>
              </w:rPr>
              <w:t>Integrator</w:t>
            </w:r>
          </w:p>
        </w:tc>
        <w:tc>
          <w:tcPr>
            <w:tcW w:type="dxa" w:w="4819"/>
            <w:tcMar>
              <w:top w:w="100" w:type="dxa"/>
              <w:start w:w="120" w:type="dxa"/>
              <w:bottom w:w="100" w:type="dxa"/>
              <w:end w:w="120" w:type="dxa"/>
            </w:tcMar>
          </w:tcPr>
          <w:p>
            <w:pPr>
              <w:spacing w:after="0"/>
            </w:pPr>
            <w:r>
              <w:rPr>
                <w:sz w:val="17"/>
              </w:rPr>
              <w:t>Integration contracts → environment contracts → relevant Convex domain module and manual</w:t>
            </w:r>
          </w:p>
        </w:tc>
      </w:tr>
    </w:tbl>
    <w:p>
      <w:pPr>
        <w:spacing w:after="0"/>
      </w:pPr>
    </w:p>
    <w:p>
      <w:pPr>
        <w:pStyle w:val="Heading2"/>
        <w:keepNext/>
      </w:pPr>
      <w:r>
        <w:t>Short glossary</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shd w:fill="173B57"/>
            <w:tcMar>
              <w:top w:w="100" w:type="dxa"/>
              <w:start w:w="120" w:type="dxa"/>
              <w:bottom w:w="100" w:type="dxa"/>
              <w:end w:w="120" w:type="dxa"/>
            </w:tcMar>
            <w:vAlign w:val="center"/>
          </w:tcPr>
          <w:p>
            <w:pPr>
              <w:jc w:val="left"/>
            </w:pPr>
            <w:r>
              <w:rPr>
                <w:b/>
                <w:color w:val="FFFFFF"/>
                <w:sz w:val="16"/>
              </w:rPr>
              <w:t>Term</w:t>
            </w:r>
          </w:p>
        </w:tc>
        <w:tc>
          <w:tcPr>
            <w:tcW w:type="dxa" w:w="4819"/>
            <w:shd w:fill="173B57"/>
            <w:tcMar>
              <w:top w:w="100" w:type="dxa"/>
              <w:start w:w="120" w:type="dxa"/>
              <w:bottom w:w="100" w:type="dxa"/>
              <w:end w:w="120" w:type="dxa"/>
            </w:tcMar>
            <w:vAlign w:val="center"/>
          </w:tcPr>
          <w:p>
            <w:pPr>
              <w:jc w:val="left"/>
            </w:pPr>
            <w:r>
              <w:rPr>
                <w:b/>
                <w:color w:val="FFFFFF"/>
                <w:sz w:val="16"/>
              </w:rPr>
              <w:t>Meaning</w:t>
            </w:r>
          </w:p>
        </w:tc>
      </w:tr>
      <w:tr>
        <w:trPr>
          <w:cantSplit/>
        </w:trPr>
        <w:tc>
          <w:tcPr>
            <w:tcW w:type="dxa" w:w="4819"/>
            <w:tcMar>
              <w:top w:w="100" w:type="dxa"/>
              <w:start w:w="120" w:type="dxa"/>
              <w:bottom w:w="100" w:type="dxa"/>
              <w:end w:w="120" w:type="dxa"/>
            </w:tcMar>
          </w:tcPr>
          <w:p>
            <w:pPr>
              <w:spacing w:after="0"/>
            </w:pPr>
            <w:r>
              <w:rPr>
                <w:sz w:val="16"/>
              </w:rPr>
              <w:t>Tenant</w:t>
            </w:r>
          </w:p>
        </w:tc>
        <w:tc>
          <w:tcPr>
            <w:tcW w:type="dxa" w:w="4819"/>
            <w:tcMar>
              <w:top w:w="100" w:type="dxa"/>
              <w:start w:w="120" w:type="dxa"/>
              <w:bottom w:w="100" w:type="dxa"/>
              <w:end w:w="120" w:type="dxa"/>
            </w:tcMar>
          </w:tcPr>
          <w:p>
            <w:pPr>
              <w:spacing w:after="0"/>
            </w:pPr>
            <w:r>
              <w:rPr>
                <w:sz w:val="16"/>
              </w:rPr>
              <w:t>One customer organization; Clerk organization is the identity boundary and orgId is the data discriminator</w:t>
            </w:r>
          </w:p>
        </w:tc>
      </w:tr>
      <w:tr>
        <w:trPr>
          <w:cantSplit/>
        </w:trPr>
        <w:tc>
          <w:tcPr>
            <w:tcW w:type="dxa" w:w="4819"/>
            <w:tcMar>
              <w:top w:w="100" w:type="dxa"/>
              <w:start w:w="120" w:type="dxa"/>
              <w:bottom w:w="100" w:type="dxa"/>
              <w:end w:w="120" w:type="dxa"/>
            </w:tcMar>
            <w:shd w:fill="F3F5F7"/>
          </w:tcPr>
          <w:p>
            <w:pPr>
              <w:spacing w:after="0"/>
            </w:pPr>
            <w:r>
              <w:rPr>
                <w:sz w:val="16"/>
              </w:rPr>
              <w:t>Warehouse scope</w:t>
            </w:r>
          </w:p>
        </w:tc>
        <w:tc>
          <w:tcPr>
            <w:tcW w:type="dxa" w:w="4819"/>
            <w:tcMar>
              <w:top w:w="100" w:type="dxa"/>
              <w:start w:w="120" w:type="dxa"/>
              <w:bottom w:w="100" w:type="dxa"/>
              <w:end w:w="120" w:type="dxa"/>
            </w:tcMar>
            <w:shd w:fill="F3F5F7"/>
          </w:tcPr>
          <w:p>
            <w:pPr>
              <w:spacing w:after="0"/>
            </w:pPr>
            <w:r>
              <w:rPr>
                <w:sz w:val="16"/>
              </w:rPr>
              <w:t>The subset of one tenant’s data/actions allowed to a membership</w:t>
            </w:r>
          </w:p>
        </w:tc>
      </w:tr>
      <w:tr>
        <w:trPr>
          <w:cantSplit/>
        </w:trPr>
        <w:tc>
          <w:tcPr>
            <w:tcW w:type="dxa" w:w="4819"/>
            <w:tcMar>
              <w:top w:w="100" w:type="dxa"/>
              <w:start w:w="120" w:type="dxa"/>
              <w:bottom w:w="100" w:type="dxa"/>
              <w:end w:w="120" w:type="dxa"/>
            </w:tcMar>
          </w:tcPr>
          <w:p>
            <w:pPr>
              <w:spacing w:after="0"/>
            </w:pPr>
            <w:r>
              <w:rPr>
                <w:sz w:val="16"/>
              </w:rPr>
              <w:t>Ledger</w:t>
            </w:r>
          </w:p>
        </w:tc>
        <w:tc>
          <w:tcPr>
            <w:tcW w:type="dxa" w:w="4819"/>
            <w:tcMar>
              <w:top w:w="100" w:type="dxa"/>
              <w:start w:w="120" w:type="dxa"/>
              <w:bottom w:w="100" w:type="dxa"/>
              <w:end w:w="120" w:type="dxa"/>
            </w:tcMar>
          </w:tcPr>
          <w:p>
            <w:pPr>
              <w:spacing w:after="0"/>
            </w:pPr>
            <w:r>
              <w:rPr>
                <w:sz w:val="16"/>
              </w:rPr>
              <w:t>Immutable inventory transactions and balanced lines; posted facts are reversed, not edited</w:t>
            </w:r>
          </w:p>
        </w:tc>
      </w:tr>
      <w:tr>
        <w:trPr>
          <w:cantSplit/>
        </w:trPr>
        <w:tc>
          <w:tcPr>
            <w:tcW w:type="dxa" w:w="4819"/>
            <w:tcMar>
              <w:top w:w="100" w:type="dxa"/>
              <w:start w:w="120" w:type="dxa"/>
              <w:bottom w:w="100" w:type="dxa"/>
              <w:end w:w="120" w:type="dxa"/>
            </w:tcMar>
            <w:shd w:fill="F3F5F7"/>
          </w:tcPr>
          <w:p>
            <w:pPr>
              <w:spacing w:after="0"/>
            </w:pPr>
            <w:r>
              <w:rPr>
                <w:sz w:val="16"/>
              </w:rPr>
              <w:t>Stock bucket</w:t>
            </w:r>
          </w:p>
        </w:tc>
        <w:tc>
          <w:tcPr>
            <w:tcW w:type="dxa" w:w="4819"/>
            <w:tcMar>
              <w:top w:w="100" w:type="dxa"/>
              <w:start w:w="120" w:type="dxa"/>
              <w:bottom w:w="100" w:type="dxa"/>
              <w:end w:w="120" w:type="dxa"/>
            </w:tcMar>
            <w:shd w:fill="F3F5F7"/>
          </w:tcPr>
          <w:p>
            <w:pPr>
              <w:spacing w:after="0"/>
            </w:pPr>
            <w:r>
              <w:rPr>
                <w:sz w:val="16"/>
              </w:rPr>
              <w:t>Item + location + lot + status + owner + handling unit within a tenant/warehouse</w:t>
            </w:r>
          </w:p>
        </w:tc>
      </w:tr>
      <w:tr>
        <w:trPr>
          <w:cantSplit/>
        </w:trPr>
        <w:tc>
          <w:tcPr>
            <w:tcW w:type="dxa" w:w="4819"/>
            <w:tcMar>
              <w:top w:w="100" w:type="dxa"/>
              <w:start w:w="120" w:type="dxa"/>
              <w:bottom w:w="100" w:type="dxa"/>
              <w:end w:w="120" w:type="dxa"/>
            </w:tcMar>
          </w:tcPr>
          <w:p>
            <w:pPr>
              <w:spacing w:after="0"/>
            </w:pPr>
            <w:r>
              <w:rPr>
                <w:sz w:val="16"/>
              </w:rPr>
              <w:t>Business date</w:t>
            </w:r>
          </w:p>
        </w:tc>
        <w:tc>
          <w:tcPr>
            <w:tcW w:type="dxa" w:w="4819"/>
            <w:tcMar>
              <w:top w:w="100" w:type="dxa"/>
              <w:start w:w="120" w:type="dxa"/>
              <w:bottom w:w="100" w:type="dxa"/>
              <w:end w:w="120" w:type="dxa"/>
            </w:tcMar>
          </w:tcPr>
          <w:p>
            <w:pPr>
              <w:spacing w:after="0"/>
            </w:pPr>
            <w:r>
              <w:rPr>
                <w:sz w:val="16"/>
              </w:rPr>
              <w:t>Warehouse-local YYYY-MM-DD, normally Asia/Bangkok; not the UTC date</w:t>
            </w:r>
          </w:p>
        </w:tc>
      </w:tr>
      <w:tr>
        <w:trPr>
          <w:cantSplit/>
        </w:trPr>
        <w:tc>
          <w:tcPr>
            <w:tcW w:type="dxa" w:w="4819"/>
            <w:tcMar>
              <w:top w:w="100" w:type="dxa"/>
              <w:start w:w="120" w:type="dxa"/>
              <w:bottom w:w="100" w:type="dxa"/>
              <w:end w:w="120" w:type="dxa"/>
            </w:tcMar>
            <w:shd w:fill="F3F5F7"/>
          </w:tcPr>
          <w:p>
            <w:pPr>
              <w:spacing w:after="0"/>
            </w:pPr>
            <w:r>
              <w:rPr>
                <w:sz w:val="16"/>
              </w:rPr>
              <w:t>Handling unit / LPN</w:t>
            </w:r>
          </w:p>
        </w:tc>
        <w:tc>
          <w:tcPr>
            <w:tcW w:type="dxa" w:w="4819"/>
            <w:tcMar>
              <w:top w:w="100" w:type="dxa"/>
              <w:start w:w="120" w:type="dxa"/>
              <w:bottom w:w="100" w:type="dxa"/>
              <w:end w:w="120" w:type="dxa"/>
            </w:tcMar>
            <w:shd w:fill="F3F5F7"/>
          </w:tcPr>
          <w:p>
            <w:pPr>
              <w:spacing w:after="0"/>
            </w:pPr>
            <w:r>
              <w:rPr>
                <w:sz w:val="16"/>
              </w:rPr>
              <w:t>A pallet/container identity; internal or GS1 SSCC-based identifier</w:t>
            </w:r>
          </w:p>
        </w:tc>
      </w:tr>
      <w:tr>
        <w:trPr>
          <w:cantSplit/>
        </w:trPr>
        <w:tc>
          <w:tcPr>
            <w:tcW w:type="dxa" w:w="4819"/>
            <w:tcMar>
              <w:top w:w="100" w:type="dxa"/>
              <w:start w:w="120" w:type="dxa"/>
              <w:bottom w:w="100" w:type="dxa"/>
              <w:end w:w="120" w:type="dxa"/>
            </w:tcMar>
          </w:tcPr>
          <w:p>
            <w:pPr>
              <w:spacing w:after="0"/>
            </w:pPr>
            <w:r>
              <w:rPr>
                <w:sz w:val="16"/>
              </w:rPr>
              <w:t>Master card</w:t>
            </w:r>
          </w:p>
        </w:tc>
        <w:tc>
          <w:tcPr>
            <w:tcW w:type="dxa" w:w="4819"/>
            <w:tcMar>
              <w:top w:w="100" w:type="dxa"/>
              <w:start w:w="120" w:type="dxa"/>
              <w:bottom w:w="100" w:type="dxa"/>
              <w:end w:w="120" w:type="dxa"/>
            </w:tcMar>
          </w:tcPr>
          <w:p>
            <w:pPr>
              <w:spacing w:after="0"/>
            </w:pPr>
            <w:r>
              <w:rPr>
                <w:sz w:val="16"/>
              </w:rPr>
              <w:t>Stable design identity whose numbered revisions hold the production specification</w:t>
            </w:r>
          </w:p>
        </w:tc>
      </w:tr>
      <w:tr>
        <w:trPr>
          <w:cantSplit/>
        </w:trPr>
        <w:tc>
          <w:tcPr>
            <w:tcW w:type="dxa" w:w="4819"/>
            <w:tcMar>
              <w:top w:w="100" w:type="dxa"/>
              <w:start w:w="120" w:type="dxa"/>
              <w:bottom w:w="100" w:type="dxa"/>
              <w:end w:w="120" w:type="dxa"/>
            </w:tcMar>
            <w:shd w:fill="F3F5F7"/>
          </w:tcPr>
          <w:p>
            <w:pPr>
              <w:spacing w:after="0"/>
            </w:pPr>
            <w:r>
              <w:rPr>
                <w:sz w:val="16"/>
              </w:rPr>
              <w:t>Factory packet</w:t>
            </w:r>
          </w:p>
        </w:tc>
        <w:tc>
          <w:tcPr>
            <w:tcW w:type="dxa" w:w="4819"/>
            <w:tcMar>
              <w:top w:w="100" w:type="dxa"/>
              <w:start w:w="120" w:type="dxa"/>
              <w:bottom w:w="100" w:type="dxa"/>
              <w:end w:w="120" w:type="dxa"/>
            </w:tcMar>
            <w:shd w:fill="F3F5F7"/>
          </w:tcPr>
          <w:p>
            <w:pPr>
              <w:spacing w:after="0"/>
            </w:pPr>
            <w:r>
              <w:rPr>
                <w:sz w:val="16"/>
              </w:rPr>
              <w:t>The document sent to production, pinned to one exact released master-card revision</w:t>
            </w:r>
          </w:p>
        </w:tc>
      </w:tr>
      <w:tr>
        <w:trPr>
          <w:cantSplit/>
        </w:trPr>
        <w:tc>
          <w:tcPr>
            <w:tcW w:type="dxa" w:w="4819"/>
            <w:tcMar>
              <w:top w:w="100" w:type="dxa"/>
              <w:start w:w="120" w:type="dxa"/>
              <w:bottom w:w="100" w:type="dxa"/>
              <w:end w:w="120" w:type="dxa"/>
            </w:tcMar>
          </w:tcPr>
          <w:p>
            <w:pPr>
              <w:spacing w:after="0"/>
            </w:pPr>
            <w:r>
              <w:rPr>
                <w:sz w:val="16"/>
              </w:rPr>
              <w:t>Release gate</w:t>
            </w:r>
          </w:p>
        </w:tc>
        <w:tc>
          <w:tcPr>
            <w:tcW w:type="dxa" w:w="4819"/>
            <w:tcMar>
              <w:top w:w="100" w:type="dxa"/>
              <w:start w:w="120" w:type="dxa"/>
              <w:bottom w:w="100" w:type="dxa"/>
              <w:end w:w="120" w:type="dxa"/>
            </w:tcMar>
          </w:tcPr>
          <w:p>
            <w:pPr>
              <w:spacing w:after="0"/>
            </w:pPr>
            <w:r>
              <w:rPr>
                <w:sz w:val="16"/>
              </w:rPr>
              <w:t>A code, vendor, legal, hardware or operational condition that needs recorded evidence before launch</w:t>
            </w:r>
          </w:p>
        </w:tc>
      </w:tr>
    </w:tbl>
    <w:p>
      <w:pPr>
        <w:spacing w:after="0"/>
      </w:pPr>
    </w:p>
    <w:p>
      <w:pPr>
        <w:pStyle w:val="Heading2"/>
        <w:keepNext/>
      </w:pPr>
      <w:r>
        <w:t>Handoff checklist</w:t>
      </w:r>
    </w:p>
    <w:p>
      <w:r>
        <w:t>☐ Intended changes are committed and pushed to a named branch/tag/commit.</w:t>
      </w:r>
    </w:p>
    <w:p>
      <w:r>
        <w:t>☐ Recipient has authorized GitHub access.</w:t>
      </w:r>
    </w:p>
    <w:p>
      <w:r>
        <w:t>☐ No secrets or tenant data are inside the shared package.</w:t>
      </w:r>
    </w:p>
    <w:p>
      <w:r>
        <w:t>☐ Named product, technical, environment and security contacts are supplied separately.</w:t>
      </w:r>
    </w:p>
    <w:p>
      <w:r>
        <w:t>☐ Recipient can install dependencies and run pnpm dev:check.</w:t>
      </w:r>
    </w:p>
    <w:p>
      <w:r>
        <w:t>☐ Recipient understands that local code completion is not production readiness.</w:t>
      </w:r>
    </w:p>
    <w:p>
      <w:r>
        <w:t>☐ Open release gates and the next validation milestone are agreed.</w:t>
      </w:r>
    </w:p>
    <w:tbl>
      <w:tblPr>
        <w:tblW w:type="auto" w:w="0"/>
        <w:jc w:val="center"/>
        <w:tblLook w:firstColumn="1" w:firstRow="1" w:lastColumn="0" w:lastRow="0" w:noHBand="0" w:noVBand="1" w:val="04A0"/>
      </w:tblPr>
      <w:tblGrid>
        <w:gridCol w:w="9638"/>
      </w:tblGrid>
      <w:tr>
        <w:trPr>
          <w:cantSplit/>
        </w:trPr>
        <w:tc>
          <w:tcPr>
            <w:tcW w:type="dxa" w:w="9638"/>
            <w:shd w:fill="E8F5F5"/>
            <w:tcMar>
              <w:top w:w="140" w:type="dxa"/>
              <w:start w:w="170" w:type="dxa"/>
              <w:bottom w:w="140" w:type="dxa"/>
              <w:end w:w="170" w:type="dxa"/>
            </w:tcMar>
          </w:tcPr>
          <w:p>
            <w:r>
              <w:rPr>
                <w:b/>
                <w:color w:val="173B57"/>
              </w:rPr>
              <w:t>Bottom line</w:t>
              <w:br/>
            </w:r>
            <w:r>
              <w:t>This is a substantial, test-heavy WMS implementation with strong tenant, ledger and audit boundaries. The next challenge is evidence: stabilize and share the intended revision, connect isolated staging vendors, validate real devices and load, prove recovery, and complete legal and pilot gates before production use.</w:t>
            </w:r>
          </w:p>
        </w:tc>
      </w:tr>
    </w:tbl>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37D"/>
        <w:sz w:val="16"/>
      </w:rPr>
      <w:t xml:space="preserve">Internal project overview  •  18 August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8737D"/>
        <w:sz w:val="16"/>
      </w:rPr>
      <w:t>INDUSTRIAL SAS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B57"/>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7D8D"/>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B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B5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ugby-Thailand/industrial-sas" TargetMode="External"/><Relationship Id="rId12" Type="http://schemas.openxmlformats.org/officeDocument/2006/relationships/hyperlink" Target="https://github.com/Rugby-Thailand/industrial-sas/blob/main/README.md" TargetMode="External"/><Relationship Id="rId13" Type="http://schemas.openxmlformats.org/officeDocument/2006/relationships/hyperlink" Target="https://github.com/Rugby-Thailand/industrial-sas/blob/main/docs/README.md" TargetMode="External"/><Relationship Id="rId14" Type="http://schemas.openxmlformats.org/officeDocument/2006/relationships/hyperlink" Target="https://github.com/Rugby-Thailand/industrial-sas/blob/main/docs/plan/README.md" TargetMode="External"/><Relationship Id="rId15" Type="http://schemas.openxmlformats.org/officeDocument/2006/relationships/hyperlink" Target="https://github.com/Rugby-Thailand/industrial-sas/blob/main/docs/plan/project-goal.md" TargetMode="External"/><Relationship Id="rId16" Type="http://schemas.openxmlformats.org/officeDocument/2006/relationships/hyperlink" Target="https://github.com/Rugby-Thailand/industrial-sas/blob/main/docs/plan/technology.md" TargetMode="External"/><Relationship Id="rId17" Type="http://schemas.openxmlformats.org/officeDocument/2006/relationships/hyperlink" Target="https://github.com/Rugby-Thailand/industrial-sas/blob/main/docs/plan/business-logic.md" TargetMode="External"/><Relationship Id="rId18" Type="http://schemas.openxmlformats.org/officeDocument/2006/relationships/hyperlink" Target="https://github.com/Rugby-Thailand/industrial-sas/blob/main/docs/development-setup.md" TargetMode="External"/><Relationship Id="rId19" Type="http://schemas.openxmlformats.org/officeDocument/2006/relationships/hyperlink" Target="https://github.com/Rugby-Thailand/industrial-sas/blob/main/docs/environments.md" TargetMode="External"/><Relationship Id="rId20" Type="http://schemas.openxmlformats.org/officeDocument/2006/relationships/hyperlink" Target="https://github.com/Rugby-Thailand/industrial-sas/blob/main/docs/manuals/README.md" TargetMode="External"/><Relationship Id="rId21" Type="http://schemas.openxmlformats.org/officeDocument/2006/relationships/hyperlink" Target="https://github.com/Rugby-Thailand/industrial-sas/blob/main/docs/adr/README.md" TargetMode="External"/><Relationship Id="rId22" Type="http://schemas.openxmlformats.org/officeDocument/2006/relationships/hyperlink" Target="https://github.com/Rugby-Thailand/industrial-sas/blob/main/docs/domain-glossary.md" TargetMode="External"/><Relationship Id="rId23" Type="http://schemas.openxmlformats.org/officeDocument/2006/relationships/hyperlink" Target="https://github.com/Rugby-Thailand/industrial-sas/blob/main/docs/permissions.md" TargetMode="External"/><Relationship Id="rId24" Type="http://schemas.openxmlformats.org/officeDocument/2006/relationships/hyperlink" Target="https://github.com/Rugby-Thailand/industrial-sas/blob/main/docs/release-gates.md" TargetMode="External"/><Relationship Id="rId25" Type="http://schemas.openxmlformats.org/officeDocument/2006/relationships/hyperlink" Target="https://github.com/Rugby-Thailand/industrial-sas/blob/main/docs/specification-coverage.md" TargetMode="External"/><Relationship Id="rId26" Type="http://schemas.openxmlformats.org/officeDocument/2006/relationships/hyperlink" Target="https://github.com/Rugby-Thailand/industrial-sas/blob/main/docs/runbooks/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SAS — Project Handoff &amp; Repository Guide</dc:title>
  <dc:subject>Repository sharing, project architecture, setup and delivery status</dc:subject>
  <dc:creator>OpenAI Codex</dc:creator>
  <cp:keywords>Industrial SAS, WMS, project handoff, repository guide, Convex, Next.js, Clerk</cp:keywords>
  <dc:description>Generated from the repository working tree on 18 August 2026.</dc:description>
  <cp:lastModifiedBy/>
  <cp:revision>1</cp:revision>
  <dcterms:created xsi:type="dcterms:W3CDTF">2013-12-23T23:15:00Z</dcterms:created>
  <dcterms:modified xsi:type="dcterms:W3CDTF">2013-12-23T23:15:00Z</dcterms:modified>
  <cp:category/>
</cp:coreProperties>
</file>