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D2238"/>
          <w:sz w:val="44"/>
        </w:rPr>
        <w:t>CALDERAS CESI S.L.</w:t>
      </w:r>
    </w:p>
    <w:p>
      <w:pPr>
        <w:spacing w:after="280"/>
      </w:pPr>
      <w:r>
        <w:rPr>
          <w:rFonts w:ascii="Arial" w:hAnsi="Arial"/>
          <w:b/>
          <w:color w:val="D35400"/>
          <w:sz w:val="26"/>
        </w:rPr>
        <w:t>MEMORIA TÉCNICA DE AMPLIACIONES FUTURAS Y BACKLOG EVOLUTIVO</w:t>
      </w:r>
    </w:p>
    <w:p>
      <w:pPr>
        <w:spacing w:after="400"/>
      </w:pPr>
      <w:r>
        <w:rPr>
          <w:rFonts w:ascii="Arial" w:hAnsi="Arial"/>
          <w:i/>
          <w:color w:val="566573"/>
          <w:sz w:val="19"/>
        </w:rPr>
        <w:t>Proyecto: Gestor de Incidencias y Mantenimiento Técnico | Fase: Entrega MVP v1.0 | Fecha: Octubre 2026</w:t>
      </w:r>
    </w:p>
    <w:p>
      <w:pPr>
        <w:spacing w:after="320"/>
      </w:pPr>
      <w:r>
        <w:rPr>
          <w:color w:val="D5DBDB"/>
        </w:rPr>
        <w:t>_________________________________________________________________________________</w:t>
      </w:r>
    </w:p>
    <w:p>
      <w:pPr>
        <w:pStyle w:val="Heading1"/>
      </w:pPr>
      <w:r>
        <w:rPr>
          <w:rFonts w:ascii="Arial" w:hAnsi="Arial"/>
          <w:color w:val="0D2238"/>
        </w:rPr>
        <w:t>1. Introducción y Justificación del Alcance del MVP</w:t>
      </w:r>
    </w:p>
    <w:p>
      <w:pPr>
        <w:spacing w:after="120"/>
      </w:pPr>
      <w:r>
        <w:t>Para responder con máxima solvencia a los requerimientos de la empresa Calderas CESI S.L., se ha priorizado la construcción e implantación de un Producto Mínimo Viable (MVP) enfocado en la estabilidad, la robustez relacional y el blindaje de seguridad. La solución desarrollada ya cubre de forma 100% operativa:</w:t>
      </w:r>
    </w:p>
    <w:p>
      <w:pPr>
        <w:pStyle w:val="ListBullet"/>
        <w:spacing w:after="60"/>
      </w:pPr>
      <w:r>
        <w:t>Control de Acceso Basado en Roles (RBAC): Perímetros diferenciados para clientes solicitantes, técnicos de mantenimiento y administradores.</w:t>
      </w:r>
    </w:p>
    <w:p>
      <w:pPr>
        <w:pStyle w:val="ListBullet"/>
        <w:spacing w:after="60"/>
      </w:pPr>
      <w:r>
        <w:t>Catálogo completo de productos de Calderas CESI: Soporte nativo para calderas murales de condensación (EcoCondens), de alta potencia (TermoMax), de biomasa/pellet (BioPellet) y sistemas híbridos de aerotermia.</w:t>
      </w:r>
    </w:p>
    <w:p>
      <w:pPr>
        <w:pStyle w:val="ListBullet"/>
        <w:spacing w:after="60"/>
      </w:pPr>
      <w:r>
        <w:t>Apertura transaccional de incidencias: Manejo atómico ACID con generación correlativa de referencias de servicio (ej. CESI-2026-XXXX).</w:t>
      </w:r>
    </w:p>
    <w:p>
      <w:pPr>
        <w:pStyle w:val="ListBullet"/>
        <w:spacing w:after="60"/>
      </w:pPr>
      <w:r>
        <w:t>Blindaje de privacidad y seguridad: Prevención de vulnerabilidades IDOR (Insecure Direct Object Reference), inyecciones SQL con PDO nativo y ataques CSRF con tokens criptográficos.</w:t>
      </w:r>
    </w:p>
    <w:p>
      <w:pPr>
        <w:pStyle w:val="ListBullet"/>
        <w:spacing w:after="60"/>
      </w:pPr>
      <w:r>
        <w:t>Pistas inmutables de auditoría: Historial cronológico estricto que registra cada cambio de estado, técnico responsable y motivo de la intervención.</w:t>
      </w:r>
    </w:p>
    <w:p>
      <w:pPr>
        <w:spacing w:before="160" w:after="320"/>
      </w:pPr>
      <w:r>
        <w:t>Aquellas funcionalidades de mayor envergadura contempladas en los manuales de arquitectura técnica se detallan a continuación para su incorporación planificada en las fases sucesivas de desarrollo.</w:t>
      </w:r>
    </w:p>
    <w:p>
      <w:pPr>
        <w:pStyle w:val="Heading1"/>
      </w:pPr>
      <w:r>
        <w:rPr>
          <w:rFonts w:ascii="Arial" w:hAnsi="Arial"/>
          <w:color w:val="0D2238"/>
        </w:rPr>
        <w:t>2. Módulos Planificados para Siguientes Fases</w:t>
      </w:r>
    </w:p>
    <w:p>
      <w:pPr>
        <w:pStyle w:val="Heading2"/>
        <w:spacing w:before="200" w:after="80"/>
      </w:pPr>
      <w:r>
        <w:rPr>
          <w:rFonts w:ascii="Arial" w:hAnsi="Arial"/>
          <w:color w:val="154360"/>
          <w:sz w:val="23"/>
        </w:rPr>
        <w:t>2.1. Custodia Segura de Archivos Adjuntos y Fotografías de Averías (Manual 10)</w:t>
      </w:r>
    </w:p>
    <w:p>
      <w:pPr>
        <w:spacing w:after="200"/>
      </w:pPr>
      <w:r>
        <w:t>Permitirá al titular adjuntar fotografías del display de la caldera con códigos de fallo (E01, F28, etc.), manómetros de presión descompensados o placas de número de serie. A nivel arquitectónico, los binarios se almacenarán en un directorio privado fuera del DocumentRoot para impedir la ejecución remota de código (RCE), verificando el tipo MIME real mediante la extensión fileinfo de PHP y distribuyendo las descargas con nombres hasheados y cabeceras forzadas Content-Disposition: attachment.</w:t>
      </w:r>
    </w:p>
    <w:p>
      <w:pPr>
        <w:pStyle w:val="Heading2"/>
        <w:spacing w:before="200" w:after="80"/>
      </w:pPr>
      <w:r>
        <w:rPr>
          <w:rFonts w:ascii="Arial" w:hAnsi="Arial"/>
          <w:color w:val="154360"/>
          <w:sz w:val="23"/>
        </w:rPr>
        <w:t>2.2. Parte de Trabajo Digital y Firma Biométrica del Cliente en Pantalla</w:t>
      </w:r>
    </w:p>
    <w:p>
      <w:pPr>
        <w:spacing w:after="200"/>
      </w:pPr>
      <w:r>
        <w:t>Permitirá al técnico de Calderas CESI, una vez finalizada la reparación o revisión preventiva a domicilio, cumplimentar en su tablet o smartphone el parte de trabajo oficial. Incluirá la captura de firma biométrica mediante HTML5 Canvas, el desglose de piezas sustituidas (vasos de expansión, sondas NTC, válvulas de 3 bares) y la generación automática de un certificado PDF firmado que se enviará de forma inmediata al correo del cliente.</w:t>
      </w:r>
    </w:p>
    <w:p>
      <w:pPr>
        <w:pStyle w:val="Heading2"/>
        <w:spacing w:before="200" w:after="80"/>
      </w:pPr>
      <w:r>
        <w:rPr>
          <w:rFonts w:ascii="Arial" w:hAnsi="Arial"/>
          <w:color w:val="154360"/>
          <w:sz w:val="23"/>
        </w:rPr>
        <w:t>2.3. Sistema de Notificaciones Automáticas (SMS, WhatsApp y Correo)</w:t>
      </w:r>
    </w:p>
    <w:p>
      <w:pPr>
        <w:spacing w:after="200"/>
      </w:pPr>
      <w:r>
        <w:t>Para averías clasificadas con prioridad URGENTE (fugas de gas, cortes de calefacción en ola de frío o inundaciones por rotura de racores), el sistema emitirá avisos instantáneos mediante integración con API de mensajería (Twilio / WhatsApp Business API) al teléfono del técnico de guardia, reduciendo el tiempo de respuesta a menos de 60 minutos.</w:t>
      </w:r>
    </w:p>
    <w:p>
      <w:pPr>
        <w:pStyle w:val="Heading2"/>
        <w:spacing w:before="200" w:after="80"/>
      </w:pPr>
      <w:r>
        <w:rPr>
          <w:rFonts w:ascii="Arial" w:hAnsi="Arial"/>
          <w:color w:val="154360"/>
          <w:sz w:val="23"/>
        </w:rPr>
        <w:t>2.4. Módulo de Gestión de Stock de Repuestos de Caldera</w:t>
      </w:r>
    </w:p>
    <w:p>
      <w:pPr>
        <w:spacing w:after="200"/>
      </w:pPr>
      <w:r>
        <w:t>Conexión directa entre el catálogo de incidencias y el inventario del almacén técnico central de CESI. Cada intervención descontará automáticamente las piezas empleadas, emitiendo alertas cuando el número de repuestos críticos caiga por debajo del umbral mínimo de seguridad.</w:t>
      </w:r>
    </w:p>
    <w:p>
      <w:pPr>
        <w:pStyle w:val="Heading2"/>
        <w:spacing w:before="200" w:after="80"/>
      </w:pPr>
      <w:r>
        <w:rPr>
          <w:rFonts w:ascii="Arial" w:hAnsi="Arial"/>
          <w:color w:val="154360"/>
          <w:sz w:val="23"/>
        </w:rPr>
        <w:t>2.5. Automatización de Revisiones Periódicas Obligatorias (RITE)</w:t>
      </w:r>
    </w:p>
    <w:p>
      <w:pPr>
        <w:spacing w:after="200"/>
      </w:pPr>
      <w:r>
        <w:t>Implementación de un cron job que monitorice las fechas de instalación de cada caldera registrada en el sistema. Al cumplirse los 11 meses de la última inspección, el aplicativo generará de forma proactiva una propuesta de cita para la revisión anual obligatoria, garantizando el cumplimiento normativo de eficiencia energética.</w:t>
      </w:r>
    </w:p>
    <w:p>
      <w:pPr>
        <w:pStyle w:val="Heading1"/>
        <w:spacing w:before="280" w:after="160"/>
      </w:pPr>
      <w:r>
        <w:rPr>
          <w:rFonts w:ascii="Arial" w:hAnsi="Arial"/>
          <w:color w:val="0D2238"/>
        </w:rPr>
        <w:t>3. Matriz de Priorización y Cronograma Estimado</w:t>
      </w:r>
    </w:p>
    <w:tbl>
      <w:tblPr>
        <w:tblW w:type="auto" w:w="0"/>
        <w:jc w:val="center"/>
        <w:tblLook w:firstColumn="1" w:firstRow="1" w:lastColumn="0" w:lastRow="0" w:noHBand="0" w:noVBand="1" w:val="04A0"/>
      </w:tblPr>
      <w:tblGrid>
        <w:gridCol w:w="2340"/>
        <w:gridCol w:w="2340"/>
        <w:gridCol w:w="2340"/>
        <w:gridCol w:w="2340"/>
      </w:tblGrid>
      <w:tr>
        <w:tc>
          <w:tcPr>
            <w:tcW w:type="dxa" w:w="2340"/>
            <w:shd w:fill="154360"/>
          </w:tcPr>
          <w:p>
            <w:pPr>
              <w:jc w:val="left"/>
            </w:pPr>
            <w:r>
              <w:rPr>
                <w:b/>
                <w:color w:val="FFFFFF"/>
                <w:sz w:val="19"/>
              </w:rPr>
              <w:t>Módulo / Funcionalidad</w:t>
            </w:r>
          </w:p>
        </w:tc>
        <w:tc>
          <w:tcPr>
            <w:tcW w:type="dxa" w:w="2340"/>
            <w:shd w:fill="154360"/>
          </w:tcPr>
          <w:p>
            <w:pPr>
              <w:jc w:val="left"/>
            </w:pPr>
            <w:r>
              <w:rPr>
                <w:b/>
                <w:color w:val="FFFFFF"/>
                <w:sz w:val="19"/>
              </w:rPr>
              <w:t>Prioridad</w:t>
            </w:r>
          </w:p>
        </w:tc>
        <w:tc>
          <w:tcPr>
            <w:tcW w:type="dxa" w:w="2340"/>
            <w:shd w:fill="154360"/>
          </w:tcPr>
          <w:p>
            <w:pPr>
              <w:jc w:val="left"/>
            </w:pPr>
            <w:r>
              <w:rPr>
                <w:b/>
                <w:color w:val="FFFFFF"/>
                <w:sz w:val="19"/>
              </w:rPr>
              <w:t>Estimación</w:t>
            </w:r>
          </w:p>
        </w:tc>
        <w:tc>
          <w:tcPr>
            <w:tcW w:type="dxa" w:w="2340"/>
            <w:shd w:fill="154360"/>
          </w:tcPr>
          <w:p>
            <w:pPr>
              <w:jc w:val="left"/>
            </w:pPr>
            <w:r>
              <w:rPr>
                <w:b/>
                <w:color w:val="FFFFFF"/>
                <w:sz w:val="19"/>
              </w:rPr>
              <w:t>Fase Programada</w:t>
            </w:r>
          </w:p>
        </w:tc>
      </w:tr>
      <w:tr>
        <w:tc>
          <w:tcPr>
            <w:tcW w:type="dxa" w:w="2340"/>
            <w:shd w:fill="FFFFFF"/>
          </w:tcPr>
          <w:p>
            <w:r>
              <w:rPr>
                <w:b/>
                <w:sz w:val="18"/>
              </w:rPr>
              <w:t>Subida segura de fotografías/adjuntos</w:t>
            </w:r>
          </w:p>
        </w:tc>
        <w:tc>
          <w:tcPr>
            <w:tcW w:type="dxa" w:w="2340"/>
            <w:shd w:fill="FFFFFF"/>
          </w:tcPr>
          <w:p>
            <w:r>
              <w:rPr>
                <w:sz w:val="18"/>
              </w:rPr>
              <w:t>Alta</w:t>
            </w:r>
          </w:p>
        </w:tc>
        <w:tc>
          <w:tcPr>
            <w:tcW w:type="dxa" w:w="2340"/>
            <w:shd w:fill="FFFFFF"/>
          </w:tcPr>
          <w:p>
            <w:r>
              <w:rPr>
                <w:sz w:val="18"/>
              </w:rPr>
              <w:t>12 horas</w:t>
            </w:r>
          </w:p>
        </w:tc>
        <w:tc>
          <w:tcPr>
            <w:tcW w:type="dxa" w:w="2340"/>
            <w:shd w:fill="FFFFFF"/>
          </w:tcPr>
          <w:p>
            <w:r>
              <w:rPr>
                <w:sz w:val="18"/>
              </w:rPr>
              <w:t>Fase 2.1 (Próxima release)</w:t>
            </w:r>
          </w:p>
        </w:tc>
      </w:tr>
      <w:tr>
        <w:tc>
          <w:tcPr>
            <w:tcW w:type="dxa" w:w="2340"/>
            <w:shd w:fill="F8F9F9"/>
          </w:tcPr>
          <w:p>
            <w:r>
              <w:rPr>
                <w:b/>
                <w:sz w:val="18"/>
              </w:rPr>
              <w:t>Notificaciones automáticas SMS / Email</w:t>
            </w:r>
          </w:p>
        </w:tc>
        <w:tc>
          <w:tcPr>
            <w:tcW w:type="dxa" w:w="2340"/>
            <w:shd w:fill="F8F9F9"/>
          </w:tcPr>
          <w:p>
            <w:r>
              <w:rPr>
                <w:sz w:val="18"/>
              </w:rPr>
              <w:t>Media-Alta</w:t>
            </w:r>
          </w:p>
        </w:tc>
        <w:tc>
          <w:tcPr>
            <w:tcW w:type="dxa" w:w="2340"/>
            <w:shd w:fill="F8F9F9"/>
          </w:tcPr>
          <w:p>
            <w:r>
              <w:rPr>
                <w:sz w:val="18"/>
              </w:rPr>
              <w:t>8 horas</w:t>
            </w:r>
          </w:p>
        </w:tc>
        <w:tc>
          <w:tcPr>
            <w:tcW w:type="dxa" w:w="2340"/>
            <w:shd w:fill="F8F9F9"/>
          </w:tcPr>
          <w:p>
            <w:r>
              <w:rPr>
                <w:sz w:val="18"/>
              </w:rPr>
              <w:t>Fase 2.2</w:t>
            </w:r>
          </w:p>
        </w:tc>
      </w:tr>
      <w:tr>
        <w:tc>
          <w:tcPr>
            <w:tcW w:type="dxa" w:w="2340"/>
            <w:shd w:fill="FFFFFF"/>
          </w:tcPr>
          <w:p>
            <w:r>
              <w:rPr>
                <w:b/>
                <w:sz w:val="18"/>
              </w:rPr>
              <w:t>Parte de trabajo digital con firma en tablet</w:t>
            </w:r>
          </w:p>
        </w:tc>
        <w:tc>
          <w:tcPr>
            <w:tcW w:type="dxa" w:w="2340"/>
            <w:shd w:fill="FFFFFF"/>
          </w:tcPr>
          <w:p>
            <w:r>
              <w:rPr>
                <w:sz w:val="18"/>
              </w:rPr>
              <w:t>Media</w:t>
            </w:r>
          </w:p>
        </w:tc>
        <w:tc>
          <w:tcPr>
            <w:tcW w:type="dxa" w:w="2340"/>
            <w:shd w:fill="FFFFFF"/>
          </w:tcPr>
          <w:p>
            <w:r>
              <w:rPr>
                <w:sz w:val="18"/>
              </w:rPr>
              <w:t>16 horas</w:t>
            </w:r>
          </w:p>
        </w:tc>
        <w:tc>
          <w:tcPr>
            <w:tcW w:type="dxa" w:w="2340"/>
            <w:shd w:fill="FFFFFF"/>
          </w:tcPr>
          <w:p>
            <w:r>
              <w:rPr>
                <w:sz w:val="18"/>
              </w:rPr>
              <w:t>Fase 3.1</w:t>
            </w:r>
          </w:p>
        </w:tc>
      </w:tr>
      <w:tr>
        <w:tc>
          <w:tcPr>
            <w:tcW w:type="dxa" w:w="2340"/>
            <w:shd w:fill="F8F9F9"/>
          </w:tcPr>
          <w:p>
            <w:r>
              <w:rPr>
                <w:b/>
                <w:sz w:val="18"/>
              </w:rPr>
              <w:t>Gestión de stock de repuestos</w:t>
            </w:r>
          </w:p>
        </w:tc>
        <w:tc>
          <w:tcPr>
            <w:tcW w:type="dxa" w:w="2340"/>
            <w:shd w:fill="F8F9F9"/>
          </w:tcPr>
          <w:p>
            <w:r>
              <w:rPr>
                <w:sz w:val="18"/>
              </w:rPr>
              <w:t>Media</w:t>
            </w:r>
          </w:p>
        </w:tc>
        <w:tc>
          <w:tcPr>
            <w:tcW w:type="dxa" w:w="2340"/>
            <w:shd w:fill="F8F9F9"/>
          </w:tcPr>
          <w:p>
            <w:r>
              <w:rPr>
                <w:sz w:val="18"/>
              </w:rPr>
              <w:t>20 horas</w:t>
            </w:r>
          </w:p>
        </w:tc>
        <w:tc>
          <w:tcPr>
            <w:tcW w:type="dxa" w:w="2340"/>
            <w:shd w:fill="F8F9F9"/>
          </w:tcPr>
          <w:p>
            <w:r>
              <w:rPr>
                <w:sz w:val="18"/>
              </w:rPr>
              <w:t>Fase 3.2</w:t>
            </w:r>
          </w:p>
        </w:tc>
      </w:tr>
      <w:tr>
        <w:tc>
          <w:tcPr>
            <w:tcW w:type="dxa" w:w="2340"/>
            <w:shd w:fill="FFFFFF"/>
          </w:tcPr>
          <w:p>
            <w:r>
              <w:rPr>
                <w:b/>
                <w:sz w:val="18"/>
              </w:rPr>
              <w:t>Alertas de inspección anual RITE</w:t>
            </w:r>
          </w:p>
        </w:tc>
        <w:tc>
          <w:tcPr>
            <w:tcW w:type="dxa" w:w="2340"/>
            <w:shd w:fill="FFFFFF"/>
          </w:tcPr>
          <w:p>
            <w:r>
              <w:rPr>
                <w:sz w:val="18"/>
              </w:rPr>
              <w:t>Estratégica</w:t>
            </w:r>
          </w:p>
        </w:tc>
        <w:tc>
          <w:tcPr>
            <w:tcW w:type="dxa" w:w="2340"/>
            <w:shd w:fill="FFFFFF"/>
          </w:tcPr>
          <w:p>
            <w:r>
              <w:rPr>
                <w:sz w:val="18"/>
              </w:rPr>
              <w:t>14 horas</w:t>
            </w:r>
          </w:p>
        </w:tc>
        <w:tc>
          <w:tcPr>
            <w:tcW w:type="dxa" w:w="2340"/>
            <w:shd w:fill="FFFFFF"/>
          </w:tcPr>
          <w:p>
            <w:r>
              <w:rPr>
                <w:sz w:val="18"/>
              </w:rPr>
              <w:t>Fase 3.3</w:t>
            </w:r>
          </w:p>
        </w:tc>
      </w:tr>
    </w:tbl>
    <w:p>
      <w:pPr>
        <w:pStyle w:val="Heading1"/>
        <w:spacing w:before="360" w:after="120"/>
      </w:pPr>
      <w:r>
        <w:rPr>
          <w:rFonts w:ascii="Arial" w:hAnsi="Arial"/>
          <w:color w:val="0D2238"/>
        </w:rPr>
        <w:t>4. Conclusión Técnica</w:t>
      </w:r>
    </w:p>
    <w:p>
      <w:pPr>
        <w:spacing w:after="400"/>
      </w:pPr>
      <w:r>
        <w:t>El núcleo arquitectónico entregado en este MVP garantiza que todas las extensiones contempladas podrán incorporarse de forma modular y desacoplada, preservando la inmutabilidad de los datos históricos y la seguridad del perímetro web de Calderas CESI S.L.</w:t>
      </w:r>
    </w:p>
    <w:p>
      <w:pPr>
        <w:spacing w:before="600"/>
      </w:pPr>
      <w:r>
        <w:t>Calderas CESI S.L. — Departamento de Desarrollo e Implantación Web</w:t>
        <w:br/>
      </w:r>
      <w:r>
        <w:rPr>
          <w:i/>
          <w:color w:val="566573"/>
          <w:sz w:val="19"/>
        </w:rPr>
        <w:t>Documentación Oficial de Entrega de Proyecto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