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F172A"/>
          <w:sz w:val="48"/>
        </w:rPr>
        <w:t>ComplaintScope: Comprehensive Academic Report</w:t>
      </w:r>
    </w:p>
    <w:p>
      <w:pPr>
        <w:spacing w:after="80" w:line="276" w:lineRule="auto"/>
      </w:pPr>
      <w:r>
        <w:t xml:space="preserve">Course: CBS3009 – Advanced Social, Text and Media Analytics (20 Marks)  </w:t>
      </w:r>
    </w:p>
    <w:p>
      <w:pPr>
        <w:spacing w:after="80" w:line="276" w:lineRule="auto"/>
      </w:pPr>
      <w:r>
        <w:t xml:space="preserve">Project Title: ComplaintScope: A Text, Topic and Network Analytics System for Consumer-Complaint Triage and Early Warning  </w:t>
      </w:r>
    </w:p>
    <w:p>
      <w:pPr>
        <w:spacing w:after="80" w:line="276" w:lineRule="auto"/>
      </w:pPr>
      <w:r>
        <w:t xml:space="preserve">Team: Ruhaan Bansal (23BBS0046) | Vedant Rajesh (23BBS0037) | Anish Desai (23BBS0119)  </w:t>
      </w:r>
    </w:p>
    <w:p>
      <w:pPr>
        <w:spacing w:after="80" w:line="276" w:lineRule="auto"/>
      </w:pPr>
      <w:r>
        <w:t>Faculty: Sathish Kumar K | Institution: VIT Vellore | Date: October 2026</w:t>
      </w:r>
    </w:p>
    <w:p>
      <w:pPr>
        <w:spacing w:after="160"/>
      </w:pPr>
    </w:p>
    <w:p>
      <w:pPr>
        <w:pStyle w:val="Heading1"/>
      </w:pPr>
      <w:r>
        <w:rPr>
          <w:rFonts w:ascii="Calibri" w:hAnsi="Calibri"/>
          <w:b/>
          <w:color w:val="1E3A8A"/>
          <w:sz w:val="32"/>
        </w:rPr>
        <w:t>Abstract</w:t>
      </w:r>
    </w:p>
    <w:p>
      <w:pPr>
        <w:spacing w:after="80" w:line="276" w:lineRule="auto"/>
      </w:pPr>
      <w:r>
        <w:t>Consumer financial complaints represent a high-value signal for identifying systemic failures in banking institutions. The Consumer Financial Protection Bureau (CFPB) receives millions of structured complaints annually, of which a subset includes free-text consumer narratives. ComplaintScope is an end-to-end NLP analytics pipeline that transforms these narratives into actionable regulatory intelligence through five analytical components: (1) product category classification, (2) consumer relief-risk prediction and triage, (3a) topic discovery and clustering, (3b) emerging-issue detection with proxy validation, (4) bipartite complaint network analysis, and (5) a composite Systemic Risk Index (SRI). The system operates on 19,998 complaint narratives spanning 2018–2023, uses chronological splits to prevent temporal leakage, and exports all findings through a five-page Streamlit dashboard. Best product classification achieves Macro-F1 reported in results/metrics/, and the top-20% triage review captures Lift@20% times the base rate of relief cases.</w:t>
      </w:r>
    </w:p>
    <w:p>
      <w:pPr>
        <w:spacing w:after="160"/>
      </w:pPr>
    </w:p>
    <w:p>
      <w:pPr>
        <w:pStyle w:val="Heading1"/>
      </w:pPr>
      <w:r>
        <w:rPr>
          <w:rFonts w:ascii="Calibri" w:hAnsi="Calibri"/>
          <w:b/>
          <w:color w:val="1E3A8A"/>
          <w:sz w:val="32"/>
        </w:rPr>
        <w:t>1. Introduction &amp; Motivation</w:t>
      </w:r>
    </w:p>
    <w:p>
      <w:pPr>
        <w:pStyle w:val="Heading2"/>
      </w:pPr>
      <w:r>
        <w:rPr>
          <w:rFonts w:ascii="Calibri" w:hAnsi="Calibri"/>
          <w:b/>
          <w:color w:val="334155"/>
          <w:sz w:val="26"/>
        </w:rPr>
        <w:t>1.1 Problem Context</w:t>
      </w:r>
    </w:p>
    <w:p>
      <w:pPr>
        <w:spacing w:after="80" w:line="276" w:lineRule="auto"/>
      </w:pPr>
      <w:r>
        <w:t>Financial consumers with unresolved grievances represent a critical population for regulatory oversight. The CFPB receives structured complaints daily, but free-text narratives—when submitted by consumers—encode the richest signal about the nature and severity of the dispute. Manual review of thousands of narratives per day is infeasible at scale.</w:t>
      </w:r>
    </w:p>
    <w:p>
      <w:pPr>
        <w:spacing w:after="80" w:line="276" w:lineRule="auto"/>
      </w:pPr>
      <w:r>
        <w:t>Three operational problems drive this project:</w:t>
      </w:r>
    </w:p>
    <w:p>
      <w:pPr>
        <w:pStyle w:val="ListNumber"/>
        <w:spacing w:after="40"/>
      </w:pPr>
      <w:r>
        <w:t>Triage bottleneck: Cases must be routed to the correct product specialist. Manual classification is slow and inconsistent.</w:t>
      </w:r>
    </w:p>
    <w:p>
      <w:pPr>
        <w:pStyle w:val="ListNumber"/>
        <w:spacing w:after="40"/>
      </w:pPr>
      <w:r>
        <w:t>Relief risk: Not all filed complaints result in consumer relief. Identifying high-risk cases for priority review requires a quantitative prediction system.</w:t>
      </w:r>
    </w:p>
    <w:p>
      <w:pPr>
        <w:pStyle w:val="ListNumber"/>
        <w:spacing w:after="40"/>
      </w:pPr>
      <w:r>
        <w:t>Early warning: New complaint themes (e.g., COVID-era forbearance disputes) emerge months before they appear in official regulatory reports. Automated burst detection can provide a 2-3 month early warning signal.</w:t>
      </w:r>
    </w:p>
    <w:p>
      <w:pPr>
        <w:pStyle w:val="Heading2"/>
      </w:pPr>
      <w:r>
        <w:rPr>
          <w:rFonts w:ascii="Calibri" w:hAnsi="Calibri"/>
          <w:b/>
          <w:color w:val="334155"/>
          <w:sz w:val="26"/>
        </w:rPr>
        <w:t>1.2 Objectives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spacing w:before="60" w:after="60"/>
            </w:pPr>
            <w:r>
              <w:rPr>
                <w:rFonts w:ascii="Calibri" w:hAnsi="Calibri"/>
                <w:b/>
                <w:color w:val="FFFFFF"/>
                <w:sz w:val="20"/>
              </w:rPr>
              <w:t>ID</w:t>
            </w:r>
          </w:p>
        </w:tc>
        <w:tc>
          <w:tcPr>
            <w:tcW w:type="dxa" w:w="3120"/>
            <w:shd w:val="clear" w:color="auto" w:fill="1E3A8A"/>
          </w:tcPr>
          <w:p>
            <w:pPr>
              <w:spacing w:before="60" w:after="60"/>
            </w:pPr>
            <w:r>
              <w:rPr>
                <w:rFonts w:ascii="Calibri" w:hAnsi="Calibri"/>
                <w:b/>
                <w:color w:val="FFFFFF"/>
                <w:sz w:val="20"/>
              </w:rPr>
              <w:t>Objective</w:t>
            </w:r>
          </w:p>
        </w:tc>
        <w:tc>
          <w:tcPr>
            <w:tcW w:type="dxa" w:w="3120"/>
            <w:shd w:val="clear" w:color="auto" w:fill="1E3A8A"/>
          </w:tcPr>
          <w:p>
            <w:pPr>
              <w:spacing w:before="60" w:after="60"/>
            </w:pPr>
            <w:r>
              <w:rPr>
                <w:rFonts w:ascii="Calibri" w:hAnsi="Calibri"/>
                <w:b/>
                <w:color w:val="FFFFFF"/>
                <w:sz w:val="20"/>
              </w:rPr>
              <w:t>Component</w:t>
            </w:r>
          </w:p>
        </w:tc>
      </w:tr>
      <w:tr>
        <w:tc>
          <w:tcPr>
            <w:tcW w:type="dxa" w:w="3120"/>
            <w:shd w:val="clear" w:color="auto" w:fill="F8FAFC"/>
          </w:tcPr>
          <w:p>
            <w:pPr>
              <w:spacing w:before="60" w:after="60"/>
            </w:pPr>
            <w:r>
              <w:rPr>
                <w:rFonts w:ascii="Calibri" w:hAnsi="Calibri"/>
                <w:sz w:val="20"/>
              </w:rPr>
              <w:t>O1</w:t>
            </w:r>
          </w:p>
        </w:tc>
        <w:tc>
          <w:tcPr>
            <w:tcW w:type="dxa" w:w="3120"/>
            <w:shd w:val="clear" w:color="auto" w:fill="F8FAFC"/>
          </w:tcPr>
          <w:p>
            <w:pPr>
              <w:spacing w:before="60" w:after="60"/>
            </w:pPr>
            <w:r>
              <w:rPr>
                <w:rFonts w:ascii="Calibri" w:hAnsi="Calibri"/>
                <w:sz w:val="20"/>
              </w:rPr>
              <w:t>Automatically classify consumer complaints to product category</w:t>
            </w:r>
          </w:p>
        </w:tc>
        <w:tc>
          <w:tcPr>
            <w:tcW w:type="dxa" w:w="3120"/>
            <w:shd w:val="clear" w:color="auto" w:fill="F8FAFC"/>
          </w:tcPr>
          <w:p>
            <w:pPr>
              <w:spacing w:before="60" w:after="60"/>
            </w:pPr>
            <w:r>
              <w:rPr>
                <w:rFonts w:ascii="Calibri" w:hAnsi="Calibri"/>
                <w:sz w:val="20"/>
              </w:rPr>
              <w:t>Classification (Phase 4)</w:t>
            </w:r>
          </w:p>
        </w:tc>
      </w:tr>
      <w:tr>
        <w:tc>
          <w:tcPr>
            <w:tcW w:type="dxa" w:w="3120"/>
            <w:shd w:val="clear" w:color="auto" w:fill="FFFFFF"/>
          </w:tcPr>
          <w:p>
            <w:pPr>
              <w:spacing w:before="60" w:after="60"/>
            </w:pPr>
            <w:r>
              <w:rPr>
                <w:rFonts w:ascii="Calibri" w:hAnsi="Calibri"/>
                <w:sz w:val="20"/>
              </w:rPr>
              <w:t>O2</w:t>
            </w:r>
          </w:p>
        </w:tc>
        <w:tc>
          <w:tcPr>
            <w:tcW w:type="dxa" w:w="3120"/>
            <w:shd w:val="clear" w:color="auto" w:fill="FFFFFF"/>
          </w:tcPr>
          <w:p>
            <w:pPr>
              <w:spacing w:before="60" w:after="60"/>
            </w:pPr>
            <w:r>
              <w:rPr>
                <w:rFonts w:ascii="Calibri" w:hAnsi="Calibri"/>
                <w:sz w:val="20"/>
              </w:rPr>
              <w:t>Predict probability of consumer relief being granted</w:t>
            </w:r>
          </w:p>
        </w:tc>
        <w:tc>
          <w:tcPr>
            <w:tcW w:type="dxa" w:w="3120"/>
            <w:shd w:val="clear" w:color="auto" w:fill="FFFFFF"/>
          </w:tcPr>
          <w:p>
            <w:pPr>
              <w:spacing w:before="60" w:after="60"/>
            </w:pPr>
            <w:r>
              <w:rPr>
                <w:rFonts w:ascii="Calibri" w:hAnsi="Calibri"/>
                <w:sz w:val="20"/>
              </w:rPr>
              <w:t>Relief-Risk Prediction (Phase 5)</w:t>
            </w:r>
          </w:p>
        </w:tc>
      </w:tr>
      <w:tr>
        <w:tc>
          <w:tcPr>
            <w:tcW w:type="dxa" w:w="3120"/>
            <w:shd w:val="clear" w:color="auto" w:fill="F8FAFC"/>
          </w:tcPr>
          <w:p>
            <w:pPr>
              <w:spacing w:before="60" w:after="60"/>
            </w:pPr>
            <w:r>
              <w:rPr>
                <w:rFonts w:ascii="Calibri" w:hAnsi="Calibri"/>
                <w:sz w:val="20"/>
              </w:rPr>
              <w:t>O3</w:t>
            </w:r>
          </w:p>
        </w:tc>
        <w:tc>
          <w:tcPr>
            <w:tcW w:type="dxa" w:w="3120"/>
            <w:shd w:val="clear" w:color="auto" w:fill="F8FAFC"/>
          </w:tcPr>
          <w:p>
            <w:pPr>
              <w:spacing w:before="60" w:after="60"/>
            </w:pPr>
            <w:r>
              <w:rPr>
                <w:rFonts w:ascii="Calibri" w:hAnsi="Calibri"/>
                <w:sz w:val="20"/>
              </w:rPr>
              <w:t>Discover latent complaint themes without supervision</w:t>
            </w:r>
          </w:p>
        </w:tc>
        <w:tc>
          <w:tcPr>
            <w:tcW w:type="dxa" w:w="3120"/>
            <w:shd w:val="clear" w:color="auto" w:fill="F8FAFC"/>
          </w:tcPr>
          <w:p>
            <w:pPr>
              <w:spacing w:before="60" w:after="60"/>
            </w:pPr>
            <w:r>
              <w:rPr>
                <w:rFonts w:ascii="Calibri" w:hAnsi="Calibri"/>
                <w:sz w:val="20"/>
              </w:rPr>
              <w:t>Topic Modelling (Phase 6)</w:t>
            </w:r>
          </w:p>
        </w:tc>
      </w:tr>
      <w:tr>
        <w:tc>
          <w:tcPr>
            <w:tcW w:type="dxa" w:w="3120"/>
            <w:shd w:val="clear" w:color="auto" w:fill="FFFFFF"/>
          </w:tcPr>
          <w:p>
            <w:pPr>
              <w:spacing w:before="60" w:after="60"/>
            </w:pPr>
            <w:r>
              <w:rPr>
                <w:rFonts w:ascii="Calibri" w:hAnsi="Calibri"/>
                <w:sz w:val="20"/>
              </w:rPr>
              <w:t>O4</w:t>
            </w:r>
          </w:p>
        </w:tc>
        <w:tc>
          <w:tcPr>
            <w:tcW w:type="dxa" w:w="3120"/>
            <w:shd w:val="clear" w:color="auto" w:fill="FFFFFF"/>
          </w:tcPr>
          <w:p>
            <w:pPr>
              <w:spacing w:before="60" w:after="60"/>
            </w:pPr>
            <w:r>
              <w:rPr>
                <w:rFonts w:ascii="Calibri" w:hAnsi="Calibri"/>
                <w:sz w:val="20"/>
              </w:rPr>
              <w:t>Detect abnormal surges in complaint topics before peak</w:t>
            </w:r>
          </w:p>
        </w:tc>
        <w:tc>
          <w:tcPr>
            <w:tcW w:type="dxa" w:w="3120"/>
            <w:shd w:val="clear" w:color="auto" w:fill="FFFFFF"/>
          </w:tcPr>
          <w:p>
            <w:pPr>
              <w:spacing w:before="60" w:after="60"/>
            </w:pPr>
            <w:r>
              <w:rPr>
                <w:rFonts w:ascii="Calibri" w:hAnsi="Calibri"/>
                <w:sz w:val="20"/>
              </w:rPr>
              <w:t>Burst Detection (Phase 7)</w:t>
            </w:r>
          </w:p>
        </w:tc>
      </w:tr>
      <w:tr>
        <w:tc>
          <w:tcPr>
            <w:tcW w:type="dxa" w:w="3120"/>
            <w:shd w:val="clear" w:color="auto" w:fill="F8FAFC"/>
          </w:tcPr>
          <w:p>
            <w:pPr>
              <w:spacing w:before="60" w:after="60"/>
            </w:pPr>
            <w:r>
              <w:rPr>
                <w:rFonts w:ascii="Calibri" w:hAnsi="Calibri"/>
                <w:sz w:val="20"/>
              </w:rPr>
              <w:t>O5</w:t>
            </w:r>
          </w:p>
        </w:tc>
        <w:tc>
          <w:tcPr>
            <w:tcW w:type="dxa" w:w="3120"/>
            <w:shd w:val="clear" w:color="auto" w:fill="F8FAFC"/>
          </w:tcPr>
          <w:p>
            <w:pPr>
              <w:spacing w:before="60" w:after="60"/>
            </w:pPr>
            <w:r>
              <w:rPr>
                <w:rFonts w:ascii="Calibri" w:hAnsi="Calibri"/>
                <w:sz w:val="20"/>
              </w:rPr>
              <w:t>Map institutional complaint networks and identify systemic risks</w:t>
            </w:r>
          </w:p>
        </w:tc>
        <w:tc>
          <w:tcPr>
            <w:tcW w:type="dxa" w:w="3120"/>
            <w:shd w:val="clear" w:color="auto" w:fill="F8FAFC"/>
          </w:tcPr>
          <w:p>
            <w:pPr>
              <w:spacing w:before="60" w:after="60"/>
            </w:pPr>
            <w:r>
              <w:rPr>
                <w:rFonts w:ascii="Calibri" w:hAnsi="Calibri"/>
                <w:sz w:val="20"/>
              </w:rPr>
              <w:t>Network + SRI (Phases 8-9)</w:t>
            </w:r>
          </w:p>
        </w:tc>
      </w:tr>
    </w:tbl>
    <w:p>
      <w:pPr>
        <w:spacing w:after="120"/>
      </w:pPr>
    </w:p>
    <w:p>
      <w:pPr>
        <w:pStyle w:val="Heading2"/>
      </w:pPr>
      <w:r>
        <w:rPr>
          <w:rFonts w:ascii="Calibri" w:hAnsi="Calibri"/>
          <w:b/>
          <w:color w:val="334155"/>
          <w:sz w:val="26"/>
        </w:rPr>
        <w:t>1.3 Analytical Questions</w:t>
      </w:r>
    </w:p>
    <w:p>
      <w:pPr>
        <w:spacing w:after="80" w:line="276" w:lineRule="auto"/>
      </w:pPr>
      <w:r>
        <w:t>Seven analytical questions (AQ1–AQ7) guide the analysis and are answered with quantitative evidence:</w:t>
      </w:r>
    </w:p>
    <w:p>
      <w:pPr>
        <w:pStyle w:val="ListBullet"/>
        <w:spacing w:after="40"/>
      </w:pPr>
      <w:r>
        <w:t>AQ1: What product category best explains this complaint? (O1)</w:t>
      </w:r>
    </w:p>
    <w:p>
      <w:pPr>
        <w:pStyle w:val="ListBullet"/>
        <w:spacing w:after="40"/>
      </w:pPr>
      <w:r>
        <w:t>AQ2: Which narratives signal high relief risk? (O2)</w:t>
      </w:r>
    </w:p>
    <w:p>
      <w:pPr>
        <w:pStyle w:val="ListBullet"/>
        <w:spacing w:after="40"/>
      </w:pPr>
      <w:r>
        <w:t>AQ3: Does temporal drift affect model performance? (O1)</w:t>
      </w:r>
    </w:p>
    <w:p>
      <w:pPr>
        <w:pStyle w:val="ListBullet"/>
        <w:spacing w:after="40"/>
      </w:pPr>
      <w:r>
        <w:t>AQ4: What latent themes exist in complaints? (O3)</w:t>
      </w:r>
    </w:p>
    <w:p>
      <w:pPr>
        <w:pStyle w:val="ListBullet"/>
        <w:spacing w:after="40"/>
      </w:pPr>
      <w:r>
        <w:t>AQ5: Which complaint themes are emerging? (O4)</w:t>
      </w:r>
    </w:p>
    <w:p>
      <w:pPr>
        <w:pStyle w:val="ListBullet"/>
        <w:spacing w:after="40"/>
      </w:pPr>
      <w:r>
        <w:t>AQ6: Which institutions show systemic complaint patterns? (O5)</w:t>
      </w:r>
    </w:p>
    <w:p>
      <w:pPr>
        <w:pStyle w:val="ListBullet"/>
        <w:spacing w:after="40"/>
      </w:pPr>
      <w:r>
        <w:t>AQ7: Does model performance differ across demographic groups? (O2)</w:t>
      </w:r>
    </w:p>
    <w:p>
      <w:pPr>
        <w:spacing w:after="160"/>
      </w:pPr>
    </w:p>
    <w:p>
      <w:pPr>
        <w:pStyle w:val="Heading1"/>
      </w:pPr>
      <w:r>
        <w:rPr>
          <w:rFonts w:ascii="Calibri" w:hAnsi="Calibri"/>
          <w:b/>
          <w:color w:val="1E3A8A"/>
          <w:sz w:val="32"/>
        </w:rPr>
        <w:t>2. Dataset Description &amp; Documentation</w:t>
      </w:r>
    </w:p>
    <w:p>
      <w:pPr>
        <w:pStyle w:val="Heading2"/>
      </w:pPr>
      <w:r>
        <w:rPr>
          <w:rFonts w:ascii="Calibri" w:hAnsi="Calibri"/>
          <w:b/>
          <w:color w:val="334155"/>
          <w:sz w:val="26"/>
        </w:rPr>
        <w:t>2.1 Source &amp; Provenance</w:t>
      </w:r>
    </w:p>
    <w:p>
      <w:pPr>
        <w:spacing w:after="80" w:line="276" w:lineRule="auto"/>
      </w:pPr>
      <w:r>
        <w:t>The CFPB Consumer Complaint Database is an official US government open dataset published under Creative Commons Zero (CC0 1.0). Complaint narratives are included only with explicit consumer opt-in consent. The historical narrative corpus (2018–2023) was accessed via the Hugging Face mirror at `vivekkopthsd/cfpb-consumer-complaints` on 2026-10-08. Full provenance including SHA-256 hash of the raw archive is recorded in `results/metrics/data_provenance.json`.</w:t>
      </w:r>
    </w:p>
    <w:p>
      <w:pPr>
        <w:pStyle w:val="Heading2"/>
      </w:pPr>
      <w:r>
        <w:rPr>
          <w:rFonts w:ascii="Calibri" w:hAnsi="Calibri"/>
          <w:b/>
          <w:color w:val="334155"/>
          <w:sz w:val="26"/>
        </w:rPr>
        <w:t>2.2 Filtering Funnel</w:t>
      </w:r>
    </w:p>
    <w:p>
      <w:pPr>
        <w:spacing w:after="80" w:line="276" w:lineRule="auto"/>
      </w:pPr>
      <w:r>
        <w:t>The data pipeline applies strict filtering criteria documented in `data/DATASET_CARD.md`: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spacing w:before="60" w:after="60"/>
            </w:pPr>
            <w:r>
              <w:rPr>
                <w:rFonts w:ascii="Calibri" w:hAnsi="Calibri"/>
                <w:b/>
                <w:color w:val="FFFFFF"/>
                <w:sz w:val="20"/>
              </w:rPr>
              <w:t>Stage</w:t>
            </w:r>
          </w:p>
        </w:tc>
        <w:tc>
          <w:tcPr>
            <w:tcW w:type="dxa" w:w="3120"/>
            <w:shd w:val="clear" w:color="auto" w:fill="1E3A8A"/>
          </w:tcPr>
          <w:p>
            <w:pPr>
              <w:spacing w:before="60" w:after="60"/>
            </w:pPr>
            <w:r>
              <w:rPr>
                <w:rFonts w:ascii="Calibri" w:hAnsi="Calibri"/>
                <w:b/>
                <w:color w:val="FFFFFF"/>
                <w:sz w:val="20"/>
              </w:rPr>
              <w:t>Count</w:t>
            </w:r>
          </w:p>
        </w:tc>
        <w:tc>
          <w:tcPr>
            <w:tcW w:type="dxa" w:w="3120"/>
            <w:shd w:val="clear" w:color="auto" w:fill="1E3A8A"/>
          </w:tcPr>
          <w:p>
            <w:pPr>
              <w:spacing w:before="60" w:after="60"/>
            </w:pPr>
            <w:r>
              <w:rPr>
                <w:rFonts w:ascii="Calibri" w:hAnsi="Calibri"/>
                <w:b/>
                <w:color w:val="FFFFFF"/>
                <w:sz w:val="20"/>
              </w:rPr>
              <w:t>Notes</w:t>
            </w:r>
          </w:p>
        </w:tc>
      </w:tr>
      <w:tr>
        <w:tc>
          <w:tcPr>
            <w:tcW w:type="dxa" w:w="3120"/>
            <w:shd w:val="clear" w:color="auto" w:fill="F8FAFC"/>
          </w:tcPr>
          <w:p>
            <w:pPr>
              <w:spacing w:before="60" w:after="60"/>
            </w:pPr>
            <w:r>
              <w:rPr>
                <w:rFonts w:ascii="Calibri" w:hAnsi="Calibri"/>
                <w:sz w:val="20"/>
              </w:rPr>
              <w:t>Raw CFPB corpus (all complaints)</w:t>
            </w:r>
          </w:p>
        </w:tc>
        <w:tc>
          <w:tcPr>
            <w:tcW w:type="dxa" w:w="3120"/>
            <w:shd w:val="clear" w:color="auto" w:fill="F8FAFC"/>
          </w:tcPr>
          <w:p>
            <w:pPr>
              <w:spacing w:before="60" w:after="60"/>
            </w:pPr>
            <w:r>
              <w:rPr>
                <w:rFonts w:ascii="Calibri" w:hAnsi="Calibri"/>
                <w:sz w:val="20"/>
              </w:rPr>
              <w:t>&gt;8,000,000</w:t>
            </w:r>
          </w:p>
        </w:tc>
        <w:tc>
          <w:tcPr>
            <w:tcW w:type="dxa" w:w="3120"/>
            <w:shd w:val="clear" w:color="auto" w:fill="F8FAFC"/>
          </w:tcPr>
          <w:p>
            <w:pPr>
              <w:spacing w:before="60" w:after="60"/>
            </w:pPr>
            <w:r>
              <w:rPr>
                <w:rFonts w:ascii="Calibri" w:hAnsi="Calibri"/>
                <w:sz w:val="20"/>
              </w:rPr>
              <w:t>Structured + narrative</w:t>
            </w:r>
          </w:p>
        </w:tc>
      </w:tr>
      <w:tr>
        <w:tc>
          <w:tcPr>
            <w:tcW w:type="dxa" w:w="3120"/>
            <w:shd w:val="clear" w:color="auto" w:fill="FFFFFF"/>
          </w:tcPr>
          <w:p>
            <w:pPr>
              <w:spacing w:before="60" w:after="60"/>
            </w:pPr>
            <w:r>
              <w:rPr>
                <w:rFonts w:ascii="Calibri" w:hAnsi="Calibri"/>
                <w:sz w:val="20"/>
              </w:rPr>
              <w:t>Available narrative records</w:t>
            </w:r>
          </w:p>
        </w:tc>
        <w:tc>
          <w:tcPr>
            <w:tcW w:type="dxa" w:w="3120"/>
            <w:shd w:val="clear" w:color="auto" w:fill="FFFFFF"/>
          </w:tcPr>
          <w:p>
            <w:pPr>
              <w:spacing w:before="60" w:after="60"/>
            </w:pPr>
            <w:r>
              <w:rPr>
                <w:rFonts w:ascii="Calibri" w:hAnsi="Calibri"/>
                <w:sz w:val="20"/>
              </w:rPr>
              <w:t>Retrieved from HF mirror</w:t>
            </w:r>
          </w:p>
        </w:tc>
        <w:tc>
          <w:tcPr>
            <w:tcW w:type="dxa" w:w="3120"/>
            <w:shd w:val="clear" w:color="auto" w:fill="FFFFFF"/>
          </w:tcPr>
          <w:p>
            <w:pPr>
              <w:spacing w:before="60" w:after="60"/>
            </w:pPr>
            <w:r>
              <w:rPr>
                <w:rFonts w:ascii="Calibri" w:hAnsi="Calibri"/>
                <w:sz w:val="20"/>
              </w:rPr>
              <w:t>Non-null narratives</w:t>
            </w:r>
          </w:p>
        </w:tc>
      </w:tr>
      <w:tr>
        <w:tc>
          <w:tcPr>
            <w:tcW w:type="dxa" w:w="3120"/>
            <w:shd w:val="clear" w:color="auto" w:fill="F8FAFC"/>
          </w:tcPr>
          <w:p>
            <w:pPr>
              <w:spacing w:before="60" w:after="60"/>
            </w:pPr>
            <w:r>
              <w:rPr>
                <w:rFonts w:ascii="Calibri" w:hAnsi="Calibri"/>
                <w:sz w:val="20"/>
              </w:rPr>
              <w:t>Date range filter (2018–2023)</w:t>
            </w:r>
          </w:p>
        </w:tc>
        <w:tc>
          <w:tcPr>
            <w:tcW w:type="dxa" w:w="3120"/>
            <w:shd w:val="clear" w:color="auto" w:fill="F8FAFC"/>
          </w:tcPr>
          <w:p>
            <w:pPr>
              <w:spacing w:before="60" w:after="60"/>
            </w:pPr>
            <w:r>
              <w:rPr>
                <w:rFonts w:ascii="Calibri" w:hAnsi="Calibri"/>
                <w:sz w:val="20"/>
              </w:rPr>
              <w:t>—</w:t>
            </w:r>
          </w:p>
        </w:tc>
        <w:tc>
          <w:tcPr>
            <w:tcW w:type="dxa" w:w="3120"/>
            <w:shd w:val="clear" w:color="auto" w:fill="F8FAFC"/>
          </w:tcPr>
          <w:p>
            <w:pPr>
              <w:spacing w:before="60" w:after="60"/>
            </w:pPr>
            <w:r>
              <w:rPr>
                <w:rFonts w:ascii="Calibri" w:hAnsi="Calibri"/>
                <w:sz w:val="20"/>
              </w:rPr>
              <w:t>Within study period</w:t>
            </w:r>
          </w:p>
        </w:tc>
      </w:tr>
      <w:tr>
        <w:tc>
          <w:tcPr>
            <w:tcW w:type="dxa" w:w="3120"/>
            <w:shd w:val="clear" w:color="auto" w:fill="FFFFFF"/>
          </w:tcPr>
          <w:p>
            <w:pPr>
              <w:spacing w:before="60" w:after="60"/>
            </w:pPr>
            <w:r>
              <w:rPr>
                <w:rFonts w:ascii="Calibri" w:hAnsi="Calibri"/>
                <w:sz w:val="20"/>
              </w:rPr>
              <w:t>Minimum length (≥20 words)</w:t>
            </w:r>
          </w:p>
        </w:tc>
        <w:tc>
          <w:tcPr>
            <w:tcW w:type="dxa" w:w="3120"/>
            <w:shd w:val="clear" w:color="auto" w:fill="FFFFFF"/>
          </w:tcPr>
          <w:p>
            <w:pPr>
              <w:spacing w:before="60" w:after="60"/>
            </w:pPr>
            <w:r>
              <w:rPr>
                <w:rFonts w:ascii="Calibri" w:hAnsi="Calibri"/>
                <w:sz w:val="20"/>
              </w:rPr>
              <w:t>—</w:t>
            </w:r>
          </w:p>
        </w:tc>
        <w:tc>
          <w:tcPr>
            <w:tcW w:type="dxa" w:w="3120"/>
            <w:shd w:val="clear" w:color="auto" w:fill="FFFFFF"/>
          </w:tcPr>
          <w:p>
            <w:pPr>
              <w:spacing w:before="60" w:after="60"/>
            </w:pPr>
            <w:r>
              <w:rPr>
                <w:rFonts w:ascii="Calibri" w:hAnsi="Calibri"/>
                <w:sz w:val="20"/>
              </w:rPr>
              <w:t>Removes boilerplate</w:t>
            </w:r>
          </w:p>
        </w:tc>
      </w:tr>
      <w:tr>
        <w:tc>
          <w:tcPr>
            <w:tcW w:type="dxa" w:w="3120"/>
            <w:shd w:val="clear" w:color="auto" w:fill="F8FAFC"/>
          </w:tcPr>
          <w:p>
            <w:pPr>
              <w:spacing w:before="60" w:after="60"/>
            </w:pPr>
            <w:r>
              <w:rPr>
                <w:rFonts w:ascii="Calibri" w:hAnsi="Calibri"/>
                <w:sz w:val="20"/>
              </w:rPr>
              <w:t>Exact duplicate removal</w:t>
            </w:r>
          </w:p>
        </w:tc>
        <w:tc>
          <w:tcPr>
            <w:tcW w:type="dxa" w:w="3120"/>
            <w:shd w:val="clear" w:color="auto" w:fill="F8FAFC"/>
          </w:tcPr>
          <w:p>
            <w:pPr>
              <w:spacing w:before="60" w:after="60"/>
            </w:pPr>
            <w:r>
              <w:rPr>
                <w:rFonts w:ascii="Calibri" w:hAnsi="Calibri"/>
                <w:sz w:val="20"/>
              </w:rPr>
              <w:t>—</w:t>
            </w:r>
          </w:p>
        </w:tc>
        <w:tc>
          <w:tcPr>
            <w:tcW w:type="dxa" w:w="3120"/>
            <w:shd w:val="clear" w:color="auto" w:fill="F8FAFC"/>
          </w:tcPr>
          <w:p>
            <w:pPr>
              <w:spacing w:before="60" w:after="60"/>
            </w:pPr>
            <w:r>
              <w:rPr>
                <w:rFonts w:ascii="Calibri" w:hAnsi="Calibri"/>
                <w:sz w:val="20"/>
              </w:rPr>
              <w:t>131,442 duplicates dropped</w:t>
            </w:r>
          </w:p>
        </w:tc>
      </w:tr>
      <w:tr>
        <w:tc>
          <w:tcPr>
            <w:tcW w:type="dxa" w:w="3120"/>
            <w:shd w:val="clear" w:color="auto" w:fill="FFFFFF"/>
          </w:tcPr>
          <w:p>
            <w:pPr>
              <w:spacing w:before="60" w:after="60"/>
            </w:pPr>
            <w:r>
              <w:rPr>
                <w:rFonts w:ascii="Calibri" w:hAnsi="Calibri"/>
                <w:sz w:val="20"/>
              </w:rPr>
              <w:t>Definite relief label</w:t>
            </w:r>
          </w:p>
        </w:tc>
        <w:tc>
          <w:tcPr>
            <w:tcW w:type="dxa" w:w="3120"/>
            <w:shd w:val="clear" w:color="auto" w:fill="FFFFFF"/>
          </w:tcPr>
          <w:p>
            <w:pPr>
              <w:spacing w:before="60" w:after="60"/>
            </w:pPr>
            <w:r>
              <w:rPr>
                <w:rFonts w:ascii="Calibri" w:hAnsi="Calibri"/>
                <w:sz w:val="20"/>
              </w:rPr>
              <w:t>—</w:t>
            </w:r>
          </w:p>
        </w:tc>
        <w:tc>
          <w:tcPr>
            <w:tcW w:type="dxa" w:w="3120"/>
            <w:shd w:val="clear" w:color="auto" w:fill="FFFFFF"/>
          </w:tcPr>
          <w:p>
            <w:pPr>
              <w:spacing w:before="60" w:after="60"/>
            </w:pPr>
            <w:r>
              <w:rPr>
                <w:rFonts w:ascii="Calibri" w:hAnsi="Calibri"/>
                <w:sz w:val="20"/>
              </w:rPr>
              <w:t>Excludes in-progress/untimely</w:t>
            </w:r>
          </w:p>
        </w:tc>
      </w:tr>
      <w:tr>
        <w:tc>
          <w:tcPr>
            <w:tcW w:type="dxa" w:w="3120"/>
            <w:shd w:val="clear" w:color="auto" w:fill="F8FAFC"/>
          </w:tcPr>
          <w:p>
            <w:pPr>
              <w:spacing w:before="60" w:after="60"/>
            </w:pPr>
            <w:r>
              <w:rPr>
                <w:rFonts w:ascii="Calibri" w:hAnsi="Calibri"/>
                <w:sz w:val="20"/>
              </w:rPr>
              <w:t>Final sampled corpus</w:t>
            </w:r>
          </w:p>
        </w:tc>
        <w:tc>
          <w:tcPr>
            <w:tcW w:type="dxa" w:w="3120"/>
            <w:shd w:val="clear" w:color="auto" w:fill="F8FAFC"/>
          </w:tcPr>
          <w:p>
            <w:pPr>
              <w:spacing w:before="60" w:after="60"/>
            </w:pPr>
            <w:r>
              <w:rPr>
                <w:rFonts w:ascii="Calibri" w:hAnsi="Calibri"/>
                <w:sz w:val="20"/>
              </w:rPr>
              <w:t>19,998</w:t>
            </w:r>
          </w:p>
        </w:tc>
        <w:tc>
          <w:tcPr>
            <w:tcW w:type="dxa" w:w="3120"/>
            <w:shd w:val="clear" w:color="auto" w:fill="F8FAFC"/>
          </w:tcPr>
          <w:p>
            <w:pPr>
              <w:spacing w:before="60" w:after="60"/>
            </w:pPr>
            <w:r>
              <w:rPr>
                <w:rFonts w:ascii="Calibri" w:hAnsi="Calibri"/>
                <w:sz w:val="20"/>
              </w:rPr>
              <w:t>Stratified by month</w:t>
            </w:r>
          </w:p>
        </w:tc>
      </w:tr>
    </w:tbl>
    <w:p>
      <w:pPr>
        <w:spacing w:after="120"/>
      </w:pPr>
    </w:p>
    <w:p>
      <w:pPr>
        <w:pStyle w:val="Heading2"/>
      </w:pPr>
      <w:r>
        <w:rPr>
          <w:rFonts w:ascii="Calibri" w:hAnsi="Calibri"/>
          <w:b/>
          <w:color w:val="334155"/>
          <w:sz w:val="26"/>
        </w:rPr>
        <w:t>2.3 Product Class Harmonisation</w:t>
      </w:r>
    </w:p>
    <w:p>
      <w:pPr>
        <w:spacing w:after="80" w:line="276" w:lineRule="auto"/>
      </w:pPr>
      <w:r>
        <w:t>Raw CFPB product taxonomy uses inconsistent labelling across years. We harmonised to 9 consolidated classes using `product_mapping.yaml`:</w:t>
      </w:r>
    </w:p>
    <w:p>
      <w:pPr>
        <w:pStyle w:val="ListNumber"/>
        <w:spacing w:after="40"/>
      </w:pPr>
      <w:r>
        <w:t>Credit reporting &amp; repair</w:t>
      </w:r>
    </w:p>
    <w:p>
      <w:pPr>
        <w:pStyle w:val="ListNumber"/>
        <w:spacing w:after="40"/>
      </w:pPr>
      <w:r>
        <w:t>Debt collection</w:t>
      </w:r>
    </w:p>
    <w:p>
      <w:pPr>
        <w:pStyle w:val="ListNumber"/>
        <w:spacing w:after="40"/>
      </w:pPr>
      <w:r>
        <w:t>Mortgage</w:t>
      </w:r>
    </w:p>
    <w:p>
      <w:pPr>
        <w:pStyle w:val="ListNumber"/>
        <w:spacing w:after="40"/>
      </w:pPr>
      <w:r>
        <w:t>Credit/prepaid card</w:t>
      </w:r>
    </w:p>
    <w:p>
      <w:pPr>
        <w:pStyle w:val="ListNumber"/>
        <w:spacing w:after="40"/>
      </w:pPr>
      <w:r>
        <w:t>Checking/savings account</w:t>
      </w:r>
    </w:p>
    <w:p>
      <w:pPr>
        <w:pStyle w:val="ListNumber"/>
        <w:spacing w:after="40"/>
      </w:pPr>
      <w:r>
        <w:t>Student loan</w:t>
      </w:r>
    </w:p>
    <w:p>
      <w:pPr>
        <w:pStyle w:val="ListNumber"/>
        <w:spacing w:after="40"/>
      </w:pPr>
      <w:r>
        <w:t>Vehicle/consumer loan</w:t>
      </w:r>
    </w:p>
    <w:p>
      <w:pPr>
        <w:pStyle w:val="ListNumber"/>
        <w:spacing w:after="40"/>
      </w:pPr>
      <w:r>
        <w:t>Money transfer &amp; services</w:t>
      </w:r>
    </w:p>
    <w:p>
      <w:pPr>
        <w:pStyle w:val="ListNumber"/>
        <w:spacing w:after="40"/>
      </w:pPr>
      <w:r>
        <w:t>Other/personal loan</w:t>
      </w:r>
    </w:p>
    <w:p>
      <w:pPr>
        <w:pStyle w:val="Heading2"/>
      </w:pPr>
      <w:r>
        <w:rPr>
          <w:rFonts w:ascii="Calibri" w:hAnsi="Calibri"/>
          <w:b/>
          <w:color w:val="334155"/>
          <w:sz w:val="26"/>
        </w:rPr>
        <w:t>2.4 Chronological Partitioning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spacing w:before="60" w:after="60"/>
            </w:pPr>
            <w:r>
              <w:rPr>
                <w:rFonts w:ascii="Calibri" w:hAnsi="Calibri"/>
                <w:b/>
                <w:color w:val="FFFFFF"/>
                <w:sz w:val="20"/>
              </w:rPr>
              <w:t>Split</w:t>
            </w:r>
          </w:p>
        </w:tc>
        <w:tc>
          <w:tcPr>
            <w:tcW w:type="dxa" w:w="3120"/>
            <w:shd w:val="clear" w:color="auto" w:fill="1E3A8A"/>
          </w:tcPr>
          <w:p>
            <w:pPr>
              <w:spacing w:before="60" w:after="60"/>
            </w:pPr>
            <w:r>
              <w:rPr>
                <w:rFonts w:ascii="Calibri" w:hAnsi="Calibri"/>
                <w:b/>
                <w:color w:val="FFFFFF"/>
                <w:sz w:val="20"/>
              </w:rPr>
              <w:t>Count</w:t>
            </w:r>
          </w:p>
        </w:tc>
        <w:tc>
          <w:tcPr>
            <w:tcW w:type="dxa" w:w="3120"/>
            <w:shd w:val="clear" w:color="auto" w:fill="1E3A8A"/>
          </w:tcPr>
          <w:p>
            <w:pPr>
              <w:spacing w:before="60" w:after="60"/>
            </w:pPr>
            <w:r>
              <w:rPr>
                <w:rFonts w:ascii="Calibri" w:hAnsi="Calibri"/>
                <w:b/>
                <w:color w:val="FFFFFF"/>
                <w:sz w:val="20"/>
              </w:rPr>
              <w:t>Date Range</w:t>
            </w:r>
          </w:p>
        </w:tc>
      </w:tr>
      <w:tr>
        <w:tc>
          <w:tcPr>
            <w:tcW w:type="dxa" w:w="3120"/>
            <w:shd w:val="clear" w:color="auto" w:fill="F8FAFC"/>
          </w:tcPr>
          <w:p>
            <w:pPr>
              <w:spacing w:before="60" w:after="60"/>
            </w:pPr>
            <w:r>
              <w:rPr>
                <w:rFonts w:ascii="Calibri" w:hAnsi="Calibri"/>
                <w:sz w:val="20"/>
              </w:rPr>
              <w:t>Train (70%)</w:t>
            </w:r>
          </w:p>
        </w:tc>
        <w:tc>
          <w:tcPr>
            <w:tcW w:type="dxa" w:w="3120"/>
            <w:shd w:val="clear" w:color="auto" w:fill="F8FAFC"/>
          </w:tcPr>
          <w:p>
            <w:pPr>
              <w:spacing w:before="60" w:after="60"/>
            </w:pPr>
            <w:r>
              <w:rPr>
                <w:rFonts w:ascii="Calibri" w:hAnsi="Calibri"/>
                <w:sz w:val="20"/>
              </w:rPr>
              <w:t>13,983</w:t>
            </w:r>
          </w:p>
        </w:tc>
        <w:tc>
          <w:tcPr>
            <w:tcW w:type="dxa" w:w="3120"/>
            <w:shd w:val="clear" w:color="auto" w:fill="F8FAFC"/>
          </w:tcPr>
          <w:p>
            <w:pPr>
              <w:spacing w:before="60" w:after="60"/>
            </w:pPr>
            <w:r>
              <w:rPr>
                <w:rFonts w:ascii="Calibri" w:hAnsi="Calibri"/>
                <w:sz w:val="20"/>
              </w:rPr>
              <w:t>2018-07-19 to 2022-03-17</w:t>
            </w:r>
          </w:p>
        </w:tc>
      </w:tr>
      <w:tr>
        <w:tc>
          <w:tcPr>
            <w:tcW w:type="dxa" w:w="3120"/>
            <w:shd w:val="clear" w:color="auto" w:fill="FFFFFF"/>
          </w:tcPr>
          <w:p>
            <w:pPr>
              <w:spacing w:before="60" w:after="60"/>
            </w:pPr>
            <w:r>
              <w:rPr>
                <w:rFonts w:ascii="Calibri" w:hAnsi="Calibri"/>
                <w:sz w:val="20"/>
              </w:rPr>
              <w:t>Validation (15%)</w:t>
            </w:r>
          </w:p>
        </w:tc>
        <w:tc>
          <w:tcPr>
            <w:tcW w:type="dxa" w:w="3120"/>
            <w:shd w:val="clear" w:color="auto" w:fill="FFFFFF"/>
          </w:tcPr>
          <w:p>
            <w:pPr>
              <w:spacing w:before="60" w:after="60"/>
            </w:pPr>
            <w:r>
              <w:rPr>
                <w:rFonts w:ascii="Calibri" w:hAnsi="Calibri"/>
                <w:sz w:val="20"/>
              </w:rPr>
              <w:t>2,999</w:t>
            </w:r>
          </w:p>
        </w:tc>
        <w:tc>
          <w:tcPr>
            <w:tcW w:type="dxa" w:w="3120"/>
            <w:shd w:val="clear" w:color="auto" w:fill="FFFFFF"/>
          </w:tcPr>
          <w:p>
            <w:pPr>
              <w:spacing w:before="60" w:after="60"/>
            </w:pPr>
            <w:r>
              <w:rPr>
                <w:rFonts w:ascii="Calibri" w:hAnsi="Calibri"/>
                <w:sz w:val="20"/>
              </w:rPr>
              <w:t>2022-03-18 to 2022-08-12</w:t>
            </w:r>
          </w:p>
        </w:tc>
      </w:tr>
      <w:tr>
        <w:tc>
          <w:tcPr>
            <w:tcW w:type="dxa" w:w="3120"/>
            <w:shd w:val="clear" w:color="auto" w:fill="F8FAFC"/>
          </w:tcPr>
          <w:p>
            <w:pPr>
              <w:spacing w:before="60" w:after="60"/>
            </w:pPr>
            <w:r>
              <w:rPr>
                <w:rFonts w:ascii="Calibri" w:hAnsi="Calibri"/>
                <w:sz w:val="20"/>
              </w:rPr>
              <w:t>Test (15%)</w:t>
            </w:r>
          </w:p>
        </w:tc>
        <w:tc>
          <w:tcPr>
            <w:tcW w:type="dxa" w:w="3120"/>
            <w:shd w:val="clear" w:color="auto" w:fill="F8FAFC"/>
          </w:tcPr>
          <w:p>
            <w:pPr>
              <w:spacing w:before="60" w:after="60"/>
            </w:pPr>
            <w:r>
              <w:rPr>
                <w:rFonts w:ascii="Calibri" w:hAnsi="Calibri"/>
                <w:sz w:val="20"/>
              </w:rPr>
              <w:t>3,016</w:t>
            </w:r>
          </w:p>
        </w:tc>
        <w:tc>
          <w:tcPr>
            <w:tcW w:type="dxa" w:w="3120"/>
            <w:shd w:val="clear" w:color="auto" w:fill="F8FAFC"/>
          </w:tcPr>
          <w:p>
            <w:pPr>
              <w:spacing w:before="60" w:after="60"/>
            </w:pPr>
            <w:r>
              <w:rPr>
                <w:rFonts w:ascii="Calibri" w:hAnsi="Calibri"/>
                <w:sz w:val="20"/>
              </w:rPr>
              <w:t>2022-08-13 to 2023-01-26</w:t>
            </w:r>
          </w:p>
        </w:tc>
      </w:tr>
    </w:tbl>
    <w:p>
      <w:pPr>
        <w:spacing w:after="120"/>
      </w:pPr>
    </w:p>
    <w:p>
      <w:pPr>
        <w:spacing w:after="80" w:line="276" w:lineRule="auto"/>
      </w:pPr>
      <w:r>
        <w:t>Boundary strictness verified by `tests/test_splits_no_leakage.py` (2/2 tests pass).</w:t>
      </w:r>
    </w:p>
    <w:p>
      <w:pPr>
        <w:spacing w:after="160"/>
      </w:pPr>
    </w:p>
    <w:p>
      <w:pPr>
        <w:pStyle w:val="Heading1"/>
      </w:pPr>
      <w:r>
        <w:rPr>
          <w:rFonts w:ascii="Calibri" w:hAnsi="Calibri"/>
          <w:b/>
          <w:color w:val="1E3A8A"/>
          <w:sz w:val="32"/>
        </w:rPr>
        <w:t>3. Text Preprocessing</w:t>
      </w:r>
    </w:p>
    <w:p>
      <w:pPr>
        <w:pStyle w:val="Heading2"/>
      </w:pPr>
      <w:r>
        <w:rPr>
          <w:rFonts w:ascii="Calibri" w:hAnsi="Calibri"/>
          <w:b/>
          <w:color w:val="334155"/>
          <w:sz w:val="26"/>
        </w:rPr>
        <w:t>3.1 Pipeline Architecture</w:t>
      </w:r>
    </w:p>
    <w:p>
      <w:pPr>
        <w:spacing w:after="80" w:line="276" w:lineRule="auto"/>
      </w:pPr>
      <w:r>
        <w:t>The preprocessing pipeline (`src/preprocess.py`) consists of 6 sequential steps:</w:t>
      </w:r>
    </w:p>
    <w:p>
      <w:pPr>
        <w:pStyle w:val="ListNumber"/>
        <w:spacing w:after="40"/>
      </w:pPr>
      <w:r>
        <w:t>Unicode normalisation (NFKC) and whitespace collapse</w:t>
      </w:r>
    </w:p>
    <w:p>
      <w:pPr>
        <w:pStyle w:val="ListNumber"/>
        <w:spacing w:after="40"/>
      </w:pPr>
      <w:r>
        <w:t>Redaction placeholder handling: `XXXX→&lt;redacted&gt;`, `XX/XX/XXXX→&lt;date&gt;`, `{$123.45}→&lt;amt&gt;`</w:t>
      </w:r>
    </w:p>
    <w:p>
      <w:pPr>
        <w:pStyle w:val="ListNumber"/>
        <w:spacing w:after="40"/>
      </w:pPr>
      <w:r>
        <w:t>Noise removal: URLs, email addresses, phone numbers, repeated punctuation</w:t>
      </w:r>
    </w:p>
    <w:p>
      <w:pPr>
        <w:pStyle w:val="ListNumber"/>
        <w:spacing w:after="40"/>
      </w:pPr>
      <w:r>
        <w:t>Lowercasing</w:t>
      </w:r>
    </w:p>
    <w:p>
      <w:pPr>
        <w:pStyle w:val="ListNumber"/>
        <w:spacing w:after="40"/>
      </w:pPr>
      <w:r>
        <w:t>Tokenisation + lemmatisation via spaCy `en_core_web_sm` with `nlp.pipe` for batch efficiency</w:t>
      </w:r>
    </w:p>
    <w:p>
      <w:pPr>
        <w:pStyle w:val="ListNumber"/>
        <w:spacing w:after="40"/>
      </w:pPr>
      <w:r>
        <w:t>Stopword filtering with negation preservation (`not`, `never`, `without`, etc.)</w:t>
      </w:r>
    </w:p>
    <w:p>
      <w:pPr>
        <w:pStyle w:val="Heading2"/>
      </w:pPr>
      <w:r>
        <w:rPr>
          <w:rFonts w:ascii="Calibri" w:hAnsi="Calibri"/>
          <w:b/>
          <w:color w:val="334155"/>
          <w:sz w:val="26"/>
        </w:rPr>
        <w:t>3.2 Ablation Study</w:t>
      </w:r>
    </w:p>
    <w:p>
      <w:pPr>
        <w:spacing w:after="80" w:line="276" w:lineRule="auto"/>
      </w:pPr>
      <w:r>
        <w:t>To justify each preprocessing decision, we conducted a controlled ablation study on a stratified 3,000-row subsample of the training split (validated on 1,000 validation rows). Seven configurations were evaluated under TF-IDF + Logistic Regression: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spacing w:before="60" w:after="60"/>
            </w:pPr>
            <w:r>
              <w:rPr>
                <w:rFonts w:ascii="Calibri" w:hAnsi="Calibri"/>
                <w:b/>
                <w:color w:val="FFFFFF"/>
                <w:sz w:val="20"/>
              </w:rPr>
              <w:t>Configuration</w:t>
            </w:r>
          </w:p>
        </w:tc>
        <w:tc>
          <w:tcPr>
            <w:tcW w:type="dxa" w:w="1872"/>
            <w:shd w:val="clear" w:color="auto" w:fill="1E3A8A"/>
          </w:tcPr>
          <w:p>
            <w:pPr>
              <w:spacing w:before="60" w:after="60"/>
            </w:pPr>
            <w:r>
              <w:rPr>
                <w:rFonts w:ascii="Calibri" w:hAnsi="Calibri"/>
                <w:b/>
                <w:color w:val="FFFFFF"/>
                <w:sz w:val="20"/>
              </w:rPr>
              <w:t>Val Macro-F1</w:t>
            </w:r>
          </w:p>
        </w:tc>
        <w:tc>
          <w:tcPr>
            <w:tcW w:type="dxa" w:w="1872"/>
            <w:shd w:val="clear" w:color="auto" w:fill="1E3A8A"/>
          </w:tcPr>
          <w:p>
            <w:pPr>
              <w:spacing w:before="60" w:after="60"/>
            </w:pPr>
            <w:r>
              <w:rPr>
                <w:rFonts w:ascii="Calibri" w:hAnsi="Calibri"/>
                <w:b/>
                <w:color w:val="FFFFFF"/>
                <w:sz w:val="20"/>
              </w:rPr>
              <w:t>Val Accuracy</w:t>
            </w:r>
          </w:p>
        </w:tc>
        <w:tc>
          <w:tcPr>
            <w:tcW w:type="dxa" w:w="1872"/>
            <w:shd w:val="clear" w:color="auto" w:fill="1E3A8A"/>
          </w:tcPr>
          <w:p>
            <w:pPr>
              <w:spacing w:before="60" w:after="60"/>
            </w:pPr>
            <w:r>
              <w:rPr>
                <w:rFonts w:ascii="Calibri" w:hAnsi="Calibri"/>
                <w:b/>
                <w:color w:val="FFFFFF"/>
                <w:sz w:val="20"/>
              </w:rPr>
              <w:t>Latency (s)</w:t>
            </w:r>
          </w:p>
        </w:tc>
        <w:tc>
          <w:tcPr>
            <w:tcW w:type="dxa" w:w="1872"/>
            <w:shd w:val="clear" w:color="auto" w:fill="1E3A8A"/>
          </w:tcPr>
          <w:p>
            <w:pPr>
              <w:spacing w:before="60" w:after="60"/>
            </w:pPr>
            <w:r>
              <w:rPr>
                <w:rFonts w:ascii="Calibri" w:hAnsi="Calibri"/>
                <w:b/>
                <w:color w:val="FFFFFF"/>
                <w:sz w:val="20"/>
              </w:rPr>
              <w:t>Analytical Finding</w:t>
            </w:r>
          </w:p>
        </w:tc>
      </w:tr>
      <w:tr>
        <w:tc>
          <w:tcPr>
            <w:tcW w:type="dxa" w:w="1872"/>
            <w:shd w:val="clear" w:color="auto" w:fill="F8FAFC"/>
          </w:tcPr>
          <w:p>
            <w:pPr>
              <w:spacing w:before="60" w:after="60"/>
            </w:pPr>
            <w:r>
              <w:rPr>
                <w:rFonts w:ascii="Calibri" w:hAnsi="Calibri"/>
                <w:sz w:val="20"/>
              </w:rPr>
              <w:t>No Redaction Handling (delete)</w:t>
            </w:r>
          </w:p>
        </w:tc>
        <w:tc>
          <w:tcPr>
            <w:tcW w:type="dxa" w:w="1872"/>
            <w:shd w:val="clear" w:color="auto" w:fill="F8FAFC"/>
          </w:tcPr>
          <w:p>
            <w:pPr>
              <w:spacing w:before="60" w:after="60"/>
            </w:pPr>
            <w:r>
              <w:rPr>
                <w:rFonts w:ascii="Calibri" w:hAnsi="Calibri"/>
                <w:sz w:val="20"/>
              </w:rPr>
              <w:t>0.5140</w:t>
            </w:r>
          </w:p>
        </w:tc>
        <w:tc>
          <w:tcPr>
            <w:tcW w:type="dxa" w:w="1872"/>
            <w:shd w:val="clear" w:color="auto" w:fill="F8FAFC"/>
          </w:tcPr>
          <w:p>
            <w:pPr>
              <w:spacing w:before="60" w:after="60"/>
            </w:pPr>
            <w:r>
              <w:rPr>
                <w:rFonts w:ascii="Calibri" w:hAnsi="Calibri"/>
                <w:sz w:val="20"/>
              </w:rPr>
              <w:t>0.8260</w:t>
            </w:r>
          </w:p>
        </w:tc>
        <w:tc>
          <w:tcPr>
            <w:tcW w:type="dxa" w:w="1872"/>
            <w:shd w:val="clear" w:color="auto" w:fill="F8FAFC"/>
          </w:tcPr>
          <w:p>
            <w:pPr>
              <w:spacing w:before="60" w:after="60"/>
            </w:pPr>
            <w:r>
              <w:rPr>
                <w:rFonts w:ascii="Calibri" w:hAnsi="Calibri"/>
                <w:sz w:val="20"/>
              </w:rPr>
              <w:t>107.7s</w:t>
            </w:r>
          </w:p>
        </w:tc>
        <w:tc>
          <w:tcPr>
            <w:tcW w:type="dxa" w:w="1872"/>
            <w:shd w:val="clear" w:color="auto" w:fill="F8FAFC"/>
          </w:tcPr>
          <w:p>
            <w:pPr>
              <w:spacing w:before="60" w:after="60"/>
            </w:pPr>
            <w:r>
              <w:rPr>
                <w:rFonts w:ascii="Calibri" w:hAnsi="Calibri"/>
                <w:sz w:val="20"/>
              </w:rPr>
              <w:t>Highest Macro-F1; purging redaction strings eliminates uninformative artifact tokens</w:t>
            </w:r>
          </w:p>
        </w:tc>
      </w:tr>
      <w:tr>
        <w:tc>
          <w:tcPr>
            <w:tcW w:type="dxa" w:w="1872"/>
            <w:shd w:val="clear" w:color="auto" w:fill="FFFFFF"/>
          </w:tcPr>
          <w:p>
            <w:pPr>
              <w:spacing w:before="60" w:after="60"/>
            </w:pPr>
            <w:r>
              <w:rPr>
                <w:rFonts w:ascii="Calibri" w:hAnsi="Calibri"/>
                <w:sz w:val="20"/>
              </w:rPr>
              <w:t>Baseline (placeholders)</w:t>
            </w:r>
          </w:p>
        </w:tc>
        <w:tc>
          <w:tcPr>
            <w:tcW w:type="dxa" w:w="1872"/>
            <w:shd w:val="clear" w:color="auto" w:fill="FFFFFF"/>
          </w:tcPr>
          <w:p>
            <w:pPr>
              <w:spacing w:before="60" w:after="60"/>
            </w:pPr>
            <w:r>
              <w:rPr>
                <w:rFonts w:ascii="Calibri" w:hAnsi="Calibri"/>
                <w:sz w:val="20"/>
              </w:rPr>
              <w:t>0.4991</w:t>
            </w:r>
          </w:p>
        </w:tc>
        <w:tc>
          <w:tcPr>
            <w:tcW w:type="dxa" w:w="1872"/>
            <w:shd w:val="clear" w:color="auto" w:fill="FFFFFF"/>
          </w:tcPr>
          <w:p>
            <w:pPr>
              <w:spacing w:before="60" w:after="60"/>
            </w:pPr>
            <w:r>
              <w:rPr>
                <w:rFonts w:ascii="Calibri" w:hAnsi="Calibri"/>
                <w:sz w:val="20"/>
              </w:rPr>
              <w:t>0.8230</w:t>
            </w:r>
          </w:p>
        </w:tc>
        <w:tc>
          <w:tcPr>
            <w:tcW w:type="dxa" w:w="1872"/>
            <w:shd w:val="clear" w:color="auto" w:fill="FFFFFF"/>
          </w:tcPr>
          <w:p>
            <w:pPr>
              <w:spacing w:before="60" w:after="60"/>
            </w:pPr>
            <w:r>
              <w:rPr>
                <w:rFonts w:ascii="Calibri" w:hAnsi="Calibri"/>
                <w:sz w:val="20"/>
              </w:rPr>
              <w:t>138.8s</w:t>
            </w:r>
          </w:p>
        </w:tc>
        <w:tc>
          <w:tcPr>
            <w:tcW w:type="dxa" w:w="1872"/>
            <w:shd w:val="clear" w:color="auto" w:fill="FFFFFF"/>
          </w:tcPr>
          <w:p>
            <w:pPr>
              <w:spacing w:before="60" w:after="60"/>
            </w:pPr>
            <w:r>
              <w:rPr>
                <w:rFonts w:ascii="Calibri" w:hAnsi="Calibri"/>
                <w:sz w:val="20"/>
              </w:rPr>
              <w:t>Strong performance; retains structured `&lt;amt&gt;`, `&lt;date&gt;`, `&lt;redacted&gt;` tokens</w:t>
            </w:r>
          </w:p>
        </w:tc>
      </w:tr>
      <w:tr>
        <w:tc>
          <w:tcPr>
            <w:tcW w:type="dxa" w:w="1872"/>
            <w:shd w:val="clear" w:color="auto" w:fill="F8FAFC"/>
          </w:tcPr>
          <w:p>
            <w:pPr>
              <w:spacing w:before="60" w:after="60"/>
            </w:pPr>
            <w:r>
              <w:rPr>
                <w:rFonts w:ascii="Calibri" w:hAnsi="Calibri"/>
                <w:sz w:val="20"/>
              </w:rPr>
              <w:t>No Lowercase</w:t>
            </w:r>
          </w:p>
        </w:tc>
        <w:tc>
          <w:tcPr>
            <w:tcW w:type="dxa" w:w="1872"/>
            <w:shd w:val="clear" w:color="auto" w:fill="F8FAFC"/>
          </w:tcPr>
          <w:p>
            <w:pPr>
              <w:spacing w:before="60" w:after="60"/>
            </w:pPr>
            <w:r>
              <w:rPr>
                <w:rFonts w:ascii="Calibri" w:hAnsi="Calibri"/>
                <w:sz w:val="20"/>
              </w:rPr>
              <w:t>0.4978</w:t>
            </w:r>
          </w:p>
        </w:tc>
        <w:tc>
          <w:tcPr>
            <w:tcW w:type="dxa" w:w="1872"/>
            <w:shd w:val="clear" w:color="auto" w:fill="F8FAFC"/>
          </w:tcPr>
          <w:p>
            <w:pPr>
              <w:spacing w:before="60" w:after="60"/>
            </w:pPr>
            <w:r>
              <w:rPr>
                <w:rFonts w:ascii="Calibri" w:hAnsi="Calibri"/>
                <w:sz w:val="20"/>
              </w:rPr>
              <w:t>0.8230</w:t>
            </w:r>
          </w:p>
        </w:tc>
        <w:tc>
          <w:tcPr>
            <w:tcW w:type="dxa" w:w="1872"/>
            <w:shd w:val="clear" w:color="auto" w:fill="F8FAFC"/>
          </w:tcPr>
          <w:p>
            <w:pPr>
              <w:spacing w:before="60" w:after="60"/>
            </w:pPr>
            <w:r>
              <w:rPr>
                <w:rFonts w:ascii="Calibri" w:hAnsi="Calibri"/>
                <w:sz w:val="20"/>
              </w:rPr>
              <w:t>117.9s</w:t>
            </w:r>
          </w:p>
        </w:tc>
        <w:tc>
          <w:tcPr>
            <w:tcW w:type="dxa" w:w="1872"/>
            <w:shd w:val="clear" w:color="auto" w:fill="F8FAFC"/>
          </w:tcPr>
          <w:p>
            <w:pPr>
              <w:spacing w:before="60" w:after="60"/>
            </w:pPr>
            <w:r>
              <w:rPr>
                <w:rFonts w:ascii="Calibri" w:hAnsi="Calibri"/>
                <w:sz w:val="20"/>
              </w:rPr>
              <w:t>Modest degradation; casing variations split vocabulary tokens</w:t>
            </w:r>
          </w:p>
        </w:tc>
      </w:tr>
      <w:tr>
        <w:tc>
          <w:tcPr>
            <w:tcW w:type="dxa" w:w="1872"/>
            <w:shd w:val="clear" w:color="auto" w:fill="FFFFFF"/>
          </w:tcPr>
          <w:p>
            <w:pPr>
              <w:spacing w:before="60" w:after="60"/>
            </w:pPr>
            <w:r>
              <w:rPr>
                <w:rFonts w:ascii="Calibri" w:hAnsi="Calibri"/>
                <w:sz w:val="20"/>
              </w:rPr>
              <w:t>No Negation Preservation</w:t>
            </w:r>
          </w:p>
        </w:tc>
        <w:tc>
          <w:tcPr>
            <w:tcW w:type="dxa" w:w="1872"/>
            <w:shd w:val="clear" w:color="auto" w:fill="FFFFFF"/>
          </w:tcPr>
          <w:p>
            <w:pPr>
              <w:spacing w:before="60" w:after="60"/>
            </w:pPr>
            <w:r>
              <w:rPr>
                <w:rFonts w:ascii="Calibri" w:hAnsi="Calibri"/>
                <w:sz w:val="20"/>
              </w:rPr>
              <w:t>0.4976</w:t>
            </w:r>
          </w:p>
        </w:tc>
        <w:tc>
          <w:tcPr>
            <w:tcW w:type="dxa" w:w="1872"/>
            <w:shd w:val="clear" w:color="auto" w:fill="FFFFFF"/>
          </w:tcPr>
          <w:p>
            <w:pPr>
              <w:spacing w:before="60" w:after="60"/>
            </w:pPr>
            <w:r>
              <w:rPr>
                <w:rFonts w:ascii="Calibri" w:hAnsi="Calibri"/>
                <w:sz w:val="20"/>
              </w:rPr>
              <w:t>0.8210</w:t>
            </w:r>
          </w:p>
        </w:tc>
        <w:tc>
          <w:tcPr>
            <w:tcW w:type="dxa" w:w="1872"/>
            <w:shd w:val="clear" w:color="auto" w:fill="FFFFFF"/>
          </w:tcPr>
          <w:p>
            <w:pPr>
              <w:spacing w:before="60" w:after="60"/>
            </w:pPr>
            <w:r>
              <w:rPr>
                <w:rFonts w:ascii="Calibri" w:hAnsi="Calibri"/>
                <w:sz w:val="20"/>
              </w:rPr>
              <w:t>113.6s</w:t>
            </w:r>
          </w:p>
        </w:tc>
        <w:tc>
          <w:tcPr>
            <w:tcW w:type="dxa" w:w="1872"/>
            <w:shd w:val="clear" w:color="auto" w:fill="FFFFFF"/>
          </w:tcPr>
          <w:p>
            <w:pPr>
              <w:spacing w:before="60" w:after="60"/>
            </w:pPr>
            <w:r>
              <w:rPr>
                <w:rFonts w:ascii="Calibri" w:hAnsi="Calibri"/>
                <w:sz w:val="20"/>
              </w:rPr>
              <w:t>Drops performance; discarding negation tokens inverts grievance meaning</w:t>
            </w:r>
          </w:p>
        </w:tc>
      </w:tr>
      <w:tr>
        <w:tc>
          <w:tcPr>
            <w:tcW w:type="dxa" w:w="1872"/>
            <w:shd w:val="clear" w:color="auto" w:fill="F8FAFC"/>
          </w:tcPr>
          <w:p>
            <w:pPr>
              <w:spacing w:before="60" w:after="60"/>
            </w:pPr>
            <w:r>
              <w:rPr>
                <w:rFonts w:ascii="Calibri" w:hAnsi="Calibri"/>
                <w:sz w:val="20"/>
              </w:rPr>
              <w:t>No Lemmatization</w:t>
            </w:r>
          </w:p>
        </w:tc>
        <w:tc>
          <w:tcPr>
            <w:tcW w:type="dxa" w:w="1872"/>
            <w:shd w:val="clear" w:color="auto" w:fill="F8FAFC"/>
          </w:tcPr>
          <w:p>
            <w:pPr>
              <w:spacing w:before="60" w:after="60"/>
            </w:pPr>
            <w:r>
              <w:rPr>
                <w:rFonts w:ascii="Calibri" w:hAnsi="Calibri"/>
                <w:sz w:val="20"/>
              </w:rPr>
              <w:t>0.4635</w:t>
            </w:r>
          </w:p>
        </w:tc>
        <w:tc>
          <w:tcPr>
            <w:tcW w:type="dxa" w:w="1872"/>
            <w:shd w:val="clear" w:color="auto" w:fill="F8FAFC"/>
          </w:tcPr>
          <w:p>
            <w:pPr>
              <w:spacing w:before="60" w:after="60"/>
            </w:pPr>
            <w:r>
              <w:rPr>
                <w:rFonts w:ascii="Calibri" w:hAnsi="Calibri"/>
                <w:sz w:val="20"/>
              </w:rPr>
              <w:t>0.8080</w:t>
            </w:r>
          </w:p>
        </w:tc>
        <w:tc>
          <w:tcPr>
            <w:tcW w:type="dxa" w:w="1872"/>
            <w:shd w:val="clear" w:color="auto" w:fill="F8FAFC"/>
          </w:tcPr>
          <w:p>
            <w:pPr>
              <w:spacing w:before="60" w:after="60"/>
            </w:pPr>
            <w:r>
              <w:rPr>
                <w:rFonts w:ascii="Calibri" w:hAnsi="Calibri"/>
                <w:sz w:val="20"/>
              </w:rPr>
              <w:t>9.5s</w:t>
            </w:r>
          </w:p>
        </w:tc>
        <w:tc>
          <w:tcPr>
            <w:tcW w:type="dxa" w:w="1872"/>
            <w:shd w:val="clear" w:color="auto" w:fill="F8FAFC"/>
          </w:tcPr>
          <w:p>
            <w:pPr>
              <w:spacing w:before="60" w:after="60"/>
            </w:pPr>
            <w:r>
              <w:rPr>
                <w:rFonts w:ascii="Calibri" w:hAnsi="Calibri"/>
                <w:sz w:val="20"/>
              </w:rPr>
              <w:t>Sharp drop (-0.0356); proves morphological consolidation is essential</w:t>
            </w:r>
          </w:p>
        </w:tc>
      </w:tr>
      <w:tr>
        <w:tc>
          <w:tcPr>
            <w:tcW w:type="dxa" w:w="1872"/>
            <w:shd w:val="clear" w:color="auto" w:fill="FFFFFF"/>
          </w:tcPr>
          <w:p>
            <w:pPr>
              <w:spacing w:before="60" w:after="60"/>
            </w:pPr>
            <w:r>
              <w:rPr>
                <w:rFonts w:ascii="Calibri" w:hAnsi="Calibri"/>
                <w:sz w:val="20"/>
              </w:rPr>
              <w:t>No Stopword Removal</w:t>
            </w:r>
          </w:p>
        </w:tc>
        <w:tc>
          <w:tcPr>
            <w:tcW w:type="dxa" w:w="1872"/>
            <w:shd w:val="clear" w:color="auto" w:fill="FFFFFF"/>
          </w:tcPr>
          <w:p>
            <w:pPr>
              <w:spacing w:before="60" w:after="60"/>
            </w:pPr>
            <w:r>
              <w:rPr>
                <w:rFonts w:ascii="Calibri" w:hAnsi="Calibri"/>
                <w:sz w:val="20"/>
              </w:rPr>
              <w:t>0.4236</w:t>
            </w:r>
          </w:p>
        </w:tc>
        <w:tc>
          <w:tcPr>
            <w:tcW w:type="dxa" w:w="1872"/>
            <w:shd w:val="clear" w:color="auto" w:fill="FFFFFF"/>
          </w:tcPr>
          <w:p>
            <w:pPr>
              <w:spacing w:before="60" w:after="60"/>
            </w:pPr>
            <w:r>
              <w:rPr>
                <w:rFonts w:ascii="Calibri" w:hAnsi="Calibri"/>
                <w:sz w:val="20"/>
              </w:rPr>
              <w:t>0.8120</w:t>
            </w:r>
          </w:p>
        </w:tc>
        <w:tc>
          <w:tcPr>
            <w:tcW w:type="dxa" w:w="1872"/>
            <w:shd w:val="clear" w:color="auto" w:fill="FFFFFF"/>
          </w:tcPr>
          <w:p>
            <w:pPr>
              <w:spacing w:before="60" w:after="60"/>
            </w:pPr>
            <w:r>
              <w:rPr>
                <w:rFonts w:ascii="Calibri" w:hAnsi="Calibri"/>
                <w:sz w:val="20"/>
              </w:rPr>
              <w:t>114.9s</w:t>
            </w:r>
          </w:p>
        </w:tc>
        <w:tc>
          <w:tcPr>
            <w:tcW w:type="dxa" w:w="1872"/>
            <w:shd w:val="clear" w:color="auto" w:fill="FFFFFF"/>
          </w:tcPr>
          <w:p>
            <w:pPr>
              <w:spacing w:before="60" w:after="60"/>
            </w:pPr>
            <w:r>
              <w:rPr>
                <w:rFonts w:ascii="Calibri" w:hAnsi="Calibri"/>
                <w:sz w:val="20"/>
              </w:rPr>
              <w:t>Severe collapse (-0.0755); boilerplate legal filler dilutes product signals</w:t>
            </w:r>
          </w:p>
        </w:tc>
      </w:tr>
      <w:tr>
        <w:tc>
          <w:tcPr>
            <w:tcW w:type="dxa" w:w="1872"/>
            <w:shd w:val="clear" w:color="auto" w:fill="F8FAFC"/>
          </w:tcPr>
          <w:p>
            <w:pPr>
              <w:spacing w:before="60" w:after="60"/>
            </w:pPr>
            <w:r>
              <w:rPr>
                <w:rFonts w:ascii="Calibri" w:hAnsi="Calibri"/>
                <w:sz w:val="20"/>
              </w:rPr>
              <w:t>Minimal (raw lowercase)</w:t>
            </w:r>
          </w:p>
        </w:tc>
        <w:tc>
          <w:tcPr>
            <w:tcW w:type="dxa" w:w="1872"/>
            <w:shd w:val="clear" w:color="auto" w:fill="F8FAFC"/>
          </w:tcPr>
          <w:p>
            <w:pPr>
              <w:spacing w:before="60" w:after="60"/>
            </w:pPr>
            <w:r>
              <w:rPr>
                <w:rFonts w:ascii="Calibri" w:hAnsi="Calibri"/>
                <w:sz w:val="20"/>
              </w:rPr>
              <w:t>0.4203</w:t>
            </w:r>
          </w:p>
        </w:tc>
        <w:tc>
          <w:tcPr>
            <w:tcW w:type="dxa" w:w="1872"/>
            <w:shd w:val="clear" w:color="auto" w:fill="F8FAFC"/>
          </w:tcPr>
          <w:p>
            <w:pPr>
              <w:spacing w:before="60" w:after="60"/>
            </w:pPr>
            <w:r>
              <w:rPr>
                <w:rFonts w:ascii="Calibri" w:hAnsi="Calibri"/>
                <w:sz w:val="20"/>
              </w:rPr>
              <w:t>0.7960</w:t>
            </w:r>
          </w:p>
        </w:tc>
        <w:tc>
          <w:tcPr>
            <w:tcW w:type="dxa" w:w="1872"/>
            <w:shd w:val="clear" w:color="auto" w:fill="F8FAFC"/>
          </w:tcPr>
          <w:p>
            <w:pPr>
              <w:spacing w:before="60" w:after="60"/>
            </w:pPr>
            <w:r>
              <w:rPr>
                <w:rFonts w:ascii="Calibri" w:hAnsi="Calibri"/>
                <w:sz w:val="20"/>
              </w:rPr>
              <w:t>12.0s</w:t>
            </w:r>
          </w:p>
        </w:tc>
        <w:tc>
          <w:tcPr>
            <w:tcW w:type="dxa" w:w="1872"/>
            <w:shd w:val="clear" w:color="auto" w:fill="F8FAFC"/>
          </w:tcPr>
          <w:p>
            <w:pPr>
              <w:spacing w:before="60" w:after="60"/>
            </w:pPr>
            <w:r>
              <w:rPr>
                <w:rFonts w:ascii="Calibri" w:hAnsi="Calibri"/>
                <w:sz w:val="20"/>
              </w:rPr>
              <w:t>Lowest performance (-0.0937); demonstrates the necessity of the complete NLP pipeline</w:t>
            </w:r>
          </w:p>
        </w:tc>
      </w:tr>
    </w:tbl>
    <w:p>
      <w:pPr>
        <w:spacing w:after="120"/>
      </w:pPr>
    </w:p>
    <w:p>
      <w:pPr>
        <w:spacing w:after="80" w:line="276" w:lineRule="auto"/>
      </w:pPr>
      <w:r>
        <w:t>Source: Empirical ablation experiment on 3,000 train / 1,000 validation split logged in `results/tables/ablation_preprocessing.csv` and visualized in `results/figures/fig_nb02_ablation.png`.</w:t>
      </w:r>
    </w:p>
    <w:p>
      <w:pPr>
        <w:spacing w:after="80" w:line="276" w:lineRule="auto"/>
      </w:pPr>
      <w:r>
        <w:t>Key findings:</w:t>
      </w:r>
    </w:p>
    <w:p>
      <w:pPr>
        <w:pStyle w:val="ListNumber"/>
        <w:spacing w:after="40"/>
      </w:pPr>
      <w:r>
        <w:t>Lemmatization and Stopword Removal are Critical: Eliminating stopword filtering causes a 7.55 percentage-point drop in Macro-F1, while omitting lemmatization incurs a 3.56 point penalty.</w:t>
      </w:r>
    </w:p>
    <w:p>
      <w:pPr>
        <w:pStyle w:val="ListNumber"/>
        <w:spacing w:after="40"/>
      </w:pPr>
      <w:r>
        <w:t>Redaction Treatment: Removing redaction strings entirely slightly outperforms placeholder replacement (0.5140 vs 0.4991 Macro-F1) by preventing artificial cluster centers around common placeholder tokens.</w:t>
      </w:r>
    </w:p>
    <w:p>
      <w:pPr>
        <w:pStyle w:val="ListNumber"/>
        <w:spacing w:after="40"/>
      </w:pPr>
      <w:r>
        <w:t>Negation Retention: Keeping negation operators (`not`, `no`, `never`, `without`) preserves essential semantic cues in consumer dispute narratives.</w:t>
      </w:r>
    </w:p>
    <w:p>
      <w:pPr>
        <w:spacing w:after="160"/>
      </w:pPr>
    </w:p>
    <w:p>
      <w:pPr>
        <w:pStyle w:val="Heading1"/>
      </w:pPr>
      <w:r>
        <w:rPr>
          <w:rFonts w:ascii="Calibri" w:hAnsi="Calibri"/>
          <w:b/>
          <w:color w:val="1E3A8A"/>
          <w:sz w:val="32"/>
        </w:rPr>
        <w:t>4. Feature Engineering</w:t>
      </w:r>
    </w:p>
    <w:p>
      <w:pPr>
        <w:pStyle w:val="Heading2"/>
      </w:pPr>
      <w:r>
        <w:rPr>
          <w:rFonts w:ascii="Calibri" w:hAnsi="Calibri"/>
          <w:b/>
          <w:color w:val="334155"/>
          <w:sz w:val="26"/>
        </w:rPr>
        <w:t>4.1 Bag-of-Words (BoW)</w:t>
      </w:r>
    </w:p>
    <w:p>
      <w:pPr>
        <w:spacing w:after="80" w:line="276" w:lineRule="auto"/>
      </w:pPr>
      <w:r>
        <w:t>CountVectorizer with 30,000 features, bigrams, min_df=2, fit exclusively on the training split.</w:t>
      </w:r>
    </w:p>
    <w:p>
      <w:pPr>
        <w:pStyle w:val="Heading2"/>
      </w:pPr>
      <w:r>
        <w:rPr>
          <w:rFonts w:ascii="Calibri" w:hAnsi="Calibri"/>
          <w:b/>
          <w:color w:val="334155"/>
          <w:sz w:val="26"/>
        </w:rPr>
        <w:t>4.2 Sublinear TF-IDF</w:t>
      </w:r>
    </w:p>
    <w:p>
      <w:pPr>
        <w:spacing w:after="80" w:line="276" w:lineRule="auto"/>
      </w:pPr>
      <w:r>
        <w:t>`TfidfVectorizer(sublinear_tf=True, max_features=30000, ngram_range=(1,2))`. Sublinear scaling `tf=1+log(tf)` reduces dominance of high-frequency terms. The Zipf distribution of complaint vocabulary (Fig 7) justifies this normalisation.</w:t>
      </w:r>
    </w:p>
    <w:p>
      <w:pPr>
        <w:jc w:val="center"/>
      </w:pPr>
      <w:r>
        <w:drawing>
          <wp:inline xmlns:a="http://schemas.openxmlformats.org/drawingml/2006/main" xmlns:pic="http://schemas.openxmlformats.org/drawingml/2006/picture">
            <wp:extent cx="5029200" cy="3434693"/>
            <wp:docPr id="1" name="Picture 1"/>
            <wp:cNvGraphicFramePr>
              <a:graphicFrameLocks noChangeAspect="1"/>
            </wp:cNvGraphicFramePr>
            <a:graphic>
              <a:graphicData uri="http://schemas.openxmlformats.org/drawingml/2006/picture">
                <pic:pic>
                  <pic:nvPicPr>
                    <pic:cNvPr id="0" name="fig07_zipf_distribution.png"/>
                    <pic:cNvPicPr/>
                  </pic:nvPicPr>
                  <pic:blipFill>
                    <a:blip r:embed="rId9"/>
                    <a:stretch>
                      <a:fillRect/>
                    </a:stretch>
                  </pic:blipFill>
                  <pic:spPr>
                    <a:xfrm>
                      <a:off x="0" y="0"/>
                      <a:ext cx="5029200" cy="3434693"/>
                    </a:xfrm>
                    <a:prstGeom prst="rect"/>
                  </pic:spPr>
                </pic:pic>
              </a:graphicData>
            </a:graphic>
          </wp:inline>
        </w:drawing>
      </w:r>
    </w:p>
    <w:p>
      <w:pPr>
        <w:jc w:val="center"/>
      </w:pPr>
      <w:r>
        <w:rPr>
          <w:i/>
          <w:color w:val="64748B"/>
          <w:sz w:val="18"/>
        </w:rPr>
        <w:t>Fig 7: Embedded from results/figures/fig07_zipf_distribution.png</w:t>
      </w:r>
    </w:p>
    <w:p>
      <w:pPr>
        <w:pStyle w:val="Heading2"/>
      </w:pPr>
      <w:r>
        <w:rPr>
          <w:rFonts w:ascii="Calibri" w:hAnsi="Calibri"/>
          <w:b/>
          <w:color w:val="334155"/>
          <w:sz w:val="26"/>
        </w:rPr>
        <w:t>4.3 Sentence-Transformer Embeddings</w:t>
      </w:r>
    </w:p>
    <w:p>
      <w:pPr>
        <w:spacing w:after="80" w:line="276" w:lineRule="auto"/>
      </w:pPr>
      <w:r>
        <w:t>`all-MiniLM-L6-v2` (384-dimensional, L2-normalised) from the sentence-transformers library. Embeddings are cached as numpy arrays in `data/processed/emb_{train/val/test}.npy`.</w:t>
      </w:r>
    </w:p>
    <w:p>
      <w:pPr>
        <w:pStyle w:val="Heading2"/>
      </w:pPr>
      <w:r>
        <w:rPr>
          <w:rFonts w:ascii="Calibri" w:hAnsi="Calibri"/>
          <w:b/>
          <w:color w:val="334155"/>
          <w:sz w:val="26"/>
        </w:rPr>
        <w:t>4.4 Cosine kNN Retrieval</w:t>
      </w:r>
    </w:p>
    <w:p>
      <w:pPr>
        <w:spacing w:after="80" w:line="276" w:lineRule="auto"/>
      </w:pPr>
      <w:r>
        <w:t>For retrieval-augmented triage, we evaluate Precision@k of cosine kNN on MiniLM embeddings. Results in `results/tables/knn_precision_at_k.json`.</w:t>
      </w:r>
    </w:p>
    <w:p>
      <w:pPr>
        <w:pStyle w:val="Heading2"/>
      </w:pPr>
      <w:r>
        <w:rPr>
          <w:rFonts w:ascii="Calibri" w:hAnsi="Calibri"/>
          <w:b/>
          <w:color w:val="334155"/>
          <w:sz w:val="26"/>
        </w:rPr>
        <w:t>4.5 Metadata Features</w:t>
      </w:r>
    </w:p>
    <w:p>
      <w:pPr>
        <w:spacing w:after="80" w:line="276" w:lineRule="auto"/>
      </w:pPr>
      <w:r>
        <w:t>One-hot encoded: `submitted_via`, `tags`, `state`. Company identity explicitly excluded from generalisation models. Metadata feature matrix shapes recorded in `data/processed/meta_feat_names.json`.</w:t>
      </w:r>
    </w:p>
    <w:p>
      <w:pPr>
        <w:spacing w:after="160"/>
      </w:pPr>
    </w:p>
    <w:p>
      <w:pPr>
        <w:pStyle w:val="Heading1"/>
      </w:pPr>
      <w:r>
        <w:rPr>
          <w:rFonts w:ascii="Calibri" w:hAnsi="Calibri"/>
          <w:b/>
          <w:color w:val="1E3A8A"/>
          <w:sz w:val="32"/>
        </w:rPr>
        <w:t>5. Product Classification (Component 1)</w:t>
      </w:r>
    </w:p>
    <w:p>
      <w:pPr>
        <w:pStyle w:val="Heading2"/>
      </w:pPr>
      <w:r>
        <w:rPr>
          <w:rFonts w:ascii="Calibri" w:hAnsi="Calibri"/>
          <w:b/>
          <w:color w:val="334155"/>
          <w:sz w:val="26"/>
        </w:rPr>
        <w:t>5.1 Model Suite</w:t>
      </w:r>
    </w:p>
    <w:p>
      <w:pPr>
        <w:spacing w:after="80" w:line="276" w:lineRule="auto"/>
      </w:pPr>
      <w:r>
        <w:t>Eight classifiers evaluated on the same chronological train/val/test splits:</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3A8A"/>
          </w:tcPr>
          <w:p>
            <w:pPr>
              <w:spacing w:before="60" w:after="60"/>
            </w:pPr>
            <w:r>
              <w:rPr>
                <w:rFonts w:ascii="Calibri" w:hAnsi="Calibri"/>
                <w:b/>
                <w:color w:val="FFFFFF"/>
                <w:sz w:val="20"/>
              </w:rPr>
              <w:t>Model</w:t>
            </w:r>
          </w:p>
        </w:tc>
        <w:tc>
          <w:tcPr>
            <w:tcW w:type="dxa" w:w="4680"/>
            <w:shd w:val="clear" w:color="auto" w:fill="1E3A8A"/>
          </w:tcPr>
          <w:p>
            <w:pPr>
              <w:spacing w:before="60" w:after="60"/>
            </w:pPr>
            <w:r>
              <w:rPr>
                <w:rFonts w:ascii="Calibri" w:hAnsi="Calibri"/>
                <w:b/>
                <w:color w:val="FFFFFF"/>
                <w:sz w:val="20"/>
              </w:rPr>
              <w:t>Description</w:t>
            </w:r>
          </w:p>
        </w:tc>
      </w:tr>
      <w:tr>
        <w:tc>
          <w:tcPr>
            <w:tcW w:type="dxa" w:w="4680"/>
            <w:shd w:val="clear" w:color="auto" w:fill="F8FAFC"/>
          </w:tcPr>
          <w:p>
            <w:pPr>
              <w:spacing w:before="60" w:after="60"/>
            </w:pPr>
            <w:r>
              <w:rPr>
                <w:rFonts w:ascii="Calibri" w:hAnsi="Calibri"/>
                <w:sz w:val="20"/>
              </w:rPr>
              <w:t>DummyClassifier (majority)</w:t>
            </w:r>
          </w:p>
        </w:tc>
        <w:tc>
          <w:tcPr>
            <w:tcW w:type="dxa" w:w="4680"/>
            <w:shd w:val="clear" w:color="auto" w:fill="F8FAFC"/>
          </w:tcPr>
          <w:p>
            <w:pPr>
              <w:spacing w:before="60" w:after="60"/>
            </w:pPr>
            <w:r>
              <w:rPr>
                <w:rFonts w:ascii="Calibri" w:hAnsi="Calibri"/>
                <w:sz w:val="20"/>
              </w:rPr>
              <w:t>Majority-class baseline</w:t>
            </w:r>
          </w:p>
        </w:tc>
      </w:tr>
      <w:tr>
        <w:tc>
          <w:tcPr>
            <w:tcW w:type="dxa" w:w="4680"/>
            <w:shd w:val="clear" w:color="auto" w:fill="FFFFFF"/>
          </w:tcPr>
          <w:p>
            <w:pPr>
              <w:spacing w:before="60" w:after="60"/>
            </w:pPr>
            <w:r>
              <w:rPr>
                <w:rFonts w:ascii="Calibri" w:hAnsi="Calibri"/>
                <w:sz w:val="20"/>
              </w:rPr>
              <w:t>DummyClassifier (stratified)</w:t>
            </w:r>
          </w:p>
        </w:tc>
        <w:tc>
          <w:tcPr>
            <w:tcW w:type="dxa" w:w="4680"/>
            <w:shd w:val="clear" w:color="auto" w:fill="FFFFFF"/>
          </w:tcPr>
          <w:p>
            <w:pPr>
              <w:spacing w:before="60" w:after="60"/>
            </w:pPr>
            <w:r>
              <w:rPr>
                <w:rFonts w:ascii="Calibri" w:hAnsi="Calibri"/>
                <w:sz w:val="20"/>
              </w:rPr>
              <w:t>Stratified random baseline</w:t>
            </w:r>
          </w:p>
        </w:tc>
      </w:tr>
      <w:tr>
        <w:tc>
          <w:tcPr>
            <w:tcW w:type="dxa" w:w="4680"/>
            <w:shd w:val="clear" w:color="auto" w:fill="F8FAFC"/>
          </w:tcPr>
          <w:p>
            <w:pPr>
              <w:spacing w:before="60" w:after="60"/>
            </w:pPr>
            <w:r>
              <w:rPr>
                <w:rFonts w:ascii="Calibri" w:hAnsi="Calibri"/>
                <w:sz w:val="20"/>
              </w:rPr>
              <w:t>MultinomialNB</w:t>
            </w:r>
          </w:p>
        </w:tc>
        <w:tc>
          <w:tcPr>
            <w:tcW w:type="dxa" w:w="4680"/>
            <w:shd w:val="clear" w:color="auto" w:fill="F8FAFC"/>
          </w:tcPr>
          <w:p>
            <w:pPr>
              <w:spacing w:before="60" w:after="60"/>
            </w:pPr>
            <w:r>
              <w:rPr>
                <w:rFonts w:ascii="Calibri" w:hAnsi="Calibri"/>
                <w:sz w:val="20"/>
              </w:rPr>
              <w:t>Probabilistic baseline</w:t>
            </w:r>
          </w:p>
        </w:tc>
      </w:tr>
      <w:tr>
        <w:tc>
          <w:tcPr>
            <w:tcW w:type="dxa" w:w="4680"/>
            <w:shd w:val="clear" w:color="auto" w:fill="FFFFFF"/>
          </w:tcPr>
          <w:p>
            <w:pPr>
              <w:spacing w:before="60" w:after="60"/>
            </w:pPr>
            <w:r>
              <w:rPr>
                <w:rFonts w:ascii="Calibri" w:hAnsi="Calibri"/>
                <w:sz w:val="20"/>
              </w:rPr>
              <w:t>ComplementNB</w:t>
            </w:r>
          </w:p>
        </w:tc>
        <w:tc>
          <w:tcPr>
            <w:tcW w:type="dxa" w:w="4680"/>
            <w:shd w:val="clear" w:color="auto" w:fill="FFFFFF"/>
          </w:tcPr>
          <w:p>
            <w:pPr>
              <w:spacing w:before="60" w:after="60"/>
            </w:pPr>
            <w:r>
              <w:rPr>
                <w:rFonts w:ascii="Calibri" w:hAnsi="Calibri"/>
                <w:sz w:val="20"/>
              </w:rPr>
              <w:t>Better for imbalanced text</w:t>
            </w:r>
          </w:p>
        </w:tc>
      </w:tr>
      <w:tr>
        <w:tc>
          <w:tcPr>
            <w:tcW w:type="dxa" w:w="4680"/>
            <w:shd w:val="clear" w:color="auto" w:fill="F8FAFC"/>
          </w:tcPr>
          <w:p>
            <w:pPr>
              <w:spacing w:before="60" w:after="60"/>
            </w:pPr>
            <w:r>
              <w:rPr>
                <w:rFonts w:ascii="Calibri" w:hAnsi="Calibri"/>
                <w:sz w:val="20"/>
              </w:rPr>
              <w:t>DecisionTree (depth=10)</w:t>
            </w:r>
          </w:p>
        </w:tc>
        <w:tc>
          <w:tcPr>
            <w:tcW w:type="dxa" w:w="4680"/>
            <w:shd w:val="clear" w:color="auto" w:fill="F8FAFC"/>
          </w:tcPr>
          <w:p>
            <w:pPr>
              <w:spacing w:before="60" w:after="60"/>
            </w:pPr>
            <w:r>
              <w:rPr>
                <w:rFonts w:ascii="Calibri" w:hAnsi="Calibri"/>
                <w:sz w:val="20"/>
              </w:rPr>
              <w:t>Interpretable non-linear</w:t>
            </w:r>
          </w:p>
        </w:tc>
      </w:tr>
      <w:tr>
        <w:tc>
          <w:tcPr>
            <w:tcW w:type="dxa" w:w="4680"/>
            <w:shd w:val="clear" w:color="auto" w:fill="FFFFFF"/>
          </w:tcPr>
          <w:p>
            <w:pPr>
              <w:spacing w:before="60" w:after="60"/>
            </w:pPr>
            <w:r>
              <w:rPr>
                <w:rFonts w:ascii="Calibri" w:hAnsi="Calibri"/>
                <w:sz w:val="20"/>
              </w:rPr>
              <w:t>LogisticRegression (default)</w:t>
            </w:r>
          </w:p>
        </w:tc>
        <w:tc>
          <w:tcPr>
            <w:tcW w:type="dxa" w:w="4680"/>
            <w:shd w:val="clear" w:color="auto" w:fill="FFFFFF"/>
          </w:tcPr>
          <w:p>
            <w:pPr>
              <w:spacing w:before="60" w:after="60"/>
            </w:pPr>
            <w:r>
              <w:rPr>
                <w:rFonts w:ascii="Calibri" w:hAnsi="Calibri"/>
                <w:sz w:val="20"/>
              </w:rPr>
              <w:t>Strong linear baseline</w:t>
            </w:r>
          </w:p>
        </w:tc>
      </w:tr>
      <w:tr>
        <w:tc>
          <w:tcPr>
            <w:tcW w:type="dxa" w:w="4680"/>
            <w:shd w:val="clear" w:color="auto" w:fill="F8FAFC"/>
          </w:tcPr>
          <w:p>
            <w:pPr>
              <w:spacing w:before="60" w:after="60"/>
            </w:pPr>
            <w:r>
              <w:rPr>
                <w:rFonts w:ascii="Calibri" w:hAnsi="Calibri"/>
                <w:sz w:val="20"/>
              </w:rPr>
              <w:t>LogisticRegression (tuned)</w:t>
            </w:r>
          </w:p>
        </w:tc>
        <w:tc>
          <w:tcPr>
            <w:tcW w:type="dxa" w:w="4680"/>
            <w:shd w:val="clear" w:color="auto" w:fill="F8FAFC"/>
          </w:tcPr>
          <w:p>
            <w:pPr>
              <w:spacing w:before="60" w:after="60"/>
            </w:pPr>
            <w:r>
              <w:rPr>
                <w:rFonts w:ascii="Calibri" w:hAnsi="Calibri"/>
                <w:sz w:val="20"/>
              </w:rPr>
              <w:t>Val-tuned C and solver</w:t>
            </w:r>
          </w:p>
        </w:tc>
      </w:tr>
      <w:tr>
        <w:tc>
          <w:tcPr>
            <w:tcW w:type="dxa" w:w="4680"/>
            <w:shd w:val="clear" w:color="auto" w:fill="FFFFFF"/>
          </w:tcPr>
          <w:p>
            <w:pPr>
              <w:spacing w:before="60" w:after="60"/>
            </w:pPr>
            <w:r>
              <w:rPr>
                <w:rFonts w:ascii="Calibri" w:hAnsi="Calibri"/>
                <w:sz w:val="20"/>
              </w:rPr>
              <w:t>LinearSVC (calibrated)</w:t>
            </w:r>
          </w:p>
        </w:tc>
        <w:tc>
          <w:tcPr>
            <w:tcW w:type="dxa" w:w="4680"/>
            <w:shd w:val="clear" w:color="auto" w:fill="FFFFFF"/>
          </w:tcPr>
          <w:p>
            <w:pPr>
              <w:spacing w:before="60" w:after="60"/>
            </w:pPr>
            <w:r>
              <w:rPr>
                <w:rFonts w:ascii="Calibri" w:hAnsi="Calibri"/>
                <w:sz w:val="20"/>
              </w:rPr>
              <w:t>Often best for text</w:t>
            </w:r>
          </w:p>
        </w:tc>
      </w:tr>
      <w:tr>
        <w:tc>
          <w:tcPr>
            <w:tcW w:type="dxa" w:w="4680"/>
            <w:shd w:val="clear" w:color="auto" w:fill="F8FAFC"/>
          </w:tcPr>
          <w:p>
            <w:pPr>
              <w:spacing w:before="60" w:after="60"/>
            </w:pPr>
            <w:r>
              <w:rPr>
                <w:rFonts w:ascii="Calibri" w:hAnsi="Calibri"/>
                <w:sz w:val="20"/>
              </w:rPr>
              <w:t>MiniLM-L6 + LR</w:t>
            </w:r>
          </w:p>
        </w:tc>
        <w:tc>
          <w:tcPr>
            <w:tcW w:type="dxa" w:w="4680"/>
            <w:shd w:val="clear" w:color="auto" w:fill="F8FAFC"/>
          </w:tcPr>
          <w:p>
            <w:pPr>
              <w:spacing w:before="60" w:after="60"/>
            </w:pPr>
            <w:r>
              <w:rPr>
                <w:rFonts w:ascii="Calibri" w:hAnsi="Calibri"/>
                <w:sz w:val="20"/>
              </w:rPr>
              <w:t>Dense embedding + LR</w:t>
            </w:r>
          </w:p>
        </w:tc>
      </w:tr>
    </w:tbl>
    <w:p>
      <w:pPr>
        <w:spacing w:after="120"/>
      </w:pPr>
    </w:p>
    <w:p>
      <w:pPr>
        <w:pStyle w:val="Heading2"/>
      </w:pPr>
      <w:r>
        <w:rPr>
          <w:rFonts w:ascii="Calibri" w:hAnsi="Calibri"/>
          <w:b/>
          <w:color w:val="334155"/>
          <w:sz w:val="26"/>
        </w:rPr>
        <w:t>5.2 Hyperparameter Tuning</w:t>
      </w:r>
    </w:p>
    <w:p>
      <w:pPr>
        <w:spacing w:after="80" w:line="276" w:lineRule="auto"/>
      </w:pPr>
      <w:r>
        <w:t>Grid search over `C ∈ {0.01, 0.1, 0.5, 1.0, 5.0, 10.0}` and `solver ∈ {lbfgs, saga}` on the validation split only. Best parameters and all grid results in `results/tables/classification_grid.csv`.</w:t>
      </w:r>
    </w:p>
    <w:p>
      <w:pPr>
        <w:pStyle w:val="Heading2"/>
      </w:pPr>
      <w:r>
        <w:rPr>
          <w:rFonts w:ascii="Calibri" w:hAnsi="Calibri"/>
          <w:b/>
          <w:color w:val="334155"/>
          <w:sz w:val="26"/>
        </w:rPr>
        <w:t>5.3 Results</w:t>
      </w:r>
    </w:p>
    <w:p>
      <w:pPr>
        <w:spacing w:after="80" w:line="276" w:lineRule="auto"/>
      </w:pPr>
      <w:r>
        <w:t>All numbers from `results/tables/classification_results.csv` and `results/metrics/classification_report.json`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spacing w:before="60" w:after="60"/>
            </w:pPr>
            <w:r>
              <w:rPr>
                <w:rFonts w:ascii="Calibri" w:hAnsi="Calibri"/>
                <w:b/>
                <w:color w:val="FFFFFF"/>
                <w:sz w:val="20"/>
              </w:rPr>
              <w:t>Model</w:t>
            </w:r>
          </w:p>
        </w:tc>
        <w:tc>
          <w:tcPr>
            <w:tcW w:type="dxa" w:w="1872"/>
            <w:shd w:val="clear" w:color="auto" w:fill="1E3A8A"/>
          </w:tcPr>
          <w:p>
            <w:pPr>
              <w:spacing w:before="60" w:after="60"/>
            </w:pPr>
            <w:r>
              <w:rPr>
                <w:rFonts w:ascii="Calibri" w:hAnsi="Calibri"/>
                <w:b/>
                <w:color w:val="FFFFFF"/>
                <w:sz w:val="20"/>
              </w:rPr>
              <w:t>Val Macro-F1</w:t>
            </w:r>
          </w:p>
        </w:tc>
        <w:tc>
          <w:tcPr>
            <w:tcW w:type="dxa" w:w="1872"/>
            <w:shd w:val="clear" w:color="auto" w:fill="1E3A8A"/>
          </w:tcPr>
          <w:p>
            <w:pPr>
              <w:spacing w:before="60" w:after="60"/>
            </w:pPr>
            <w:r>
              <w:rPr>
                <w:rFonts w:ascii="Calibri" w:hAnsi="Calibri"/>
                <w:b/>
                <w:color w:val="FFFFFF"/>
                <w:sz w:val="20"/>
              </w:rPr>
              <w:t>Test Macro-F1</w:t>
            </w:r>
          </w:p>
        </w:tc>
        <w:tc>
          <w:tcPr>
            <w:tcW w:type="dxa" w:w="1872"/>
            <w:shd w:val="clear" w:color="auto" w:fill="1E3A8A"/>
          </w:tcPr>
          <w:p>
            <w:pPr>
              <w:spacing w:before="60" w:after="60"/>
            </w:pPr>
            <w:r>
              <w:rPr>
                <w:rFonts w:ascii="Calibri" w:hAnsi="Calibri"/>
                <w:b/>
                <w:color w:val="FFFFFF"/>
                <w:sz w:val="20"/>
              </w:rPr>
              <w:t>Test Accuracy</w:t>
            </w:r>
          </w:p>
        </w:tc>
        <w:tc>
          <w:tcPr>
            <w:tcW w:type="dxa" w:w="1872"/>
            <w:shd w:val="clear" w:color="auto" w:fill="1E3A8A"/>
          </w:tcPr>
          <w:p>
            <w:pPr>
              <w:spacing w:before="60" w:after="60"/>
            </w:pPr>
            <w:r>
              <w:rPr>
                <w:rFonts w:ascii="Calibri" w:hAnsi="Calibri"/>
                <w:b/>
                <w:color w:val="FFFFFF"/>
                <w:sz w:val="20"/>
              </w:rPr>
              <w:t>95% Bootstrap CI</w:t>
            </w:r>
          </w:p>
        </w:tc>
      </w:tr>
      <w:tr>
        <w:tc>
          <w:tcPr>
            <w:tcW w:type="dxa" w:w="1872"/>
            <w:shd w:val="clear" w:color="auto" w:fill="F8FAFC"/>
          </w:tcPr>
          <w:p>
            <w:pPr>
              <w:spacing w:before="60" w:after="60"/>
            </w:pPr>
            <w:r>
              <w:rPr>
                <w:rFonts w:ascii="Calibri" w:hAnsi="Calibri"/>
                <w:sz w:val="20"/>
              </w:rPr>
              <w:t>LinearSVC (calibrated)</w:t>
            </w:r>
          </w:p>
        </w:tc>
        <w:tc>
          <w:tcPr>
            <w:tcW w:type="dxa" w:w="1872"/>
            <w:shd w:val="clear" w:color="auto" w:fill="F8FAFC"/>
          </w:tcPr>
          <w:p>
            <w:pPr>
              <w:spacing w:before="60" w:after="60"/>
            </w:pPr>
            <w:r>
              <w:rPr>
                <w:rFonts w:ascii="Calibri" w:hAnsi="Calibri"/>
                <w:sz w:val="20"/>
              </w:rPr>
              <w:t>0.7349</w:t>
            </w:r>
          </w:p>
        </w:tc>
        <w:tc>
          <w:tcPr>
            <w:tcW w:type="dxa" w:w="1872"/>
            <w:shd w:val="clear" w:color="auto" w:fill="F8FAFC"/>
          </w:tcPr>
          <w:p>
            <w:pPr>
              <w:spacing w:before="60" w:after="60"/>
            </w:pPr>
            <w:r>
              <w:rPr>
                <w:rFonts w:ascii="Calibri" w:hAnsi="Calibri"/>
                <w:sz w:val="20"/>
              </w:rPr>
              <w:t>0.7394</w:t>
            </w:r>
          </w:p>
        </w:tc>
        <w:tc>
          <w:tcPr>
            <w:tcW w:type="dxa" w:w="1872"/>
            <w:shd w:val="clear" w:color="auto" w:fill="F8FAFC"/>
          </w:tcPr>
          <w:p>
            <w:pPr>
              <w:spacing w:before="60" w:after="60"/>
            </w:pPr>
            <w:r>
              <w:rPr>
                <w:rFonts w:ascii="Calibri" w:hAnsi="Calibri"/>
                <w:sz w:val="20"/>
              </w:rPr>
              <w:t>0.8743</w:t>
            </w:r>
          </w:p>
        </w:tc>
        <w:tc>
          <w:tcPr>
            <w:tcW w:type="dxa" w:w="1872"/>
            <w:shd w:val="clear" w:color="auto" w:fill="F8FAFC"/>
          </w:tcPr>
          <w:p>
            <w:pPr>
              <w:spacing w:before="60" w:after="60"/>
            </w:pPr>
            <w:r>
              <w:rPr>
                <w:rFonts w:ascii="Calibri" w:hAnsi="Calibri"/>
                <w:sz w:val="20"/>
              </w:rPr>
              <w:t>[0.7079, 0.7666]</w:t>
            </w:r>
          </w:p>
        </w:tc>
      </w:tr>
      <w:tr>
        <w:tc>
          <w:tcPr>
            <w:tcW w:type="dxa" w:w="1872"/>
            <w:shd w:val="clear" w:color="auto" w:fill="FFFFFF"/>
          </w:tcPr>
          <w:p>
            <w:pPr>
              <w:spacing w:before="60" w:after="60"/>
            </w:pPr>
            <w:r>
              <w:rPr>
                <w:rFonts w:ascii="Calibri" w:hAnsi="Calibri"/>
                <w:sz w:val="20"/>
              </w:rPr>
              <w:t>LogisticRegression (tuned)</w:t>
            </w:r>
          </w:p>
        </w:tc>
        <w:tc>
          <w:tcPr>
            <w:tcW w:type="dxa" w:w="1872"/>
            <w:shd w:val="clear" w:color="auto" w:fill="FFFFFF"/>
          </w:tcPr>
          <w:p>
            <w:pPr>
              <w:spacing w:before="60" w:after="60"/>
            </w:pPr>
            <w:r>
              <w:rPr>
                <w:rFonts w:ascii="Calibri" w:hAnsi="Calibri"/>
                <w:sz w:val="20"/>
              </w:rPr>
              <w:t>0.7171</w:t>
            </w:r>
          </w:p>
        </w:tc>
        <w:tc>
          <w:tcPr>
            <w:tcW w:type="dxa" w:w="1872"/>
            <w:shd w:val="clear" w:color="auto" w:fill="FFFFFF"/>
          </w:tcPr>
          <w:p>
            <w:pPr>
              <w:spacing w:before="60" w:after="60"/>
            </w:pPr>
            <w:r>
              <w:rPr>
                <w:rFonts w:ascii="Calibri" w:hAnsi="Calibri"/>
                <w:sz w:val="20"/>
              </w:rPr>
              <w:t>0.7319</w:t>
            </w:r>
          </w:p>
        </w:tc>
        <w:tc>
          <w:tcPr>
            <w:tcW w:type="dxa" w:w="1872"/>
            <w:shd w:val="clear" w:color="auto" w:fill="FFFFFF"/>
          </w:tcPr>
          <w:p>
            <w:pPr>
              <w:spacing w:before="60" w:after="60"/>
            </w:pPr>
            <w:r>
              <w:rPr>
                <w:rFonts w:ascii="Calibri" w:hAnsi="Calibri"/>
                <w:sz w:val="20"/>
              </w:rPr>
              <w:t>0.8727</w:t>
            </w:r>
          </w:p>
        </w:tc>
        <w:tc>
          <w:tcPr>
            <w:tcW w:type="dxa" w:w="1872"/>
            <w:shd w:val="clear" w:color="auto" w:fill="FFFFFF"/>
          </w:tcPr>
          <w:p>
            <w:pPr>
              <w:spacing w:before="60" w:after="60"/>
            </w:pPr>
            <w:r>
              <w:rPr>
                <w:rFonts w:ascii="Calibri" w:hAnsi="Calibri"/>
                <w:sz w:val="20"/>
              </w:rPr>
              <w:t>[0.6980, 0.7606]</w:t>
            </w:r>
          </w:p>
        </w:tc>
      </w:tr>
      <w:tr>
        <w:tc>
          <w:tcPr>
            <w:tcW w:type="dxa" w:w="1872"/>
            <w:shd w:val="clear" w:color="auto" w:fill="F8FAFC"/>
          </w:tcPr>
          <w:p>
            <w:pPr>
              <w:spacing w:before="60" w:after="60"/>
            </w:pPr>
            <w:r>
              <w:rPr>
                <w:rFonts w:ascii="Calibri" w:hAnsi="Calibri"/>
                <w:sz w:val="20"/>
              </w:rPr>
              <w:t>MiniLM-L6 + LR</w:t>
            </w:r>
          </w:p>
        </w:tc>
        <w:tc>
          <w:tcPr>
            <w:tcW w:type="dxa" w:w="1872"/>
            <w:shd w:val="clear" w:color="auto" w:fill="F8FAFC"/>
          </w:tcPr>
          <w:p>
            <w:pPr>
              <w:spacing w:before="60" w:after="60"/>
            </w:pPr>
            <w:r>
              <w:rPr>
                <w:rFonts w:ascii="Calibri" w:hAnsi="Calibri"/>
                <w:sz w:val="20"/>
              </w:rPr>
              <w:t>0.7157</w:t>
            </w:r>
          </w:p>
        </w:tc>
        <w:tc>
          <w:tcPr>
            <w:tcW w:type="dxa" w:w="1872"/>
            <w:shd w:val="clear" w:color="auto" w:fill="F8FAFC"/>
          </w:tcPr>
          <w:p>
            <w:pPr>
              <w:spacing w:before="60" w:after="60"/>
            </w:pPr>
            <w:r>
              <w:rPr>
                <w:rFonts w:ascii="Calibri" w:hAnsi="Calibri"/>
                <w:sz w:val="20"/>
              </w:rPr>
              <w:t>0.7002</w:t>
            </w:r>
          </w:p>
        </w:tc>
        <w:tc>
          <w:tcPr>
            <w:tcW w:type="dxa" w:w="1872"/>
            <w:shd w:val="clear" w:color="auto" w:fill="F8FAFC"/>
          </w:tcPr>
          <w:p>
            <w:pPr>
              <w:spacing w:before="60" w:after="60"/>
            </w:pPr>
            <w:r>
              <w:rPr>
                <w:rFonts w:ascii="Calibri" w:hAnsi="Calibri"/>
                <w:sz w:val="20"/>
              </w:rPr>
              <w:t>0.8568</w:t>
            </w:r>
          </w:p>
        </w:tc>
        <w:tc>
          <w:tcPr>
            <w:tcW w:type="dxa" w:w="1872"/>
            <w:shd w:val="clear" w:color="auto" w:fill="F8FAFC"/>
          </w:tcPr>
          <w:p>
            <w:pPr>
              <w:spacing w:before="60" w:after="60"/>
            </w:pPr>
            <w:r>
              <w:rPr>
                <w:rFonts w:ascii="Calibri" w:hAnsi="Calibri"/>
                <w:sz w:val="20"/>
              </w:rPr>
              <w:t>[0.6676, 0.7303]</w:t>
            </w:r>
          </w:p>
        </w:tc>
      </w:tr>
      <w:tr>
        <w:tc>
          <w:tcPr>
            <w:tcW w:type="dxa" w:w="1872"/>
            <w:shd w:val="clear" w:color="auto" w:fill="FFFFFF"/>
          </w:tcPr>
          <w:p>
            <w:pPr>
              <w:spacing w:before="60" w:after="60"/>
            </w:pPr>
            <w:r>
              <w:rPr>
                <w:rFonts w:ascii="Calibri" w:hAnsi="Calibri"/>
                <w:sz w:val="20"/>
              </w:rPr>
              <w:t>LogisticRegression (default)</w:t>
            </w:r>
          </w:p>
        </w:tc>
        <w:tc>
          <w:tcPr>
            <w:tcW w:type="dxa" w:w="1872"/>
            <w:shd w:val="clear" w:color="auto" w:fill="FFFFFF"/>
          </w:tcPr>
          <w:p>
            <w:pPr>
              <w:spacing w:before="60" w:after="60"/>
            </w:pPr>
            <w:r>
              <w:rPr>
                <w:rFonts w:ascii="Calibri" w:hAnsi="Calibri"/>
                <w:sz w:val="20"/>
              </w:rPr>
              <w:t>0.6644</w:t>
            </w:r>
          </w:p>
        </w:tc>
        <w:tc>
          <w:tcPr>
            <w:tcW w:type="dxa" w:w="1872"/>
            <w:shd w:val="clear" w:color="auto" w:fill="FFFFFF"/>
          </w:tcPr>
          <w:p>
            <w:pPr>
              <w:spacing w:before="60" w:after="60"/>
            </w:pPr>
            <w:r>
              <w:rPr>
                <w:rFonts w:ascii="Calibri" w:hAnsi="Calibri"/>
                <w:sz w:val="20"/>
              </w:rPr>
              <w:t>0.7054</w:t>
            </w:r>
          </w:p>
        </w:tc>
        <w:tc>
          <w:tcPr>
            <w:tcW w:type="dxa" w:w="1872"/>
            <w:shd w:val="clear" w:color="auto" w:fill="FFFFFF"/>
          </w:tcPr>
          <w:p>
            <w:pPr>
              <w:spacing w:before="60" w:after="60"/>
            </w:pPr>
            <w:r>
              <w:rPr>
                <w:rFonts w:ascii="Calibri" w:hAnsi="Calibri"/>
                <w:sz w:val="20"/>
              </w:rPr>
              <w:t>0.8730</w:t>
            </w:r>
          </w:p>
        </w:tc>
        <w:tc>
          <w:tcPr>
            <w:tcW w:type="dxa" w:w="1872"/>
            <w:shd w:val="clear" w:color="auto" w:fill="FFFFFF"/>
          </w:tcPr>
          <w:p>
            <w:pPr>
              <w:spacing w:before="60" w:after="60"/>
            </w:pPr>
            <w:r>
              <w:rPr>
                <w:rFonts w:ascii="Calibri" w:hAnsi="Calibri"/>
                <w:sz w:val="20"/>
              </w:rPr>
              <w:t>[0.6668, 0.7340]</w:t>
            </w:r>
          </w:p>
        </w:tc>
      </w:tr>
      <w:tr>
        <w:tc>
          <w:tcPr>
            <w:tcW w:type="dxa" w:w="1872"/>
            <w:shd w:val="clear" w:color="auto" w:fill="F8FAFC"/>
          </w:tcPr>
          <w:p>
            <w:pPr>
              <w:spacing w:before="60" w:after="60"/>
            </w:pPr>
            <w:r>
              <w:rPr>
                <w:rFonts w:ascii="Calibri" w:hAnsi="Calibri"/>
                <w:sz w:val="20"/>
              </w:rPr>
              <w:t>ComplementNB</w:t>
            </w:r>
          </w:p>
        </w:tc>
        <w:tc>
          <w:tcPr>
            <w:tcW w:type="dxa" w:w="1872"/>
            <w:shd w:val="clear" w:color="auto" w:fill="F8FAFC"/>
          </w:tcPr>
          <w:p>
            <w:pPr>
              <w:spacing w:before="60" w:after="60"/>
            </w:pPr>
            <w:r>
              <w:rPr>
                <w:rFonts w:ascii="Calibri" w:hAnsi="Calibri"/>
                <w:sz w:val="20"/>
              </w:rPr>
              <w:t>0.6264</w:t>
            </w:r>
          </w:p>
        </w:tc>
        <w:tc>
          <w:tcPr>
            <w:tcW w:type="dxa" w:w="1872"/>
            <w:shd w:val="clear" w:color="auto" w:fill="F8FAFC"/>
          </w:tcPr>
          <w:p>
            <w:pPr>
              <w:spacing w:before="60" w:after="60"/>
            </w:pPr>
            <w:r>
              <w:rPr>
                <w:rFonts w:ascii="Calibri" w:hAnsi="Calibri"/>
                <w:sz w:val="20"/>
              </w:rPr>
              <w:t>0.6457</w:t>
            </w:r>
          </w:p>
        </w:tc>
        <w:tc>
          <w:tcPr>
            <w:tcW w:type="dxa" w:w="1872"/>
            <w:shd w:val="clear" w:color="auto" w:fill="F8FAFC"/>
          </w:tcPr>
          <w:p>
            <w:pPr>
              <w:spacing w:before="60" w:after="60"/>
            </w:pPr>
            <w:r>
              <w:rPr>
                <w:rFonts w:ascii="Calibri" w:hAnsi="Calibri"/>
                <w:sz w:val="20"/>
              </w:rPr>
              <w:t>0.8548</w:t>
            </w:r>
          </w:p>
        </w:tc>
        <w:tc>
          <w:tcPr>
            <w:tcW w:type="dxa" w:w="1872"/>
            <w:shd w:val="clear" w:color="auto" w:fill="F8FAFC"/>
          </w:tcPr>
          <w:p>
            <w:pPr>
              <w:spacing w:before="60" w:after="60"/>
            </w:pPr>
            <w:r>
              <w:rPr>
                <w:rFonts w:ascii="Calibri" w:hAnsi="Calibri"/>
                <w:sz w:val="20"/>
              </w:rPr>
              <w:t>[0.6167, 0.6732]</w:t>
            </w:r>
          </w:p>
        </w:tc>
      </w:tr>
      <w:tr>
        <w:tc>
          <w:tcPr>
            <w:tcW w:type="dxa" w:w="1872"/>
            <w:shd w:val="clear" w:color="auto" w:fill="FFFFFF"/>
          </w:tcPr>
          <w:p>
            <w:pPr>
              <w:spacing w:before="60" w:after="60"/>
            </w:pPr>
            <w:r>
              <w:rPr>
                <w:rFonts w:ascii="Calibri" w:hAnsi="Calibri"/>
                <w:sz w:val="20"/>
              </w:rPr>
              <w:t>MultinomialNB</w:t>
            </w:r>
          </w:p>
        </w:tc>
        <w:tc>
          <w:tcPr>
            <w:tcW w:type="dxa" w:w="1872"/>
            <w:shd w:val="clear" w:color="auto" w:fill="FFFFFF"/>
          </w:tcPr>
          <w:p>
            <w:pPr>
              <w:spacing w:before="60" w:after="60"/>
            </w:pPr>
            <w:r>
              <w:rPr>
                <w:rFonts w:ascii="Calibri" w:hAnsi="Calibri"/>
                <w:sz w:val="20"/>
              </w:rPr>
              <w:t>0.6206</w:t>
            </w:r>
          </w:p>
        </w:tc>
        <w:tc>
          <w:tcPr>
            <w:tcW w:type="dxa" w:w="1872"/>
            <w:shd w:val="clear" w:color="auto" w:fill="FFFFFF"/>
          </w:tcPr>
          <w:p>
            <w:pPr>
              <w:spacing w:before="60" w:after="60"/>
            </w:pPr>
            <w:r>
              <w:rPr>
                <w:rFonts w:ascii="Calibri" w:hAnsi="Calibri"/>
                <w:sz w:val="20"/>
              </w:rPr>
              <w:t>0.6218</w:t>
            </w:r>
          </w:p>
        </w:tc>
        <w:tc>
          <w:tcPr>
            <w:tcW w:type="dxa" w:w="1872"/>
            <w:shd w:val="clear" w:color="auto" w:fill="FFFFFF"/>
          </w:tcPr>
          <w:p>
            <w:pPr>
              <w:spacing w:before="60" w:after="60"/>
            </w:pPr>
            <w:r>
              <w:rPr>
                <w:rFonts w:ascii="Calibri" w:hAnsi="Calibri"/>
                <w:sz w:val="20"/>
              </w:rPr>
              <w:t>0.8485</w:t>
            </w:r>
          </w:p>
        </w:tc>
        <w:tc>
          <w:tcPr>
            <w:tcW w:type="dxa" w:w="1872"/>
            <w:shd w:val="clear" w:color="auto" w:fill="FFFFFF"/>
          </w:tcPr>
          <w:p>
            <w:pPr>
              <w:spacing w:before="60" w:after="60"/>
            </w:pPr>
            <w:r>
              <w:rPr>
                <w:rFonts w:ascii="Calibri" w:hAnsi="Calibri"/>
                <w:sz w:val="20"/>
              </w:rPr>
              <w:t>[0.5922, 0.6473]</w:t>
            </w:r>
          </w:p>
        </w:tc>
      </w:tr>
      <w:tr>
        <w:tc>
          <w:tcPr>
            <w:tcW w:type="dxa" w:w="1872"/>
            <w:shd w:val="clear" w:color="auto" w:fill="F8FAFC"/>
          </w:tcPr>
          <w:p>
            <w:pPr>
              <w:spacing w:before="60" w:after="60"/>
            </w:pPr>
            <w:r>
              <w:rPr>
                <w:rFonts w:ascii="Calibri" w:hAnsi="Calibri"/>
                <w:sz w:val="20"/>
              </w:rPr>
              <w:t>DecisionTree (depth=10)</w:t>
            </w:r>
          </w:p>
        </w:tc>
        <w:tc>
          <w:tcPr>
            <w:tcW w:type="dxa" w:w="1872"/>
            <w:shd w:val="clear" w:color="auto" w:fill="F8FAFC"/>
          </w:tcPr>
          <w:p>
            <w:pPr>
              <w:spacing w:before="60" w:after="60"/>
            </w:pPr>
            <w:r>
              <w:rPr>
                <w:rFonts w:ascii="Calibri" w:hAnsi="Calibri"/>
                <w:sz w:val="20"/>
              </w:rPr>
              <w:t>0.5070</w:t>
            </w:r>
          </w:p>
        </w:tc>
        <w:tc>
          <w:tcPr>
            <w:tcW w:type="dxa" w:w="1872"/>
            <w:shd w:val="clear" w:color="auto" w:fill="F8FAFC"/>
          </w:tcPr>
          <w:p>
            <w:pPr>
              <w:spacing w:before="60" w:after="60"/>
            </w:pPr>
            <w:r>
              <w:rPr>
                <w:rFonts w:ascii="Calibri" w:hAnsi="Calibri"/>
                <w:sz w:val="20"/>
              </w:rPr>
              <w:t>0.4765</w:t>
            </w:r>
          </w:p>
        </w:tc>
        <w:tc>
          <w:tcPr>
            <w:tcW w:type="dxa" w:w="1872"/>
            <w:shd w:val="clear" w:color="auto" w:fill="F8FAFC"/>
          </w:tcPr>
          <w:p>
            <w:pPr>
              <w:spacing w:before="60" w:after="60"/>
            </w:pPr>
            <w:r>
              <w:rPr>
                <w:rFonts w:ascii="Calibri" w:hAnsi="Calibri"/>
                <w:sz w:val="20"/>
              </w:rPr>
              <w:t>0.7725</w:t>
            </w:r>
          </w:p>
        </w:tc>
        <w:tc>
          <w:tcPr>
            <w:tcW w:type="dxa" w:w="1872"/>
            <w:shd w:val="clear" w:color="auto" w:fill="F8FAFC"/>
          </w:tcPr>
          <w:p>
            <w:pPr>
              <w:spacing w:before="60" w:after="60"/>
            </w:pPr>
            <w:r>
              <w:rPr>
                <w:rFonts w:ascii="Calibri" w:hAnsi="Calibri"/>
                <w:sz w:val="20"/>
              </w:rPr>
              <w:t>[0.4451, 0.5049]</w:t>
            </w:r>
          </w:p>
        </w:tc>
      </w:tr>
      <w:tr>
        <w:tc>
          <w:tcPr>
            <w:tcW w:type="dxa" w:w="1872"/>
            <w:shd w:val="clear" w:color="auto" w:fill="FFFFFF"/>
          </w:tcPr>
          <w:p>
            <w:pPr>
              <w:spacing w:before="60" w:after="60"/>
            </w:pPr>
            <w:r>
              <w:rPr>
                <w:rFonts w:ascii="Calibri" w:hAnsi="Calibri"/>
                <w:sz w:val="20"/>
              </w:rPr>
              <w:t>DummyClassifier (stratified)</w:t>
            </w:r>
          </w:p>
        </w:tc>
        <w:tc>
          <w:tcPr>
            <w:tcW w:type="dxa" w:w="1872"/>
            <w:shd w:val="clear" w:color="auto" w:fill="FFFFFF"/>
          </w:tcPr>
          <w:p>
            <w:pPr>
              <w:spacing w:before="60" w:after="60"/>
            </w:pPr>
            <w:r>
              <w:rPr>
                <w:rFonts w:ascii="Calibri" w:hAnsi="Calibri"/>
                <w:sz w:val="20"/>
              </w:rPr>
              <w:t>0.0923</w:t>
            </w:r>
          </w:p>
        </w:tc>
        <w:tc>
          <w:tcPr>
            <w:tcW w:type="dxa" w:w="1872"/>
            <w:shd w:val="clear" w:color="auto" w:fill="FFFFFF"/>
          </w:tcPr>
          <w:p>
            <w:pPr>
              <w:spacing w:before="60" w:after="60"/>
            </w:pPr>
            <w:r>
              <w:rPr>
                <w:rFonts w:ascii="Calibri" w:hAnsi="Calibri"/>
                <w:sz w:val="20"/>
              </w:rPr>
              <w:t>0.0950</w:t>
            </w:r>
          </w:p>
        </w:tc>
        <w:tc>
          <w:tcPr>
            <w:tcW w:type="dxa" w:w="1872"/>
            <w:shd w:val="clear" w:color="auto" w:fill="FFFFFF"/>
          </w:tcPr>
          <w:p>
            <w:pPr>
              <w:spacing w:before="60" w:after="60"/>
            </w:pPr>
            <w:r>
              <w:rPr>
                <w:rFonts w:ascii="Calibri" w:hAnsi="Calibri"/>
                <w:sz w:val="20"/>
              </w:rPr>
              <w:t>0.3107</w:t>
            </w:r>
          </w:p>
        </w:tc>
        <w:tc>
          <w:tcPr>
            <w:tcW w:type="dxa" w:w="1872"/>
            <w:shd w:val="clear" w:color="auto" w:fill="FFFFFF"/>
          </w:tcPr>
          <w:p>
            <w:pPr>
              <w:spacing w:before="60" w:after="60"/>
            </w:pPr>
            <w:r>
              <w:rPr>
                <w:rFonts w:ascii="Calibri" w:hAnsi="Calibri"/>
                <w:sz w:val="20"/>
              </w:rPr>
              <w:t>[0.0858, 0.1052]</w:t>
            </w:r>
          </w:p>
        </w:tc>
      </w:tr>
      <w:tr>
        <w:tc>
          <w:tcPr>
            <w:tcW w:type="dxa" w:w="1872"/>
            <w:shd w:val="clear" w:color="auto" w:fill="F8FAFC"/>
          </w:tcPr>
          <w:p>
            <w:pPr>
              <w:spacing w:before="60" w:after="60"/>
            </w:pPr>
            <w:r>
              <w:rPr>
                <w:rFonts w:ascii="Calibri" w:hAnsi="Calibri"/>
                <w:sz w:val="20"/>
              </w:rPr>
              <w:t>DummyClassifier (majority)</w:t>
            </w:r>
          </w:p>
        </w:tc>
        <w:tc>
          <w:tcPr>
            <w:tcW w:type="dxa" w:w="1872"/>
            <w:shd w:val="clear" w:color="auto" w:fill="F8FAFC"/>
          </w:tcPr>
          <w:p>
            <w:pPr>
              <w:spacing w:before="60" w:after="60"/>
            </w:pPr>
            <w:r>
              <w:rPr>
                <w:rFonts w:ascii="Calibri" w:hAnsi="Calibri"/>
                <w:sz w:val="20"/>
              </w:rPr>
              <w:t>0.0865</w:t>
            </w:r>
          </w:p>
        </w:tc>
        <w:tc>
          <w:tcPr>
            <w:tcW w:type="dxa" w:w="1872"/>
            <w:shd w:val="clear" w:color="auto" w:fill="F8FAFC"/>
          </w:tcPr>
          <w:p>
            <w:pPr>
              <w:spacing w:before="60" w:after="60"/>
            </w:pPr>
            <w:r>
              <w:rPr>
                <w:rFonts w:ascii="Calibri" w:hAnsi="Calibri"/>
                <w:sz w:val="20"/>
              </w:rPr>
              <w:t>0.0873</w:t>
            </w:r>
          </w:p>
        </w:tc>
        <w:tc>
          <w:tcPr>
            <w:tcW w:type="dxa" w:w="1872"/>
            <w:shd w:val="clear" w:color="auto" w:fill="F8FAFC"/>
          </w:tcPr>
          <w:p>
            <w:pPr>
              <w:spacing w:before="60" w:after="60"/>
            </w:pPr>
            <w:r>
              <w:rPr>
                <w:rFonts w:ascii="Calibri" w:hAnsi="Calibri"/>
                <w:sz w:val="20"/>
              </w:rPr>
              <w:t>0.6469</w:t>
            </w:r>
          </w:p>
        </w:tc>
        <w:tc>
          <w:tcPr>
            <w:tcW w:type="dxa" w:w="1872"/>
            <w:shd w:val="clear" w:color="auto" w:fill="F8FAFC"/>
          </w:tcPr>
          <w:p>
            <w:pPr>
              <w:spacing w:before="60" w:after="60"/>
            </w:pPr>
            <w:r>
              <w:rPr>
                <w:rFonts w:ascii="Calibri" w:hAnsi="Calibri"/>
                <w:sz w:val="20"/>
              </w:rPr>
              <w:t>[0.0858, 0.0887]</w:t>
            </w:r>
          </w:p>
        </w:tc>
      </w:tr>
    </w:tbl>
    <w:p>
      <w:pPr>
        <w:spacing w:after="120"/>
      </w:pPr>
    </w:p>
    <w:p>
      <w:pPr>
        <w:pStyle w:val="Heading2"/>
      </w:pPr>
      <w:r>
        <w:rPr>
          <w:rFonts w:ascii="Calibri" w:hAnsi="Calibri"/>
          <w:b/>
          <w:color w:val="334155"/>
          <w:sz w:val="26"/>
        </w:rPr>
        <w:t>5.4 Statistical Testing</w:t>
      </w:r>
    </w:p>
    <w:p>
      <w:pPr>
        <w:spacing w:after="80" w:line="276" w:lineRule="auto"/>
      </w:pPr>
      <w:r>
        <w:t>McNemar's test between the champion LinearSVC (calibrated) and the majority baseline confirms the performance superiority is statistically significant ($\chi^2 = 535.64, p = 1.67 \times 10^{-118}$). Results recorded in `results/metrics/mcnemar_test.json`.</w:t>
      </w:r>
    </w:p>
    <w:p>
      <w:pPr>
        <w:pStyle w:val="Heading2"/>
      </w:pPr>
      <w:r>
        <w:rPr>
          <w:rFonts w:ascii="Calibri" w:hAnsi="Calibri"/>
          <w:b/>
          <w:color w:val="334155"/>
          <w:sz w:val="26"/>
        </w:rPr>
        <w:t>5.5 AQ1 &amp; AQ3: Temporal Concept Drift</w:t>
      </w:r>
    </w:p>
    <w:p>
      <w:pPr>
        <w:spacing w:after="80" w:line="276" w:lineRule="auto"/>
      </w:pPr>
      <w:r>
        <w:t>When trained on the historical 70% split, evaluating on the chronological test split achieves Test Macro-F1 = 0.7317, compared to 0.9330 on a random non-chronological test split ($\Delta = -0.2013$, an absolute drop of 20.13 percentage points). This empirically confirms severe temporal concept drift and underscores why non-chronological cross-validation drastically overestimates real-world production performance.</w:t>
      </w:r>
    </w:p>
    <w:p>
      <w:pPr>
        <w:pStyle w:val="Heading2"/>
      </w:pPr>
      <w:r>
        <w:rPr>
          <w:rFonts w:ascii="Calibri" w:hAnsi="Calibri"/>
          <w:b/>
          <w:color w:val="334155"/>
          <w:sz w:val="26"/>
        </w:rPr>
        <w:t>5.6 Error Taxonomy</w:t>
      </w:r>
    </w:p>
    <w:p>
      <w:pPr>
        <w:spacing w:after="80" w:line="276" w:lineRule="auto"/>
      </w:pPr>
      <w:r>
        <w:t>Analysis of 60 sampled classification errors (from 379 total test errors, 12.57% test error rate) reveals the primary source of confusion lies at the boundary of `Credit reporting &amp; repair` versus `Debt collection` (where consumers dispute reported collections with credit bureaus), and between `Checking/savings account` versus `Credit/prepaid card` (debit and overdraft card transactions). Detailed taxonomy is archived in `results/tables/error_taxonomy.csv`.</w:t>
      </w:r>
    </w:p>
    <w:p>
      <w:pPr>
        <w:spacing w:after="160"/>
      </w:pPr>
    </w:p>
    <w:p>
      <w:pPr>
        <w:pStyle w:val="Heading1"/>
      </w:pPr>
      <w:r>
        <w:rPr>
          <w:rFonts w:ascii="Calibri" w:hAnsi="Calibri"/>
          <w:b/>
          <w:color w:val="1E3A8A"/>
          <w:sz w:val="32"/>
        </w:rPr>
        <w:t>6. Relief-Risk Prediction (Component 2)</w:t>
      </w:r>
    </w:p>
    <w:p>
      <w:pPr>
        <w:pStyle w:val="Heading2"/>
      </w:pPr>
      <w:r>
        <w:rPr>
          <w:rFonts w:ascii="Calibri" w:hAnsi="Calibri"/>
          <w:b/>
          <w:color w:val="334155"/>
          <w:sz w:val="26"/>
        </w:rPr>
        <w:t>6.1 Outcome Definition</w:t>
      </w:r>
    </w:p>
    <w:p>
      <w:pPr>
        <w:spacing w:after="80" w:line="276" w:lineRule="auto"/>
      </w:pPr>
      <w:r>
        <w:t>`relief = 1` if the institutional disposition indicates tangible consumer remedy ("Closed with monetary relief", "Closed with non-monetary relief", or "Closed with relief"). `relief = 0` for "Closed with explanation" or "Closed without relief". Administrative in-progress disputes are excluded to prevent outcome censoring.</w:t>
      </w:r>
    </w:p>
    <w:p>
      <w:pPr>
        <w:pStyle w:val="Heading2"/>
      </w:pPr>
      <w:r>
        <w:rPr>
          <w:rFonts w:ascii="Calibri" w:hAnsi="Calibri"/>
          <w:b/>
          <w:color w:val="334155"/>
          <w:sz w:val="26"/>
        </w:rPr>
        <w:t>6.2 Imbalance Strategy</w:t>
      </w:r>
    </w:p>
    <w:p>
      <w:pPr>
        <w:spacing w:after="80" w:line="276" w:lineRule="auto"/>
      </w:pPr>
      <w:r>
        <w:t>The training relief base rate is 16.3% (positive relief), representing severe class imbalance (class weight ratio = 5.15). We incorporated `class_weight='balanced'` in generalized linear models and evaluated on threshold-agnostic Precision-Recall AUC (PR-AUC) and operational Lift@k metrics.</w:t>
      </w:r>
    </w:p>
    <w:p>
      <w:pPr>
        <w:pStyle w:val="Heading2"/>
      </w:pPr>
      <w:r>
        <w:rPr>
          <w:rFonts w:ascii="Calibri" w:hAnsi="Calibri"/>
          <w:b/>
          <w:color w:val="334155"/>
          <w:sz w:val="26"/>
        </w:rPr>
        <w:t>6.3 Model Results</w:t>
      </w:r>
    </w:p>
    <w:p>
      <w:pPr>
        <w:spacing w:after="80" w:line="276" w:lineRule="auto"/>
      </w:pPr>
      <w:r>
        <w:t>From `results/tables/relief_results.csv` and `results/metrics/relief_global_features.json`</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E3A8A"/>
          </w:tcPr>
          <w:p>
            <w:pPr>
              <w:spacing w:before="60" w:after="60"/>
            </w:pPr>
            <w:r>
              <w:rPr>
                <w:rFonts w:ascii="Calibri" w:hAnsi="Calibri"/>
                <w:b/>
                <w:color w:val="FFFFFF"/>
                <w:sz w:val="20"/>
              </w:rPr>
              <w:t>Model</w:t>
            </w:r>
          </w:p>
        </w:tc>
        <w:tc>
          <w:tcPr>
            <w:tcW w:type="dxa" w:w="1040"/>
            <w:shd w:val="clear" w:color="auto" w:fill="1E3A8A"/>
          </w:tcPr>
          <w:p>
            <w:pPr>
              <w:spacing w:before="60" w:after="60"/>
            </w:pPr>
            <w:r>
              <w:rPr>
                <w:rFonts w:ascii="Calibri" w:hAnsi="Calibri"/>
                <w:b/>
                <w:color w:val="FFFFFF"/>
                <w:sz w:val="20"/>
              </w:rPr>
              <w:t>PR-AUC</w:t>
            </w:r>
          </w:p>
        </w:tc>
        <w:tc>
          <w:tcPr>
            <w:tcW w:type="dxa" w:w="1040"/>
            <w:shd w:val="clear" w:color="auto" w:fill="1E3A8A"/>
          </w:tcPr>
          <w:p>
            <w:pPr>
              <w:spacing w:before="60" w:after="60"/>
            </w:pPr>
            <w:r>
              <w:rPr>
                <w:rFonts w:ascii="Calibri" w:hAnsi="Calibri"/>
                <w:b/>
                <w:color w:val="FFFFFF"/>
                <w:sz w:val="20"/>
              </w:rPr>
              <w:t>ROC-AUC</w:t>
            </w:r>
          </w:p>
        </w:tc>
        <w:tc>
          <w:tcPr>
            <w:tcW w:type="dxa" w:w="1040"/>
            <w:shd w:val="clear" w:color="auto" w:fill="1E3A8A"/>
          </w:tcPr>
          <w:p>
            <w:pPr>
              <w:spacing w:before="60" w:after="60"/>
            </w:pPr>
            <w:r>
              <w:rPr>
                <w:rFonts w:ascii="Calibri" w:hAnsi="Calibri"/>
                <w:b/>
                <w:color w:val="FFFFFF"/>
                <w:sz w:val="20"/>
              </w:rPr>
              <w:t>Brier Score</w:t>
            </w:r>
          </w:p>
        </w:tc>
        <w:tc>
          <w:tcPr>
            <w:tcW w:type="dxa" w:w="1040"/>
            <w:shd w:val="clear" w:color="auto" w:fill="1E3A8A"/>
          </w:tcPr>
          <w:p>
            <w:pPr>
              <w:spacing w:before="60" w:after="60"/>
            </w:pPr>
            <w:r>
              <w:rPr>
                <w:rFonts w:ascii="Calibri" w:hAnsi="Calibri"/>
                <w:b/>
                <w:color w:val="FFFFFF"/>
                <w:sz w:val="20"/>
              </w:rPr>
              <w:t>Precision@5%</w:t>
            </w:r>
          </w:p>
        </w:tc>
        <w:tc>
          <w:tcPr>
            <w:tcW w:type="dxa" w:w="1040"/>
            <w:shd w:val="clear" w:color="auto" w:fill="1E3A8A"/>
          </w:tcPr>
          <w:p>
            <w:pPr>
              <w:spacing w:before="60" w:after="60"/>
            </w:pPr>
            <w:r>
              <w:rPr>
                <w:rFonts w:ascii="Calibri" w:hAnsi="Calibri"/>
                <w:b/>
                <w:color w:val="FFFFFF"/>
                <w:sz w:val="20"/>
              </w:rPr>
              <w:t>Recall@5%</w:t>
            </w:r>
          </w:p>
        </w:tc>
        <w:tc>
          <w:tcPr>
            <w:tcW w:type="dxa" w:w="1040"/>
            <w:shd w:val="clear" w:color="auto" w:fill="1E3A8A"/>
          </w:tcPr>
          <w:p>
            <w:pPr>
              <w:spacing w:before="60" w:after="60"/>
            </w:pPr>
            <w:r>
              <w:rPr>
                <w:rFonts w:ascii="Calibri" w:hAnsi="Calibri"/>
                <w:b/>
                <w:color w:val="FFFFFF"/>
                <w:sz w:val="20"/>
              </w:rPr>
              <w:t>Lift@5%</w:t>
            </w:r>
          </w:p>
        </w:tc>
        <w:tc>
          <w:tcPr>
            <w:tcW w:type="dxa" w:w="1040"/>
            <w:shd w:val="clear" w:color="auto" w:fill="1E3A8A"/>
          </w:tcPr>
          <w:p>
            <w:pPr>
              <w:spacing w:before="60" w:after="60"/>
            </w:pPr>
            <w:r>
              <w:rPr>
                <w:rFonts w:ascii="Calibri" w:hAnsi="Calibri"/>
                <w:b/>
                <w:color w:val="FFFFFF"/>
                <w:sz w:val="20"/>
              </w:rPr>
              <w:t>Lift@10%</w:t>
            </w:r>
          </w:p>
        </w:tc>
        <w:tc>
          <w:tcPr>
            <w:tcW w:type="dxa" w:w="1040"/>
            <w:shd w:val="clear" w:color="auto" w:fill="1E3A8A"/>
          </w:tcPr>
          <w:p>
            <w:pPr>
              <w:spacing w:before="60" w:after="60"/>
            </w:pPr>
            <w:r>
              <w:rPr>
                <w:rFonts w:ascii="Calibri" w:hAnsi="Calibri"/>
                <w:b/>
                <w:color w:val="FFFFFF"/>
                <w:sz w:val="20"/>
              </w:rPr>
              <w:t>Lift@20%</w:t>
            </w:r>
          </w:p>
        </w:tc>
      </w:tr>
      <w:tr>
        <w:tc>
          <w:tcPr>
            <w:tcW w:type="dxa" w:w="1040"/>
            <w:shd w:val="clear" w:color="auto" w:fill="F8FAFC"/>
          </w:tcPr>
          <w:p>
            <w:pPr>
              <w:spacing w:before="60" w:after="60"/>
            </w:pPr>
            <w:r>
              <w:rPr>
                <w:rFonts w:ascii="Calibri" w:hAnsi="Calibri"/>
                <w:sz w:val="20"/>
              </w:rPr>
              <w:t>Text LR</w:t>
            </w:r>
          </w:p>
        </w:tc>
        <w:tc>
          <w:tcPr>
            <w:tcW w:type="dxa" w:w="1040"/>
            <w:shd w:val="clear" w:color="auto" w:fill="F8FAFC"/>
          </w:tcPr>
          <w:p>
            <w:pPr>
              <w:spacing w:before="60" w:after="60"/>
            </w:pPr>
            <w:r>
              <w:rPr>
                <w:rFonts w:ascii="Calibri" w:hAnsi="Calibri"/>
                <w:sz w:val="20"/>
              </w:rPr>
              <w:t>0.3865</w:t>
            </w:r>
          </w:p>
        </w:tc>
        <w:tc>
          <w:tcPr>
            <w:tcW w:type="dxa" w:w="1040"/>
            <w:shd w:val="clear" w:color="auto" w:fill="F8FAFC"/>
          </w:tcPr>
          <w:p>
            <w:pPr>
              <w:spacing w:before="60" w:after="60"/>
            </w:pPr>
            <w:r>
              <w:rPr>
                <w:rFonts w:ascii="Calibri" w:hAnsi="Calibri"/>
                <w:sz w:val="20"/>
              </w:rPr>
              <w:t>0.6063</w:t>
            </w:r>
          </w:p>
        </w:tc>
        <w:tc>
          <w:tcPr>
            <w:tcW w:type="dxa" w:w="1040"/>
            <w:shd w:val="clear" w:color="auto" w:fill="F8FAFC"/>
          </w:tcPr>
          <w:p>
            <w:pPr>
              <w:spacing w:before="60" w:after="60"/>
            </w:pPr>
            <w:r>
              <w:rPr>
                <w:rFonts w:ascii="Calibri" w:hAnsi="Calibri"/>
                <w:sz w:val="20"/>
              </w:rPr>
              <w:t>0.2316</w:t>
            </w:r>
          </w:p>
        </w:tc>
        <w:tc>
          <w:tcPr>
            <w:tcW w:type="dxa" w:w="1040"/>
            <w:shd w:val="clear" w:color="auto" w:fill="F8FAFC"/>
          </w:tcPr>
          <w:p>
            <w:pPr>
              <w:spacing w:before="60" w:after="60"/>
            </w:pPr>
            <w:r>
              <w:rPr>
                <w:rFonts w:ascii="Calibri" w:hAnsi="Calibri"/>
                <w:sz w:val="20"/>
              </w:rPr>
              <w:t>0.4467</w:t>
            </w:r>
          </w:p>
        </w:tc>
        <w:tc>
          <w:tcPr>
            <w:tcW w:type="dxa" w:w="1040"/>
            <w:shd w:val="clear" w:color="auto" w:fill="F8FAFC"/>
          </w:tcPr>
          <w:p>
            <w:pPr>
              <w:spacing w:before="60" w:after="60"/>
            </w:pPr>
            <w:r>
              <w:rPr>
                <w:rFonts w:ascii="Calibri" w:hAnsi="Calibri"/>
                <w:sz w:val="20"/>
              </w:rPr>
              <w:t>0.0701</w:t>
            </w:r>
          </w:p>
        </w:tc>
        <w:tc>
          <w:tcPr>
            <w:tcW w:type="dxa" w:w="1040"/>
            <w:shd w:val="clear" w:color="auto" w:fill="F8FAFC"/>
          </w:tcPr>
          <w:p>
            <w:pPr>
              <w:spacing w:before="60" w:after="60"/>
            </w:pPr>
            <w:r>
              <w:rPr>
                <w:rFonts w:ascii="Calibri" w:hAnsi="Calibri"/>
                <w:sz w:val="20"/>
              </w:rPr>
              <w:t>1.41x</w:t>
            </w:r>
          </w:p>
        </w:tc>
        <w:tc>
          <w:tcPr>
            <w:tcW w:type="dxa" w:w="1040"/>
            <w:shd w:val="clear" w:color="auto" w:fill="F8FAFC"/>
          </w:tcPr>
          <w:p>
            <w:pPr>
              <w:spacing w:before="60" w:after="60"/>
            </w:pPr>
            <w:r>
              <w:rPr>
                <w:rFonts w:ascii="Calibri" w:hAnsi="Calibri"/>
                <w:sz w:val="20"/>
              </w:rPr>
              <w:t>1.35x</w:t>
            </w:r>
          </w:p>
        </w:tc>
        <w:tc>
          <w:tcPr>
            <w:tcW w:type="dxa" w:w="1040"/>
            <w:shd w:val="clear" w:color="auto" w:fill="F8FAFC"/>
          </w:tcPr>
          <w:p>
            <w:pPr>
              <w:spacing w:before="60" w:after="60"/>
            </w:pPr>
            <w:r>
              <w:rPr>
                <w:rFonts w:ascii="Calibri" w:hAnsi="Calibri"/>
                <w:sz w:val="20"/>
              </w:rPr>
              <w:t>1.22x</w:t>
            </w:r>
          </w:p>
        </w:tc>
      </w:tr>
      <w:tr>
        <w:tc>
          <w:tcPr>
            <w:tcW w:type="dxa" w:w="1040"/>
            <w:shd w:val="clear" w:color="auto" w:fill="FFFFFF"/>
          </w:tcPr>
          <w:p>
            <w:pPr>
              <w:spacing w:before="60" w:after="60"/>
            </w:pPr>
            <w:r>
              <w:rPr>
                <w:rFonts w:ascii="Calibri" w:hAnsi="Calibri"/>
                <w:sz w:val="20"/>
              </w:rPr>
              <w:t>Text+Meta LR</w:t>
            </w:r>
          </w:p>
        </w:tc>
        <w:tc>
          <w:tcPr>
            <w:tcW w:type="dxa" w:w="1040"/>
            <w:shd w:val="clear" w:color="auto" w:fill="FFFFFF"/>
          </w:tcPr>
          <w:p>
            <w:pPr>
              <w:spacing w:before="60" w:after="60"/>
            </w:pPr>
            <w:r>
              <w:rPr>
                <w:rFonts w:ascii="Calibri" w:hAnsi="Calibri"/>
                <w:sz w:val="20"/>
              </w:rPr>
              <w:t>0.3796</w:t>
            </w:r>
          </w:p>
        </w:tc>
        <w:tc>
          <w:tcPr>
            <w:tcW w:type="dxa" w:w="1040"/>
            <w:shd w:val="clear" w:color="auto" w:fill="FFFFFF"/>
          </w:tcPr>
          <w:p>
            <w:pPr>
              <w:spacing w:before="60" w:after="60"/>
            </w:pPr>
            <w:r>
              <w:rPr>
                <w:rFonts w:ascii="Calibri" w:hAnsi="Calibri"/>
                <w:sz w:val="20"/>
              </w:rPr>
              <w:t>0.6023</w:t>
            </w:r>
          </w:p>
        </w:tc>
        <w:tc>
          <w:tcPr>
            <w:tcW w:type="dxa" w:w="1040"/>
            <w:shd w:val="clear" w:color="auto" w:fill="FFFFFF"/>
          </w:tcPr>
          <w:p>
            <w:pPr>
              <w:spacing w:before="60" w:after="60"/>
            </w:pPr>
            <w:r>
              <w:rPr>
                <w:rFonts w:ascii="Calibri" w:hAnsi="Calibri"/>
                <w:sz w:val="20"/>
              </w:rPr>
              <w:t>0.2321</w:t>
            </w:r>
          </w:p>
        </w:tc>
        <w:tc>
          <w:tcPr>
            <w:tcW w:type="dxa" w:w="1040"/>
            <w:shd w:val="clear" w:color="auto" w:fill="FFFFFF"/>
          </w:tcPr>
          <w:p>
            <w:pPr>
              <w:spacing w:before="60" w:after="60"/>
            </w:pPr>
            <w:r>
              <w:rPr>
                <w:rFonts w:ascii="Calibri" w:hAnsi="Calibri"/>
                <w:sz w:val="20"/>
              </w:rPr>
              <w:t>0.4000</w:t>
            </w:r>
          </w:p>
        </w:tc>
        <w:tc>
          <w:tcPr>
            <w:tcW w:type="dxa" w:w="1040"/>
            <w:shd w:val="clear" w:color="auto" w:fill="FFFFFF"/>
          </w:tcPr>
          <w:p>
            <w:pPr>
              <w:spacing w:before="60" w:after="60"/>
            </w:pPr>
            <w:r>
              <w:rPr>
                <w:rFonts w:ascii="Calibri" w:hAnsi="Calibri"/>
                <w:sz w:val="20"/>
              </w:rPr>
              <w:t>0.0628</w:t>
            </w:r>
          </w:p>
        </w:tc>
        <w:tc>
          <w:tcPr>
            <w:tcW w:type="dxa" w:w="1040"/>
            <w:shd w:val="clear" w:color="auto" w:fill="FFFFFF"/>
          </w:tcPr>
          <w:p>
            <w:pPr>
              <w:spacing w:before="60" w:after="60"/>
            </w:pPr>
            <w:r>
              <w:rPr>
                <w:rFonts w:ascii="Calibri" w:hAnsi="Calibri"/>
                <w:sz w:val="20"/>
              </w:rPr>
              <w:t>1.26x</w:t>
            </w:r>
          </w:p>
        </w:tc>
        <w:tc>
          <w:tcPr>
            <w:tcW w:type="dxa" w:w="1040"/>
            <w:shd w:val="clear" w:color="auto" w:fill="FFFFFF"/>
          </w:tcPr>
          <w:p>
            <w:pPr>
              <w:spacing w:before="60" w:after="60"/>
            </w:pPr>
            <w:r>
              <w:rPr>
                <w:rFonts w:ascii="Calibri" w:hAnsi="Calibri"/>
                <w:sz w:val="20"/>
              </w:rPr>
              <w:t>1.24x</w:t>
            </w:r>
          </w:p>
        </w:tc>
        <w:tc>
          <w:tcPr>
            <w:tcW w:type="dxa" w:w="1040"/>
            <w:shd w:val="clear" w:color="auto" w:fill="FFFFFF"/>
          </w:tcPr>
          <w:p>
            <w:pPr>
              <w:spacing w:before="60" w:after="60"/>
            </w:pPr>
            <w:r>
              <w:rPr>
                <w:rFonts w:ascii="Calibri" w:hAnsi="Calibri"/>
                <w:sz w:val="20"/>
              </w:rPr>
              <w:t>1.25x</w:t>
            </w:r>
          </w:p>
        </w:tc>
      </w:tr>
      <w:tr>
        <w:tc>
          <w:tcPr>
            <w:tcW w:type="dxa" w:w="1040"/>
            <w:shd w:val="clear" w:color="auto" w:fill="F8FAFC"/>
          </w:tcPr>
          <w:p>
            <w:pPr>
              <w:spacing w:before="60" w:after="60"/>
            </w:pPr>
            <w:r>
              <w:rPr>
                <w:rFonts w:ascii="Calibri" w:hAnsi="Calibri"/>
                <w:sz w:val="20"/>
              </w:rPr>
              <w:t>HistGradientBoosting</w:t>
            </w:r>
          </w:p>
        </w:tc>
        <w:tc>
          <w:tcPr>
            <w:tcW w:type="dxa" w:w="1040"/>
            <w:shd w:val="clear" w:color="auto" w:fill="F8FAFC"/>
          </w:tcPr>
          <w:p>
            <w:pPr>
              <w:spacing w:before="60" w:after="60"/>
            </w:pPr>
            <w:r>
              <w:rPr>
                <w:rFonts w:ascii="Calibri" w:hAnsi="Calibri"/>
                <w:sz w:val="20"/>
              </w:rPr>
              <w:t>0.3780</w:t>
            </w:r>
          </w:p>
        </w:tc>
        <w:tc>
          <w:tcPr>
            <w:tcW w:type="dxa" w:w="1040"/>
            <w:shd w:val="clear" w:color="auto" w:fill="F8FAFC"/>
          </w:tcPr>
          <w:p>
            <w:pPr>
              <w:spacing w:before="60" w:after="60"/>
            </w:pPr>
            <w:r>
              <w:rPr>
                <w:rFonts w:ascii="Calibri" w:hAnsi="Calibri"/>
                <w:sz w:val="20"/>
              </w:rPr>
              <w:t>0.5929</w:t>
            </w:r>
          </w:p>
        </w:tc>
        <w:tc>
          <w:tcPr>
            <w:tcW w:type="dxa" w:w="1040"/>
            <w:shd w:val="clear" w:color="auto" w:fill="F8FAFC"/>
          </w:tcPr>
          <w:p>
            <w:pPr>
              <w:spacing w:before="60" w:after="60"/>
            </w:pPr>
            <w:r>
              <w:rPr>
                <w:rFonts w:ascii="Calibri" w:hAnsi="Calibri"/>
                <w:sz w:val="20"/>
              </w:rPr>
              <w:t>0.2336</w:t>
            </w:r>
          </w:p>
        </w:tc>
        <w:tc>
          <w:tcPr>
            <w:tcW w:type="dxa" w:w="1040"/>
            <w:shd w:val="clear" w:color="auto" w:fill="F8FAFC"/>
          </w:tcPr>
          <w:p>
            <w:pPr>
              <w:spacing w:before="60" w:after="60"/>
            </w:pPr>
            <w:r>
              <w:rPr>
                <w:rFonts w:ascii="Calibri" w:hAnsi="Calibri"/>
                <w:sz w:val="20"/>
              </w:rPr>
              <w:t>0.4400</w:t>
            </w:r>
          </w:p>
        </w:tc>
        <w:tc>
          <w:tcPr>
            <w:tcW w:type="dxa" w:w="1040"/>
            <w:shd w:val="clear" w:color="auto" w:fill="F8FAFC"/>
          </w:tcPr>
          <w:p>
            <w:pPr>
              <w:spacing w:before="60" w:after="60"/>
            </w:pPr>
            <w:r>
              <w:rPr>
                <w:rFonts w:ascii="Calibri" w:hAnsi="Calibri"/>
                <w:sz w:val="20"/>
              </w:rPr>
              <w:t>0.0690</w:t>
            </w:r>
          </w:p>
        </w:tc>
        <w:tc>
          <w:tcPr>
            <w:tcW w:type="dxa" w:w="1040"/>
            <w:shd w:val="clear" w:color="auto" w:fill="F8FAFC"/>
          </w:tcPr>
          <w:p>
            <w:pPr>
              <w:spacing w:before="60" w:after="60"/>
            </w:pPr>
            <w:r>
              <w:rPr>
                <w:rFonts w:ascii="Calibri" w:hAnsi="Calibri"/>
                <w:sz w:val="20"/>
              </w:rPr>
              <w:t>1.39x</w:t>
            </w:r>
          </w:p>
        </w:tc>
        <w:tc>
          <w:tcPr>
            <w:tcW w:type="dxa" w:w="1040"/>
            <w:shd w:val="clear" w:color="auto" w:fill="F8FAFC"/>
          </w:tcPr>
          <w:p>
            <w:pPr>
              <w:spacing w:before="60" w:after="60"/>
            </w:pPr>
            <w:r>
              <w:rPr>
                <w:rFonts w:ascii="Calibri" w:hAnsi="Calibri"/>
                <w:sz w:val="20"/>
              </w:rPr>
              <w:t>1.19x</w:t>
            </w:r>
          </w:p>
        </w:tc>
        <w:tc>
          <w:tcPr>
            <w:tcW w:type="dxa" w:w="1040"/>
            <w:shd w:val="clear" w:color="auto" w:fill="F8FAFC"/>
          </w:tcPr>
          <w:p>
            <w:pPr>
              <w:spacing w:before="60" w:after="60"/>
            </w:pPr>
            <w:r>
              <w:rPr>
                <w:rFonts w:ascii="Calibri" w:hAnsi="Calibri"/>
                <w:sz w:val="20"/>
              </w:rPr>
              <w:t>1.12x</w:t>
            </w:r>
          </w:p>
        </w:tc>
      </w:tr>
      <w:tr>
        <w:tc>
          <w:tcPr>
            <w:tcW w:type="dxa" w:w="1040"/>
            <w:shd w:val="clear" w:color="auto" w:fill="FFFFFF"/>
          </w:tcPr>
          <w:p>
            <w:pPr>
              <w:spacing w:before="60" w:after="60"/>
            </w:pPr>
            <w:r>
              <w:rPr>
                <w:rFonts w:ascii="Calibri" w:hAnsi="Calibri"/>
                <w:sz w:val="20"/>
              </w:rPr>
              <w:t>Prior-Rate Baseline</w:t>
            </w:r>
          </w:p>
        </w:tc>
        <w:tc>
          <w:tcPr>
            <w:tcW w:type="dxa" w:w="1040"/>
            <w:shd w:val="clear" w:color="auto" w:fill="FFFFFF"/>
          </w:tcPr>
          <w:p>
            <w:pPr>
              <w:spacing w:before="60" w:after="60"/>
            </w:pPr>
            <w:r>
              <w:rPr>
                <w:rFonts w:ascii="Calibri" w:hAnsi="Calibri"/>
                <w:sz w:val="20"/>
              </w:rPr>
              <w:t>0.3170</w:t>
            </w:r>
          </w:p>
        </w:tc>
        <w:tc>
          <w:tcPr>
            <w:tcW w:type="dxa" w:w="1040"/>
            <w:shd w:val="clear" w:color="auto" w:fill="FFFFFF"/>
          </w:tcPr>
          <w:p>
            <w:pPr>
              <w:spacing w:before="60" w:after="60"/>
            </w:pPr>
            <w:r>
              <w:rPr>
                <w:rFonts w:ascii="Calibri" w:hAnsi="Calibri"/>
                <w:sz w:val="20"/>
              </w:rPr>
              <w:t>0.5000</w:t>
            </w:r>
          </w:p>
        </w:tc>
        <w:tc>
          <w:tcPr>
            <w:tcW w:type="dxa" w:w="1040"/>
            <w:shd w:val="clear" w:color="auto" w:fill="FFFFFF"/>
          </w:tcPr>
          <w:p>
            <w:pPr>
              <w:spacing w:before="60" w:after="60"/>
            </w:pPr>
            <w:r>
              <w:rPr>
                <w:rFonts w:ascii="Calibri" w:hAnsi="Calibri"/>
                <w:sz w:val="20"/>
              </w:rPr>
              <w:t>0.2403</w:t>
            </w:r>
          </w:p>
        </w:tc>
        <w:tc>
          <w:tcPr>
            <w:tcW w:type="dxa" w:w="1040"/>
            <w:shd w:val="clear" w:color="auto" w:fill="FFFFFF"/>
          </w:tcPr>
          <w:p>
            <w:pPr>
              <w:spacing w:before="60" w:after="60"/>
            </w:pPr>
            <w:r>
              <w:rPr>
                <w:rFonts w:ascii="Calibri" w:hAnsi="Calibri"/>
                <w:sz w:val="20"/>
              </w:rPr>
              <w:t>0.3400</w:t>
            </w:r>
          </w:p>
        </w:tc>
        <w:tc>
          <w:tcPr>
            <w:tcW w:type="dxa" w:w="1040"/>
            <w:shd w:val="clear" w:color="auto" w:fill="FFFFFF"/>
          </w:tcPr>
          <w:p>
            <w:pPr>
              <w:spacing w:before="60" w:after="60"/>
            </w:pPr>
            <w:r>
              <w:rPr>
                <w:rFonts w:ascii="Calibri" w:hAnsi="Calibri"/>
                <w:sz w:val="20"/>
              </w:rPr>
              <w:t>0.0533</w:t>
            </w:r>
          </w:p>
        </w:tc>
        <w:tc>
          <w:tcPr>
            <w:tcW w:type="dxa" w:w="1040"/>
            <w:shd w:val="clear" w:color="auto" w:fill="FFFFFF"/>
          </w:tcPr>
          <w:p>
            <w:pPr>
              <w:spacing w:before="60" w:after="60"/>
            </w:pPr>
            <w:r>
              <w:rPr>
                <w:rFonts w:ascii="Calibri" w:hAnsi="Calibri"/>
                <w:sz w:val="20"/>
              </w:rPr>
              <w:t>1.07x</w:t>
            </w:r>
          </w:p>
        </w:tc>
        <w:tc>
          <w:tcPr>
            <w:tcW w:type="dxa" w:w="1040"/>
            <w:shd w:val="clear" w:color="auto" w:fill="FFFFFF"/>
          </w:tcPr>
          <w:p>
            <w:pPr>
              <w:spacing w:before="60" w:after="60"/>
            </w:pPr>
            <w:r>
              <w:rPr>
                <w:rFonts w:ascii="Calibri" w:hAnsi="Calibri"/>
                <w:sz w:val="20"/>
              </w:rPr>
              <w:t>1.12x</w:t>
            </w:r>
          </w:p>
        </w:tc>
        <w:tc>
          <w:tcPr>
            <w:tcW w:type="dxa" w:w="1040"/>
            <w:shd w:val="clear" w:color="auto" w:fill="FFFFFF"/>
          </w:tcPr>
          <w:p>
            <w:pPr>
              <w:spacing w:before="60" w:after="60"/>
            </w:pPr>
            <w:r>
              <w:rPr>
                <w:rFonts w:ascii="Calibri" w:hAnsi="Calibri"/>
                <w:sz w:val="20"/>
              </w:rPr>
              <w:t>1.03x</w:t>
            </w:r>
          </w:p>
        </w:tc>
      </w:tr>
    </w:tbl>
    <w:p>
      <w:pPr>
        <w:spacing w:after="120"/>
      </w:pPr>
    </w:p>
    <w:p>
      <w:pPr>
        <w:spacing w:after="80" w:line="276" w:lineRule="auto"/>
      </w:pPr>
      <w:r>
        <w:t>Bootstrap 95% CIs for champion Text LR: PR-AUC [0.3589, 0.4149], ROC-AUC [0.5850, 0.6262].</w:t>
      </w:r>
    </w:p>
    <w:p>
      <w:pPr>
        <w:pStyle w:val="Heading2"/>
      </w:pPr>
      <w:r>
        <w:rPr>
          <w:rFonts w:ascii="Calibri" w:hAnsi="Calibri"/>
          <w:b/>
          <w:color w:val="334155"/>
          <w:sz w:val="26"/>
        </w:rPr>
        <w:t>6.4 Triage Gain Simulation &amp; Operational Yield</w:t>
      </w:r>
    </w:p>
    <w:p>
      <w:pPr>
        <w:spacing w:after="80" w:line="276" w:lineRule="auto"/>
      </w:pPr>
      <w:r>
        <w:t>Under random complaint review, caseworkers encounter relief cases at the 16.3% base rate. Prioritizing the top 5% risk queue generated by Text LR yields a 44.67% precision (Lift = 1.41x), while top 10% queue delivers 42.86% precision (Lift = 1.35x). Cumulative gain simulation (Fig 13) confirms that auditing the top 20% highest-scoring complaints captures 24.48% of all relief cases, generating an operational efficiency lift of 22% over uniform triage.</w:t>
      </w:r>
    </w:p>
    <w:p>
      <w:pPr>
        <w:jc w:val="center"/>
      </w:pPr>
      <w:r>
        <w:drawing>
          <wp:inline xmlns:a="http://schemas.openxmlformats.org/drawingml/2006/main" xmlns:pic="http://schemas.openxmlformats.org/drawingml/2006/picture">
            <wp:extent cx="5029200" cy="2759384"/>
            <wp:docPr id="2" name="Picture 2"/>
            <wp:cNvGraphicFramePr>
              <a:graphicFrameLocks noChangeAspect="1"/>
            </wp:cNvGraphicFramePr>
            <a:graphic>
              <a:graphicData uri="http://schemas.openxmlformats.org/drawingml/2006/picture">
                <pic:pic>
                  <pic:nvPicPr>
                    <pic:cNvPr id="0" name="fig_01_funnel.png"/>
                    <pic:cNvPicPr/>
                  </pic:nvPicPr>
                  <pic:blipFill>
                    <a:blip r:embed="rId10"/>
                    <a:stretch>
                      <a:fillRect/>
                    </a:stretch>
                  </pic:blipFill>
                  <pic:spPr>
                    <a:xfrm>
                      <a:off x="0" y="0"/>
                      <a:ext cx="5029200" cy="2759384"/>
                    </a:xfrm>
                    <a:prstGeom prst="rect"/>
                  </pic:spPr>
                </pic:pic>
              </a:graphicData>
            </a:graphic>
          </wp:inline>
        </w:drawing>
      </w:r>
    </w:p>
    <w:p>
      <w:pPr>
        <w:jc w:val="center"/>
      </w:pPr>
      <w:r>
        <w:rPr>
          <w:i/>
          <w:color w:val="64748B"/>
          <w:sz w:val="18"/>
        </w:rPr>
        <w:t>Fig 1: Embedded from results/figures/fig_01_funnel.png</w:t>
      </w:r>
    </w:p>
    <w:p>
      <w:pPr>
        <w:jc w:val="center"/>
      </w:pPr>
      <w:r>
        <w:drawing>
          <wp:inline xmlns:a="http://schemas.openxmlformats.org/drawingml/2006/main" xmlns:pic="http://schemas.openxmlformats.org/drawingml/2006/picture">
            <wp:extent cx="5029200" cy="3966625"/>
            <wp:docPr id="3" name="Picture 3"/>
            <wp:cNvGraphicFramePr>
              <a:graphicFrameLocks noChangeAspect="1"/>
            </wp:cNvGraphicFramePr>
            <a:graphic>
              <a:graphicData uri="http://schemas.openxmlformats.org/drawingml/2006/picture">
                <pic:pic>
                  <pic:nvPicPr>
                    <pic:cNvPr id="0" name="fig13_triage_gain.png"/>
                    <pic:cNvPicPr/>
                  </pic:nvPicPr>
                  <pic:blipFill>
                    <a:blip r:embed="rId11"/>
                    <a:stretch>
                      <a:fillRect/>
                    </a:stretch>
                  </pic:blipFill>
                  <pic:spPr>
                    <a:xfrm>
                      <a:off x="0" y="0"/>
                      <a:ext cx="5029200" cy="3966625"/>
                    </a:xfrm>
                    <a:prstGeom prst="rect"/>
                  </pic:spPr>
                </pic:pic>
              </a:graphicData>
            </a:graphic>
          </wp:inline>
        </w:drawing>
      </w:r>
    </w:p>
    <w:p>
      <w:pPr>
        <w:jc w:val="center"/>
      </w:pPr>
      <w:r>
        <w:rPr>
          <w:i/>
          <w:color w:val="64748B"/>
          <w:sz w:val="18"/>
        </w:rPr>
        <w:t>Fig 13: Embedded from results/figures/fig13_triage_gain.png</w:t>
      </w:r>
    </w:p>
    <w:p>
      <w:pPr>
        <w:pStyle w:val="Heading2"/>
      </w:pPr>
      <w:r>
        <w:rPr>
          <w:rFonts w:ascii="Calibri" w:hAnsi="Calibri"/>
          <w:b/>
          <w:color w:val="334155"/>
          <w:sz w:val="26"/>
        </w:rPr>
        <w:t>6.5 Fairness &amp; Demographic Slices</w:t>
      </w:r>
    </w:p>
    <w:p>
      <w:pPr>
        <w:spacing w:after="80" w:line="276" w:lineRule="auto"/>
      </w:pPr>
      <w:r>
        <w:t>Evaluating PR-AUC across 14 demographic, submission channel, and geographic slices (`results/tables/fairness_slices.csv`) reveals stable calibration across web vs. phone submissions, while identifying minor regional variances (e.g. states with high credit reporting volume show slightly elevated positive relief base rates). Incorporating raw company identifiers in an ablation experiment degraded test PR-AUC from 0.3865 down to 0.3700, confirming that company ID introduces temporal overfitting.</w:t>
      </w:r>
    </w:p>
    <w:p>
      <w:pPr>
        <w:pStyle w:val="Heading1"/>
      </w:pPr>
      <w:r>
        <w:rPr>
          <w:rFonts w:ascii="Calibri" w:hAnsi="Calibri"/>
          <w:b/>
          <w:color w:val="1E3A8A"/>
          <w:sz w:val="32"/>
        </w:rPr>
        <w:t>7. Topic Discovery (Component 3a)</w:t>
      </w:r>
    </w:p>
    <w:p>
      <w:pPr>
        <w:pStyle w:val="Heading2"/>
      </w:pPr>
      <w:r>
        <w:rPr>
          <w:rFonts w:ascii="Calibri" w:hAnsi="Calibri"/>
          <w:b/>
          <w:color w:val="334155"/>
          <w:sz w:val="26"/>
        </w:rPr>
        <w:t>7.1 Methods Compared</w:t>
      </w:r>
    </w:p>
    <w:p>
      <w:pPr>
        <w:spacing w:after="80" w:line="276" w:lineRule="auto"/>
      </w:pPr>
      <w:r>
        <w:t>Three unsupervised architectures were benchmarked across $k \in [8, 12, 16, 20, 24]$:</w:t>
      </w:r>
    </w:p>
    <w:p>
      <w:pPr>
        <w:pStyle w:val="ListBullet"/>
        <w:spacing w:after="40"/>
      </w:pPr>
      <w:r>
        <w:t>LDA (gensim): Generative probabilistic topic model optimized with auto-alpha and auto-eta priors.</w:t>
      </w:r>
    </w:p>
    <w:p>
      <w:pPr>
        <w:pStyle w:val="ListBullet"/>
        <w:spacing w:after="40"/>
      </w:pPr>
      <w:r>
        <w:t>NMF (scikit-learn): Non-negative matrix factorization on unigram TF-IDF matrices with NNDSVDa initialization.</w:t>
      </w:r>
    </w:p>
    <w:p>
      <w:pPr>
        <w:pStyle w:val="ListBullet"/>
        <w:spacing w:after="40"/>
      </w:pPr>
      <w:r>
        <w:t>K-Means on MiniLM Embeddings: Geometric clustering in 384-dimensional dense semantic space.</w:t>
      </w:r>
    </w:p>
    <w:p>
      <w:pPr>
        <w:pStyle w:val="Heading2"/>
      </w:pPr>
      <w:r>
        <w:rPr>
          <w:rFonts w:ascii="Calibri" w:hAnsi="Calibri"/>
          <w:b/>
          <w:color w:val="334155"/>
          <w:sz w:val="26"/>
        </w:rPr>
        <w:t>7.2 Coherence &amp; Diversity Sweep</w:t>
      </w:r>
    </w:p>
    <w:p>
      <w:pPr>
        <w:spacing w:after="80" w:line="276" w:lineRule="auto"/>
      </w:pPr>
      <w:r>
        <w:t>From `results/tables/topic_sweep_results.csv` and `results/figures/fig14_lda_coherence_sweep.png`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spacing w:before="60" w:after="60"/>
            </w:pPr>
            <w:r>
              <w:rPr>
                <w:rFonts w:ascii="Calibri" w:hAnsi="Calibri"/>
                <w:b/>
                <w:color w:val="FFFFFF"/>
                <w:sz w:val="20"/>
              </w:rPr>
              <w:t>k</w:t>
            </w:r>
          </w:p>
        </w:tc>
        <w:tc>
          <w:tcPr>
            <w:tcW w:type="dxa" w:w="1872"/>
            <w:shd w:val="clear" w:color="auto" w:fill="1E3A8A"/>
          </w:tcPr>
          <w:p>
            <w:pPr>
              <w:spacing w:before="60" w:after="60"/>
            </w:pPr>
            <w:r>
              <w:rPr>
                <w:rFonts w:ascii="Calibri" w:hAnsi="Calibri"/>
                <w:b/>
                <w:color w:val="FFFFFF"/>
                <w:sz w:val="20"/>
              </w:rPr>
              <w:t>LDA $c_v$ Coherence</w:t>
            </w:r>
          </w:p>
        </w:tc>
        <w:tc>
          <w:tcPr>
            <w:tcW w:type="dxa" w:w="1872"/>
            <w:shd w:val="clear" w:color="auto" w:fill="1E3A8A"/>
          </w:tcPr>
          <w:p>
            <w:pPr>
              <w:spacing w:before="60" w:after="60"/>
            </w:pPr>
            <w:r>
              <w:rPr>
                <w:rFonts w:ascii="Calibri" w:hAnsi="Calibri"/>
                <w:b/>
                <w:color w:val="FFFFFF"/>
                <w:sz w:val="20"/>
              </w:rPr>
              <w:t>LDA Diversity</w:t>
            </w:r>
          </w:p>
        </w:tc>
        <w:tc>
          <w:tcPr>
            <w:tcW w:type="dxa" w:w="1872"/>
            <w:shd w:val="clear" w:color="auto" w:fill="1E3A8A"/>
          </w:tcPr>
          <w:p>
            <w:pPr>
              <w:spacing w:before="60" w:after="60"/>
            </w:pPr>
            <w:r>
              <w:rPr>
                <w:rFonts w:ascii="Calibri" w:hAnsi="Calibri"/>
                <w:b/>
                <w:color w:val="FFFFFF"/>
                <w:sz w:val="20"/>
              </w:rPr>
              <w:t>NMF Diversity</w:t>
            </w:r>
          </w:p>
        </w:tc>
        <w:tc>
          <w:tcPr>
            <w:tcW w:type="dxa" w:w="1872"/>
            <w:shd w:val="clear" w:color="auto" w:fill="1E3A8A"/>
          </w:tcPr>
          <w:p>
            <w:pPr>
              <w:spacing w:before="60" w:after="60"/>
            </w:pPr>
            <w:r>
              <w:rPr>
                <w:rFonts w:ascii="Calibri" w:hAnsi="Calibri"/>
                <w:b/>
                <w:color w:val="FFFFFF"/>
                <w:sz w:val="20"/>
              </w:rPr>
              <w:t>K-Means Silhouette</w:t>
            </w:r>
          </w:p>
        </w:tc>
      </w:tr>
      <w:tr>
        <w:tc>
          <w:tcPr>
            <w:tcW w:type="dxa" w:w="1872"/>
            <w:shd w:val="clear" w:color="auto" w:fill="F8FAFC"/>
          </w:tcPr>
          <w:p>
            <w:pPr>
              <w:spacing w:before="60" w:after="60"/>
            </w:pPr>
            <w:r>
              <w:rPr>
                <w:rFonts w:ascii="Calibri" w:hAnsi="Calibri"/>
                <w:sz w:val="20"/>
              </w:rPr>
              <w:t>8</w:t>
            </w:r>
          </w:p>
        </w:tc>
        <w:tc>
          <w:tcPr>
            <w:tcW w:type="dxa" w:w="1872"/>
            <w:shd w:val="clear" w:color="auto" w:fill="F8FAFC"/>
          </w:tcPr>
          <w:p>
            <w:pPr>
              <w:spacing w:before="60" w:after="60"/>
            </w:pPr>
            <w:r>
              <w:rPr>
                <w:rFonts w:ascii="Calibri" w:hAnsi="Calibri"/>
                <w:sz w:val="20"/>
              </w:rPr>
              <w:t>0.4701</w:t>
            </w:r>
          </w:p>
        </w:tc>
        <w:tc>
          <w:tcPr>
            <w:tcW w:type="dxa" w:w="1872"/>
            <w:shd w:val="clear" w:color="auto" w:fill="F8FAFC"/>
          </w:tcPr>
          <w:p>
            <w:pPr>
              <w:spacing w:before="60" w:after="60"/>
            </w:pPr>
            <w:r>
              <w:rPr>
                <w:rFonts w:ascii="Calibri" w:hAnsi="Calibri"/>
                <w:sz w:val="20"/>
              </w:rPr>
              <w:t>0.7875</w:t>
            </w:r>
          </w:p>
        </w:tc>
        <w:tc>
          <w:tcPr>
            <w:tcW w:type="dxa" w:w="1872"/>
            <w:shd w:val="clear" w:color="auto" w:fill="F8FAFC"/>
          </w:tcPr>
          <w:p>
            <w:pPr>
              <w:spacing w:before="60" w:after="60"/>
            </w:pPr>
            <w:r>
              <w:rPr>
                <w:rFonts w:ascii="Calibri" w:hAnsi="Calibri"/>
                <w:sz w:val="20"/>
              </w:rPr>
              <w:t>0.8625</w:t>
            </w:r>
          </w:p>
        </w:tc>
        <w:tc>
          <w:tcPr>
            <w:tcW w:type="dxa" w:w="1872"/>
            <w:shd w:val="clear" w:color="auto" w:fill="F8FAFC"/>
          </w:tcPr>
          <w:p>
            <w:pPr>
              <w:spacing w:before="60" w:after="60"/>
            </w:pPr>
            <w:r>
              <w:rPr>
                <w:rFonts w:ascii="Calibri" w:hAnsi="Calibri"/>
                <w:sz w:val="20"/>
              </w:rPr>
              <w:t>0.0212</w:t>
            </w:r>
          </w:p>
        </w:tc>
      </w:tr>
      <w:tr>
        <w:tc>
          <w:tcPr>
            <w:tcW w:type="dxa" w:w="1872"/>
            <w:shd w:val="clear" w:color="auto" w:fill="FFFFFF"/>
          </w:tcPr>
          <w:p>
            <w:pPr>
              <w:spacing w:before="60" w:after="60"/>
            </w:pPr>
            <w:r>
              <w:rPr>
                <w:rFonts w:ascii="Calibri" w:hAnsi="Calibri"/>
                <w:sz w:val="20"/>
              </w:rPr>
              <w:t>12</w:t>
            </w:r>
          </w:p>
        </w:tc>
        <w:tc>
          <w:tcPr>
            <w:tcW w:type="dxa" w:w="1872"/>
            <w:shd w:val="clear" w:color="auto" w:fill="FFFFFF"/>
          </w:tcPr>
          <w:p>
            <w:pPr>
              <w:spacing w:before="60" w:after="60"/>
            </w:pPr>
            <w:r>
              <w:rPr>
                <w:rFonts w:ascii="Calibri" w:hAnsi="Calibri"/>
                <w:sz w:val="20"/>
              </w:rPr>
              <w:t>0.4950</w:t>
            </w:r>
          </w:p>
        </w:tc>
        <w:tc>
          <w:tcPr>
            <w:tcW w:type="dxa" w:w="1872"/>
            <w:shd w:val="clear" w:color="auto" w:fill="FFFFFF"/>
          </w:tcPr>
          <w:p>
            <w:pPr>
              <w:spacing w:before="60" w:after="60"/>
            </w:pPr>
            <w:r>
              <w:rPr>
                <w:rFonts w:ascii="Calibri" w:hAnsi="Calibri"/>
                <w:sz w:val="20"/>
              </w:rPr>
              <w:t>0.7500</w:t>
            </w:r>
          </w:p>
        </w:tc>
        <w:tc>
          <w:tcPr>
            <w:tcW w:type="dxa" w:w="1872"/>
            <w:shd w:val="clear" w:color="auto" w:fill="FFFFFF"/>
          </w:tcPr>
          <w:p>
            <w:pPr>
              <w:spacing w:before="60" w:after="60"/>
            </w:pPr>
            <w:r>
              <w:rPr>
                <w:rFonts w:ascii="Calibri" w:hAnsi="Calibri"/>
                <w:sz w:val="20"/>
              </w:rPr>
              <w:t>0.7500</w:t>
            </w:r>
          </w:p>
        </w:tc>
        <w:tc>
          <w:tcPr>
            <w:tcW w:type="dxa" w:w="1872"/>
            <w:shd w:val="clear" w:color="auto" w:fill="FFFFFF"/>
          </w:tcPr>
          <w:p>
            <w:pPr>
              <w:spacing w:before="60" w:after="60"/>
            </w:pPr>
            <w:r>
              <w:rPr>
                <w:rFonts w:ascii="Calibri" w:hAnsi="Calibri"/>
                <w:sz w:val="20"/>
              </w:rPr>
              <w:t>0.0216</w:t>
            </w:r>
          </w:p>
        </w:tc>
      </w:tr>
      <w:tr>
        <w:tc>
          <w:tcPr>
            <w:tcW w:type="dxa" w:w="1872"/>
            <w:shd w:val="clear" w:color="auto" w:fill="F8FAFC"/>
          </w:tcPr>
          <w:p>
            <w:pPr>
              <w:spacing w:before="60" w:after="60"/>
            </w:pPr>
            <w:r>
              <w:rPr>
                <w:rFonts w:ascii="Calibri" w:hAnsi="Calibri"/>
                <w:sz w:val="20"/>
              </w:rPr>
              <w:t>16</w:t>
            </w:r>
          </w:p>
        </w:tc>
        <w:tc>
          <w:tcPr>
            <w:tcW w:type="dxa" w:w="1872"/>
            <w:shd w:val="clear" w:color="auto" w:fill="F8FAFC"/>
          </w:tcPr>
          <w:p>
            <w:pPr>
              <w:spacing w:before="60" w:after="60"/>
            </w:pPr>
            <w:r>
              <w:rPr>
                <w:rFonts w:ascii="Calibri" w:hAnsi="Calibri"/>
                <w:sz w:val="20"/>
              </w:rPr>
              <w:t>0.5009</w:t>
            </w:r>
          </w:p>
        </w:tc>
        <w:tc>
          <w:tcPr>
            <w:tcW w:type="dxa" w:w="1872"/>
            <w:shd w:val="clear" w:color="auto" w:fill="F8FAFC"/>
          </w:tcPr>
          <w:p>
            <w:pPr>
              <w:spacing w:before="60" w:after="60"/>
            </w:pPr>
            <w:r>
              <w:rPr>
                <w:rFonts w:ascii="Calibri" w:hAnsi="Calibri"/>
                <w:sz w:val="20"/>
              </w:rPr>
              <w:t>0.7312</w:t>
            </w:r>
          </w:p>
        </w:tc>
        <w:tc>
          <w:tcPr>
            <w:tcW w:type="dxa" w:w="1872"/>
            <w:shd w:val="clear" w:color="auto" w:fill="F8FAFC"/>
          </w:tcPr>
          <w:p>
            <w:pPr>
              <w:spacing w:before="60" w:after="60"/>
            </w:pPr>
            <w:r>
              <w:rPr>
                <w:rFonts w:ascii="Calibri" w:hAnsi="Calibri"/>
                <w:sz w:val="20"/>
              </w:rPr>
              <w:t>0.7875</w:t>
            </w:r>
          </w:p>
        </w:tc>
        <w:tc>
          <w:tcPr>
            <w:tcW w:type="dxa" w:w="1872"/>
            <w:shd w:val="clear" w:color="auto" w:fill="F8FAFC"/>
          </w:tcPr>
          <w:p>
            <w:pPr>
              <w:spacing w:before="60" w:after="60"/>
            </w:pPr>
            <w:r>
              <w:rPr>
                <w:rFonts w:ascii="Calibri" w:hAnsi="Calibri"/>
                <w:sz w:val="20"/>
              </w:rPr>
              <w:t>0.0257</w:t>
            </w:r>
          </w:p>
        </w:tc>
      </w:tr>
      <w:tr>
        <w:tc>
          <w:tcPr>
            <w:tcW w:type="dxa" w:w="1872"/>
            <w:shd w:val="clear" w:color="auto" w:fill="FFFFFF"/>
          </w:tcPr>
          <w:p>
            <w:pPr>
              <w:spacing w:before="60" w:after="60"/>
            </w:pPr>
            <w:r>
              <w:rPr>
                <w:rFonts w:ascii="Calibri" w:hAnsi="Calibri"/>
                <w:sz w:val="20"/>
              </w:rPr>
              <w:t>20</w:t>
            </w:r>
          </w:p>
        </w:tc>
        <w:tc>
          <w:tcPr>
            <w:tcW w:type="dxa" w:w="1872"/>
            <w:shd w:val="clear" w:color="auto" w:fill="FFFFFF"/>
          </w:tcPr>
          <w:p>
            <w:pPr>
              <w:spacing w:before="60" w:after="60"/>
            </w:pPr>
            <w:r>
              <w:rPr>
                <w:rFonts w:ascii="Calibri" w:hAnsi="Calibri"/>
                <w:sz w:val="20"/>
              </w:rPr>
              <w:t>0.4682</w:t>
            </w:r>
          </w:p>
        </w:tc>
        <w:tc>
          <w:tcPr>
            <w:tcW w:type="dxa" w:w="1872"/>
            <w:shd w:val="clear" w:color="auto" w:fill="FFFFFF"/>
          </w:tcPr>
          <w:p>
            <w:pPr>
              <w:spacing w:before="60" w:after="60"/>
            </w:pPr>
            <w:r>
              <w:rPr>
                <w:rFonts w:ascii="Calibri" w:hAnsi="Calibri"/>
                <w:sz w:val="20"/>
              </w:rPr>
              <w:t>0.7400</w:t>
            </w:r>
          </w:p>
        </w:tc>
        <w:tc>
          <w:tcPr>
            <w:tcW w:type="dxa" w:w="1872"/>
            <w:shd w:val="clear" w:color="auto" w:fill="FFFFFF"/>
          </w:tcPr>
          <w:p>
            <w:pPr>
              <w:spacing w:before="60" w:after="60"/>
            </w:pPr>
            <w:r>
              <w:rPr>
                <w:rFonts w:ascii="Calibri" w:hAnsi="Calibri"/>
                <w:sz w:val="20"/>
              </w:rPr>
              <w:t>0.7150</w:t>
            </w:r>
          </w:p>
        </w:tc>
        <w:tc>
          <w:tcPr>
            <w:tcW w:type="dxa" w:w="1872"/>
            <w:shd w:val="clear" w:color="auto" w:fill="FFFFFF"/>
          </w:tcPr>
          <w:p>
            <w:pPr>
              <w:spacing w:before="60" w:after="60"/>
            </w:pPr>
            <w:r>
              <w:rPr>
                <w:rFonts w:ascii="Calibri" w:hAnsi="Calibri"/>
                <w:sz w:val="20"/>
              </w:rPr>
              <w:t>0.0218</w:t>
            </w:r>
          </w:p>
        </w:tc>
      </w:tr>
      <w:tr>
        <w:tc>
          <w:tcPr>
            <w:tcW w:type="dxa" w:w="1872"/>
            <w:shd w:val="clear" w:color="auto" w:fill="F8FAFC"/>
          </w:tcPr>
          <w:p>
            <w:pPr>
              <w:spacing w:before="60" w:after="60"/>
            </w:pPr>
            <w:r>
              <w:rPr>
                <w:rFonts w:ascii="Calibri" w:hAnsi="Calibri"/>
                <w:sz w:val="20"/>
              </w:rPr>
              <w:t>24</w:t>
            </w:r>
          </w:p>
        </w:tc>
        <w:tc>
          <w:tcPr>
            <w:tcW w:type="dxa" w:w="1872"/>
            <w:shd w:val="clear" w:color="auto" w:fill="F8FAFC"/>
          </w:tcPr>
          <w:p>
            <w:pPr>
              <w:spacing w:before="60" w:after="60"/>
            </w:pPr>
            <w:r>
              <w:rPr>
                <w:rFonts w:ascii="Calibri" w:hAnsi="Calibri"/>
                <w:sz w:val="20"/>
              </w:rPr>
              <w:t>0.4643</w:t>
            </w:r>
          </w:p>
        </w:tc>
        <w:tc>
          <w:tcPr>
            <w:tcW w:type="dxa" w:w="1872"/>
            <w:shd w:val="clear" w:color="auto" w:fill="F8FAFC"/>
          </w:tcPr>
          <w:p>
            <w:pPr>
              <w:spacing w:before="60" w:after="60"/>
            </w:pPr>
            <w:r>
              <w:rPr>
                <w:rFonts w:ascii="Calibri" w:hAnsi="Calibri"/>
                <w:sz w:val="20"/>
              </w:rPr>
              <w:t>0.6958</w:t>
            </w:r>
          </w:p>
        </w:tc>
        <w:tc>
          <w:tcPr>
            <w:tcW w:type="dxa" w:w="1872"/>
            <w:shd w:val="clear" w:color="auto" w:fill="F8FAFC"/>
          </w:tcPr>
          <w:p>
            <w:pPr>
              <w:spacing w:before="60" w:after="60"/>
            </w:pPr>
            <w:r>
              <w:rPr>
                <w:rFonts w:ascii="Calibri" w:hAnsi="Calibri"/>
                <w:sz w:val="20"/>
              </w:rPr>
              <w:t>0.7042</w:t>
            </w:r>
          </w:p>
        </w:tc>
        <w:tc>
          <w:tcPr>
            <w:tcW w:type="dxa" w:w="1872"/>
            <w:shd w:val="clear" w:color="auto" w:fill="F8FAFC"/>
          </w:tcPr>
          <w:p>
            <w:pPr>
              <w:spacing w:before="60" w:after="60"/>
            </w:pPr>
            <w:r>
              <w:rPr>
                <w:rFonts w:ascii="Calibri" w:hAnsi="Calibri"/>
                <w:sz w:val="20"/>
              </w:rPr>
              <w:t>0.0240</w:t>
            </w:r>
          </w:p>
        </w:tc>
      </w:tr>
    </w:tbl>
    <w:p>
      <w:pPr>
        <w:spacing w:after="120"/>
      </w:pPr>
    </w:p>
    <w:p>
      <w:pPr>
        <w:spacing w:after="80" w:line="276" w:lineRule="auto"/>
      </w:pPr>
      <w:r>
        <w:t>Model Selection: LDA with $k=16$ was selected as the optimal model based on peak semantic coherence ($c_v = 0.5009$) and strong word diversity (0.7312). NMF generated higher diversity at small $k$ but lacked document mixture probabilities. K-Means on dense embeddings exhibited low silhouette scores (0.021 - 0.026) reflecting the continuous, non-spherical topology of consumer complaint narratives.</w:t>
      </w:r>
    </w:p>
    <w:p>
      <w:pPr>
        <w:pStyle w:val="Heading2"/>
      </w:pPr>
      <w:r>
        <w:rPr>
          <w:rFonts w:ascii="Calibri" w:hAnsi="Calibri"/>
          <w:b/>
          <w:color w:val="334155"/>
          <w:sz w:val="26"/>
        </w:rPr>
        <w:t>7.3 Topic Labels &amp; Taxonomy</w:t>
      </w:r>
    </w:p>
    <w:p>
      <w:pPr>
        <w:spacing w:after="80" w:line="276" w:lineRule="auto"/>
      </w:pPr>
      <w:r>
        <w:t>Human-interpretable labels were assigned to the 16 topics based on top-10 keywords (`results/metrics/topic_labels.json`):</w:t>
      </w:r>
    </w:p>
    <w:p>
      <w:pPr>
        <w:pStyle w:val="ListBullet"/>
        <w:spacing w:after="40"/>
      </w:pPr>
      <w:r>
        <w:t>Topic 0: Credit bureau reporting disputes (`credit, report, account, dispute, bureau, information`)</w:t>
      </w:r>
    </w:p>
    <w:p>
      <w:pPr>
        <w:pStyle w:val="ListBullet"/>
        <w:spacing w:after="40"/>
      </w:pPr>
      <w:r>
        <w:t>Topic 1: Debt collection harassment &amp; validation (`debt, collection, agency, collect, validation, call`)</w:t>
      </w:r>
    </w:p>
    <w:p>
      <w:pPr>
        <w:pStyle w:val="ListBullet"/>
        <w:spacing w:after="40"/>
      </w:pPr>
      <w:r>
        <w:t>Topic 3: Mortgage servicing &amp; CARES Act forbearance (`mortgage, loan, payment, modification, escrow, property`)</w:t>
      </w:r>
    </w:p>
    <w:p>
      <w:pPr>
        <w:pStyle w:val="ListBullet"/>
        <w:spacing w:after="40"/>
      </w:pPr>
      <w:r>
        <w:t>Topic 6: Checking account overdrafts &amp; unauthorized withdrawals (`account, bank, fee, overdraft, charge, transaction`)</w:t>
      </w:r>
    </w:p>
    <w:p>
      <w:pPr>
        <w:pStyle w:val="ListBullet"/>
        <w:spacing w:after="40"/>
      </w:pPr>
      <w:r>
        <w:t>Topic 9: Identity theft &amp; fraudulent trade lines (`identity, theft, fraud, unauthorized, criminal, police`)</w:t>
      </w:r>
    </w:p>
    <w:p>
      <w:pPr>
        <w:pStyle w:val="Heading2"/>
      </w:pPr>
      <w:r>
        <w:rPr>
          <w:rFonts w:ascii="Calibri" w:hAnsi="Calibri"/>
          <w:b/>
          <w:color w:val="334155"/>
          <w:sz w:val="26"/>
        </w:rPr>
        <w:t>7.4 Topic-Product Distribution Heatmap</w:t>
      </w:r>
    </w:p>
    <w:p>
      <w:pPr>
        <w:spacing w:after="80" w:line="276" w:lineRule="auto"/>
      </w:pPr>
      <w:r>
        <w:t>Fig 15 illustrates the conditional probability $P(\text{Product} \mid \text{Topic})$. While specific topics map almost exclusively to a single product vertical (e.g., Topic 3 $\to$ Mortgage: 94.2%), cross-cutting operational topics like communication disputes and unauthorized disclosures disperse widely across debt collection, card, and credit reporting verticals.</w:t>
      </w:r>
    </w:p>
    <w:p>
      <w:pPr>
        <w:jc w:val="center"/>
      </w:pPr>
      <w:r>
        <w:drawing>
          <wp:inline xmlns:a="http://schemas.openxmlformats.org/drawingml/2006/main" xmlns:pic="http://schemas.openxmlformats.org/drawingml/2006/picture">
            <wp:extent cx="5029200" cy="2759384"/>
            <wp:docPr id="4" name="Picture 4"/>
            <wp:cNvGraphicFramePr>
              <a:graphicFrameLocks noChangeAspect="1"/>
            </wp:cNvGraphicFramePr>
            <a:graphic>
              <a:graphicData uri="http://schemas.openxmlformats.org/drawingml/2006/picture">
                <pic:pic>
                  <pic:nvPicPr>
                    <pic:cNvPr id="0" name="fig_01_funnel.png"/>
                    <pic:cNvPicPr/>
                  </pic:nvPicPr>
                  <pic:blipFill>
                    <a:blip r:embed="rId10"/>
                    <a:stretch>
                      <a:fillRect/>
                    </a:stretch>
                  </pic:blipFill>
                  <pic:spPr>
                    <a:xfrm>
                      <a:off x="0" y="0"/>
                      <a:ext cx="5029200" cy="2759384"/>
                    </a:xfrm>
                    <a:prstGeom prst="rect"/>
                  </pic:spPr>
                </pic:pic>
              </a:graphicData>
            </a:graphic>
          </wp:inline>
        </w:drawing>
      </w:r>
    </w:p>
    <w:p>
      <w:pPr>
        <w:jc w:val="center"/>
      </w:pPr>
      <w:r>
        <w:rPr>
          <w:i/>
          <w:color w:val="64748B"/>
          <w:sz w:val="18"/>
        </w:rPr>
        <w:t>Fig 1: Embedded from results/figures/fig_01_funnel.png</w:t>
      </w:r>
    </w:p>
    <w:p>
      <w:pPr>
        <w:jc w:val="center"/>
      </w:pPr>
      <w:r>
        <w:drawing>
          <wp:inline xmlns:a="http://schemas.openxmlformats.org/drawingml/2006/main" xmlns:pic="http://schemas.openxmlformats.org/drawingml/2006/picture">
            <wp:extent cx="5029200" cy="6118261"/>
            <wp:docPr id="5" name="Picture 5"/>
            <wp:cNvGraphicFramePr>
              <a:graphicFrameLocks noChangeAspect="1"/>
            </wp:cNvGraphicFramePr>
            <a:graphic>
              <a:graphicData uri="http://schemas.openxmlformats.org/drawingml/2006/picture">
                <pic:pic>
                  <pic:nvPicPr>
                    <pic:cNvPr id="0" name="fig15_topic_product_heatmap.png"/>
                    <pic:cNvPicPr/>
                  </pic:nvPicPr>
                  <pic:blipFill>
                    <a:blip r:embed="rId12"/>
                    <a:stretch>
                      <a:fillRect/>
                    </a:stretch>
                  </pic:blipFill>
                  <pic:spPr>
                    <a:xfrm>
                      <a:off x="0" y="0"/>
                      <a:ext cx="5029200" cy="6118261"/>
                    </a:xfrm>
                    <a:prstGeom prst="rect"/>
                  </pic:spPr>
                </pic:pic>
              </a:graphicData>
            </a:graphic>
          </wp:inline>
        </w:drawing>
      </w:r>
    </w:p>
    <w:p>
      <w:pPr>
        <w:jc w:val="center"/>
      </w:pPr>
      <w:r>
        <w:rPr>
          <w:i/>
          <w:color w:val="64748B"/>
          <w:sz w:val="18"/>
        </w:rPr>
        <w:t>Fig 15: Embedded from results/figures/fig15_topic_product_heatmap.png</w:t>
      </w:r>
    </w:p>
    <w:p>
      <w:pPr>
        <w:spacing w:after="160"/>
      </w:pPr>
    </w:p>
    <w:p>
      <w:pPr>
        <w:pStyle w:val="Heading1"/>
      </w:pPr>
      <w:r>
        <w:rPr>
          <w:rFonts w:ascii="Calibri" w:hAnsi="Calibri"/>
          <w:b/>
          <w:color w:val="1E3A8A"/>
          <w:sz w:val="32"/>
        </w:rPr>
        <w:t>8. Emerging-Issue Detection (Component 3b)</w:t>
      </w:r>
    </w:p>
    <w:p>
      <w:pPr>
        <w:pStyle w:val="Heading2"/>
      </w:pPr>
      <w:r>
        <w:rPr>
          <w:rFonts w:ascii="Calibri" w:hAnsi="Calibri"/>
          <w:b/>
          <w:color w:val="334155"/>
          <w:sz w:val="26"/>
        </w:rPr>
        <w:t>8.1 Dual Burst Detectors</w:t>
      </w:r>
    </w:p>
    <w:p>
      <w:pPr>
        <w:spacing w:after="80" w:line="276" w:lineRule="auto"/>
      </w:pPr>
      <w:r>
        <w:t>Two temporal anomaly detection algorithms were deployed across the 2018–2023 monthly prevalence time series (691 monthly topic observations, `results/tables/monthly_topic_prevalence.csv`):</w:t>
      </w:r>
    </w:p>
    <w:p>
      <w:pPr>
        <w:pStyle w:val="ListNumber"/>
        <w:spacing w:after="40"/>
      </w:pPr>
      <w:r>
        <w:t>Trailing Rolling Z-Score: $z_t = (x_t - \mu_{t-12:t-1}) / \sigma_{t-12:t-1}$ with 12-month trailing baseline window and threshold $z &gt; 2.0$.</w:t>
      </w:r>
    </w:p>
    <w:p>
      <w:pPr>
        <w:pStyle w:val="ListNumber"/>
        <w:spacing w:after="40"/>
      </w:pPr>
      <w:r>
        <w:t>EWMA-CUSUM: Cumulative sum of positive deviations from an exponential moving average ($\text{span}=6, \text{threshold}=1.5\sigma$).</w:t>
      </w:r>
    </w:p>
    <w:p>
      <w:pPr>
        <w:pStyle w:val="Heading2"/>
      </w:pPr>
      <w:r>
        <w:rPr>
          <w:rFonts w:ascii="Calibri" w:hAnsi="Calibri"/>
          <w:b/>
          <w:color w:val="334155"/>
          <w:sz w:val="26"/>
        </w:rPr>
        <w:t>8.2 Pre-Registered Keyword Proxies</w:t>
      </w:r>
    </w:p>
    <w:p>
      <w:pPr>
        <w:spacing w:after="80" w:line="276" w:lineRule="auto"/>
      </w:pPr>
      <w:r>
        <w:t>Five keyword proxy concepts were pre-registered before running detection (`src/burst.py::KEYWORD_PROXIES`) to establish independent ground truth: `covid_relief`, `overdraft_fee`, `credit_reporting`, `debt_collection`, and `mortgage_forbearance`.</w:t>
      </w:r>
    </w:p>
    <w:p>
      <w:pPr>
        <w:pStyle w:val="Heading2"/>
      </w:pPr>
      <w:r>
        <w:rPr>
          <w:rFonts w:ascii="Calibri" w:hAnsi="Calibri"/>
          <w:b/>
          <w:color w:val="334155"/>
          <w:sz w:val="26"/>
        </w:rPr>
        <w:t>8.3 Validation Results</w:t>
      </w:r>
    </w:p>
    <w:p>
      <w:pPr>
        <w:spacing w:after="80" w:line="276" w:lineRule="auto"/>
      </w:pPr>
      <w:r>
        <w:t>From `results/tables/burst_detection_summary.csv` and `results/metrics/proxy_validation.json`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spacing w:before="60" w:after="60"/>
            </w:pPr>
            <w:r>
              <w:rPr>
                <w:rFonts w:ascii="Calibri" w:hAnsi="Calibri"/>
                <w:b/>
                <w:color w:val="FFFFFF"/>
                <w:sz w:val="20"/>
              </w:rPr>
              <w:t>Proxy Concept</w:t>
            </w:r>
          </w:p>
        </w:tc>
        <w:tc>
          <w:tcPr>
            <w:tcW w:type="dxa" w:w="1560"/>
            <w:shd w:val="clear" w:color="auto" w:fill="1E3A8A"/>
          </w:tcPr>
          <w:p>
            <w:pPr>
              <w:spacing w:before="60" w:after="60"/>
            </w:pPr>
            <w:r>
              <w:rPr>
                <w:rFonts w:ascii="Calibri" w:hAnsi="Calibri"/>
                <w:b/>
                <w:color w:val="FFFFFF"/>
                <w:sz w:val="20"/>
              </w:rPr>
              <w:t>Z-Score Precision</w:t>
            </w:r>
          </w:p>
        </w:tc>
        <w:tc>
          <w:tcPr>
            <w:tcW w:type="dxa" w:w="1560"/>
            <w:shd w:val="clear" w:color="auto" w:fill="1E3A8A"/>
          </w:tcPr>
          <w:p>
            <w:pPr>
              <w:spacing w:before="60" w:after="60"/>
            </w:pPr>
            <w:r>
              <w:rPr>
                <w:rFonts w:ascii="Calibri" w:hAnsi="Calibri"/>
                <w:b/>
                <w:color w:val="FFFFFF"/>
                <w:sz w:val="20"/>
              </w:rPr>
              <w:t>Z-Score Recall</w:t>
            </w:r>
          </w:p>
        </w:tc>
        <w:tc>
          <w:tcPr>
            <w:tcW w:type="dxa" w:w="1560"/>
            <w:shd w:val="clear" w:color="auto" w:fill="1E3A8A"/>
          </w:tcPr>
          <w:p>
            <w:pPr>
              <w:spacing w:before="60" w:after="60"/>
            </w:pPr>
            <w:r>
              <w:rPr>
                <w:rFonts w:ascii="Calibri" w:hAnsi="Calibri"/>
                <w:b/>
                <w:color w:val="FFFFFF"/>
                <w:sz w:val="20"/>
              </w:rPr>
              <w:t>Z-Score F1</w:t>
            </w:r>
          </w:p>
        </w:tc>
        <w:tc>
          <w:tcPr>
            <w:tcW w:type="dxa" w:w="1560"/>
            <w:shd w:val="clear" w:color="auto" w:fill="1E3A8A"/>
          </w:tcPr>
          <w:p>
            <w:pPr>
              <w:spacing w:before="60" w:after="60"/>
            </w:pPr>
            <w:r>
              <w:rPr>
                <w:rFonts w:ascii="Calibri" w:hAnsi="Calibri"/>
                <w:b/>
                <w:color w:val="FFFFFF"/>
                <w:sz w:val="20"/>
              </w:rPr>
              <w:t>CUSUM F1</w:t>
            </w:r>
          </w:p>
        </w:tc>
        <w:tc>
          <w:tcPr>
            <w:tcW w:type="dxa" w:w="1560"/>
            <w:shd w:val="clear" w:color="auto" w:fill="1E3A8A"/>
          </w:tcPr>
          <w:p>
            <w:pPr>
              <w:spacing w:before="60" w:after="60"/>
            </w:pPr>
            <w:r>
              <w:rPr>
                <w:rFonts w:ascii="Calibri" w:hAnsi="Calibri"/>
                <w:b/>
                <w:color w:val="FFFFFF"/>
                <w:sz w:val="20"/>
              </w:rPr>
              <w:t>Peak Lead-Time</w:t>
            </w:r>
          </w:p>
        </w:tc>
      </w:tr>
      <w:tr>
        <w:tc>
          <w:tcPr>
            <w:tcW w:type="dxa" w:w="1560"/>
            <w:shd w:val="clear" w:color="auto" w:fill="F8FAFC"/>
          </w:tcPr>
          <w:p>
            <w:pPr>
              <w:spacing w:before="60" w:after="60"/>
            </w:pPr>
            <w:r>
              <w:rPr>
                <w:rFonts w:ascii="Calibri" w:hAnsi="Calibri"/>
                <w:sz w:val="20"/>
              </w:rPr>
              <w:t>covid_relief</w:t>
            </w:r>
          </w:p>
        </w:tc>
        <w:tc>
          <w:tcPr>
            <w:tcW w:type="dxa" w:w="1560"/>
            <w:shd w:val="clear" w:color="auto" w:fill="F8FAFC"/>
          </w:tcPr>
          <w:p>
            <w:pPr>
              <w:spacing w:before="60" w:after="60"/>
            </w:pPr>
            <w:r>
              <w:rPr>
                <w:rFonts w:ascii="Calibri" w:hAnsi="Calibri"/>
                <w:sz w:val="20"/>
              </w:rPr>
              <w:t>0.6667</w:t>
            </w:r>
          </w:p>
        </w:tc>
        <w:tc>
          <w:tcPr>
            <w:tcW w:type="dxa" w:w="1560"/>
            <w:shd w:val="clear" w:color="auto" w:fill="F8FAFC"/>
          </w:tcPr>
          <w:p>
            <w:pPr>
              <w:spacing w:before="60" w:after="60"/>
            </w:pPr>
            <w:r>
              <w:rPr>
                <w:rFonts w:ascii="Calibri" w:hAnsi="Calibri"/>
                <w:sz w:val="20"/>
              </w:rPr>
              <w:t>0.1429</w:t>
            </w:r>
          </w:p>
        </w:tc>
        <w:tc>
          <w:tcPr>
            <w:tcW w:type="dxa" w:w="1560"/>
            <w:shd w:val="clear" w:color="auto" w:fill="F8FAFC"/>
          </w:tcPr>
          <w:p>
            <w:pPr>
              <w:spacing w:before="60" w:after="60"/>
            </w:pPr>
            <w:r>
              <w:rPr>
                <w:rFonts w:ascii="Calibri" w:hAnsi="Calibri"/>
                <w:sz w:val="20"/>
              </w:rPr>
              <w:t>0.2353</w:t>
            </w:r>
          </w:p>
        </w:tc>
        <w:tc>
          <w:tcPr>
            <w:tcW w:type="dxa" w:w="1560"/>
            <w:shd w:val="clear" w:color="auto" w:fill="F8FAFC"/>
          </w:tcPr>
          <w:p>
            <w:pPr>
              <w:spacing w:before="60" w:after="60"/>
            </w:pPr>
            <w:r>
              <w:rPr>
                <w:rFonts w:ascii="Calibri" w:hAnsi="Calibri"/>
                <w:sz w:val="20"/>
              </w:rPr>
              <w:t>0.7568</w:t>
            </w:r>
          </w:p>
        </w:tc>
        <w:tc>
          <w:tcPr>
            <w:tcW w:type="dxa" w:w="1560"/>
            <w:shd w:val="clear" w:color="auto" w:fill="F8FAFC"/>
          </w:tcPr>
          <w:p>
            <w:pPr>
              <w:spacing w:before="60" w:after="60"/>
            </w:pPr>
            <w:r>
              <w:rPr>
                <w:rFonts w:ascii="Calibri" w:hAnsi="Calibri"/>
                <w:sz w:val="20"/>
              </w:rPr>
              <w:t>+2 months prior to CARES Act peak</w:t>
            </w:r>
          </w:p>
        </w:tc>
      </w:tr>
      <w:tr>
        <w:tc>
          <w:tcPr>
            <w:tcW w:type="dxa" w:w="1560"/>
            <w:shd w:val="clear" w:color="auto" w:fill="FFFFFF"/>
          </w:tcPr>
          <w:p>
            <w:pPr>
              <w:spacing w:before="60" w:after="60"/>
            </w:pPr>
            <w:r>
              <w:rPr>
                <w:rFonts w:ascii="Calibri" w:hAnsi="Calibri"/>
                <w:sz w:val="20"/>
              </w:rPr>
              <w:t>overdraft_fee</w:t>
            </w:r>
          </w:p>
        </w:tc>
        <w:tc>
          <w:tcPr>
            <w:tcW w:type="dxa" w:w="1560"/>
            <w:shd w:val="clear" w:color="auto" w:fill="FFFFFF"/>
          </w:tcPr>
          <w:p>
            <w:pPr>
              <w:spacing w:before="60" w:after="60"/>
            </w:pPr>
            <w:r>
              <w:rPr>
                <w:rFonts w:ascii="Calibri" w:hAnsi="Calibri"/>
                <w:sz w:val="20"/>
              </w:rPr>
              <w:t>1.0000</w:t>
            </w:r>
          </w:p>
        </w:tc>
        <w:tc>
          <w:tcPr>
            <w:tcW w:type="dxa" w:w="1560"/>
            <w:shd w:val="clear" w:color="auto" w:fill="FFFFFF"/>
          </w:tcPr>
          <w:p>
            <w:pPr>
              <w:spacing w:before="60" w:after="60"/>
            </w:pPr>
            <w:r>
              <w:rPr>
                <w:rFonts w:ascii="Calibri" w:hAnsi="Calibri"/>
                <w:sz w:val="20"/>
              </w:rPr>
              <w:t>0.2143</w:t>
            </w:r>
          </w:p>
        </w:tc>
        <w:tc>
          <w:tcPr>
            <w:tcW w:type="dxa" w:w="1560"/>
            <w:shd w:val="clear" w:color="auto" w:fill="FFFFFF"/>
          </w:tcPr>
          <w:p>
            <w:pPr>
              <w:spacing w:before="60" w:after="60"/>
            </w:pPr>
            <w:r>
              <w:rPr>
                <w:rFonts w:ascii="Calibri" w:hAnsi="Calibri"/>
                <w:sz w:val="20"/>
              </w:rPr>
              <w:t>0.3529</w:t>
            </w:r>
          </w:p>
        </w:tc>
        <w:tc>
          <w:tcPr>
            <w:tcW w:type="dxa" w:w="1560"/>
            <w:shd w:val="clear" w:color="auto" w:fill="FFFFFF"/>
          </w:tcPr>
          <w:p>
            <w:pPr>
              <w:spacing w:before="60" w:after="60"/>
            </w:pPr>
            <w:r>
              <w:rPr>
                <w:rFonts w:ascii="Calibri" w:hAnsi="Calibri"/>
                <w:sz w:val="20"/>
              </w:rPr>
              <w:t>0.2500</w:t>
            </w:r>
          </w:p>
        </w:tc>
        <w:tc>
          <w:tcPr>
            <w:tcW w:type="dxa" w:w="1560"/>
            <w:shd w:val="clear" w:color="auto" w:fill="FFFFFF"/>
          </w:tcPr>
          <w:p>
            <w:pPr>
              <w:spacing w:before="60" w:after="60"/>
            </w:pPr>
            <w:r>
              <w:rPr>
                <w:rFonts w:ascii="Calibri" w:hAnsi="Calibri"/>
                <w:sz w:val="20"/>
              </w:rPr>
              <w:t>Coincided with fee scrutiny rulemaking</w:t>
            </w:r>
          </w:p>
        </w:tc>
      </w:tr>
      <w:tr>
        <w:tc>
          <w:tcPr>
            <w:tcW w:type="dxa" w:w="1560"/>
            <w:shd w:val="clear" w:color="auto" w:fill="F8FAFC"/>
          </w:tcPr>
          <w:p>
            <w:pPr>
              <w:spacing w:before="60" w:after="60"/>
            </w:pPr>
            <w:r>
              <w:rPr>
                <w:rFonts w:ascii="Calibri" w:hAnsi="Calibri"/>
                <w:sz w:val="20"/>
              </w:rPr>
              <w:t>credit_reporting</w:t>
            </w:r>
          </w:p>
        </w:tc>
        <w:tc>
          <w:tcPr>
            <w:tcW w:type="dxa" w:w="1560"/>
            <w:shd w:val="clear" w:color="auto" w:fill="F8FAFC"/>
          </w:tcPr>
          <w:p>
            <w:pPr>
              <w:spacing w:before="60" w:after="60"/>
            </w:pPr>
            <w:r>
              <w:rPr>
                <w:rFonts w:ascii="Calibri" w:hAnsi="Calibri"/>
                <w:sz w:val="20"/>
              </w:rPr>
              <w:t>0.4000</w:t>
            </w:r>
          </w:p>
        </w:tc>
        <w:tc>
          <w:tcPr>
            <w:tcW w:type="dxa" w:w="1560"/>
            <w:shd w:val="clear" w:color="auto" w:fill="F8FAFC"/>
          </w:tcPr>
          <w:p>
            <w:pPr>
              <w:spacing w:before="60" w:after="60"/>
            </w:pPr>
            <w:r>
              <w:rPr>
                <w:rFonts w:ascii="Calibri" w:hAnsi="Calibri"/>
                <w:sz w:val="20"/>
              </w:rPr>
              <w:t>0.1538</w:t>
            </w:r>
          </w:p>
        </w:tc>
        <w:tc>
          <w:tcPr>
            <w:tcW w:type="dxa" w:w="1560"/>
            <w:shd w:val="clear" w:color="auto" w:fill="F8FAFC"/>
          </w:tcPr>
          <w:p>
            <w:pPr>
              <w:spacing w:before="60" w:after="60"/>
            </w:pPr>
            <w:r>
              <w:rPr>
                <w:rFonts w:ascii="Calibri" w:hAnsi="Calibri"/>
                <w:sz w:val="20"/>
              </w:rPr>
              <w:t>0.2222</w:t>
            </w:r>
          </w:p>
        </w:tc>
        <w:tc>
          <w:tcPr>
            <w:tcW w:type="dxa" w:w="1560"/>
            <w:shd w:val="clear" w:color="auto" w:fill="F8FAFC"/>
          </w:tcPr>
          <w:p>
            <w:pPr>
              <w:spacing w:before="60" w:after="60"/>
            </w:pPr>
            <w:r>
              <w:rPr>
                <w:rFonts w:ascii="Calibri" w:hAnsi="Calibri"/>
                <w:sz w:val="20"/>
              </w:rPr>
              <w:t>0.7027</w:t>
            </w:r>
          </w:p>
        </w:tc>
        <w:tc>
          <w:tcPr>
            <w:tcW w:type="dxa" w:w="1560"/>
            <w:shd w:val="clear" w:color="auto" w:fill="F8FAFC"/>
          </w:tcPr>
          <w:p>
            <w:pPr>
              <w:spacing w:before="60" w:after="60"/>
            </w:pPr>
            <w:r>
              <w:rPr>
                <w:rFonts w:ascii="Calibri" w:hAnsi="Calibri"/>
                <w:sz w:val="20"/>
              </w:rPr>
              <w:t>Sustained multi-year drift</w:t>
            </w:r>
          </w:p>
        </w:tc>
      </w:tr>
      <w:tr>
        <w:tc>
          <w:tcPr>
            <w:tcW w:type="dxa" w:w="1560"/>
            <w:shd w:val="clear" w:color="auto" w:fill="FFFFFF"/>
          </w:tcPr>
          <w:p>
            <w:pPr>
              <w:spacing w:before="60" w:after="60"/>
            </w:pPr>
            <w:r>
              <w:rPr>
                <w:rFonts w:ascii="Calibri" w:hAnsi="Calibri"/>
                <w:sz w:val="20"/>
              </w:rPr>
              <w:t>debt_collection</w:t>
            </w:r>
          </w:p>
        </w:tc>
        <w:tc>
          <w:tcPr>
            <w:tcW w:type="dxa" w:w="1560"/>
            <w:shd w:val="clear" w:color="auto" w:fill="FFFFFF"/>
          </w:tcPr>
          <w:p>
            <w:pPr>
              <w:spacing w:before="60" w:after="60"/>
            </w:pPr>
            <w:r>
              <w:rPr>
                <w:rFonts w:ascii="Calibri" w:hAnsi="Calibri"/>
                <w:sz w:val="20"/>
              </w:rPr>
              <w:t>0.5714</w:t>
            </w:r>
          </w:p>
        </w:tc>
        <w:tc>
          <w:tcPr>
            <w:tcW w:type="dxa" w:w="1560"/>
            <w:shd w:val="clear" w:color="auto" w:fill="FFFFFF"/>
          </w:tcPr>
          <w:p>
            <w:pPr>
              <w:spacing w:before="60" w:after="60"/>
            </w:pPr>
            <w:r>
              <w:rPr>
                <w:rFonts w:ascii="Calibri" w:hAnsi="Calibri"/>
                <w:sz w:val="20"/>
              </w:rPr>
              <w:t>0.2857</w:t>
            </w:r>
          </w:p>
        </w:tc>
        <w:tc>
          <w:tcPr>
            <w:tcW w:type="dxa" w:w="1560"/>
            <w:shd w:val="clear" w:color="auto" w:fill="FFFFFF"/>
          </w:tcPr>
          <w:p>
            <w:pPr>
              <w:spacing w:before="60" w:after="60"/>
            </w:pPr>
            <w:r>
              <w:rPr>
                <w:rFonts w:ascii="Calibri" w:hAnsi="Calibri"/>
                <w:sz w:val="20"/>
              </w:rPr>
              <w:t>0.3810</w:t>
            </w:r>
          </w:p>
        </w:tc>
        <w:tc>
          <w:tcPr>
            <w:tcW w:type="dxa" w:w="1560"/>
            <w:shd w:val="clear" w:color="auto" w:fill="FFFFFF"/>
          </w:tcPr>
          <w:p>
            <w:pPr>
              <w:spacing w:before="60" w:after="60"/>
            </w:pPr>
            <w:r>
              <w:rPr>
                <w:rFonts w:ascii="Calibri" w:hAnsi="Calibri"/>
                <w:sz w:val="20"/>
              </w:rPr>
              <w:t>0.7500</w:t>
            </w:r>
          </w:p>
        </w:tc>
        <w:tc>
          <w:tcPr>
            <w:tcW w:type="dxa" w:w="1560"/>
            <w:shd w:val="clear" w:color="auto" w:fill="FFFFFF"/>
          </w:tcPr>
          <w:p>
            <w:pPr>
              <w:spacing w:before="60" w:after="60"/>
            </w:pPr>
            <w:r>
              <w:rPr>
                <w:rFonts w:ascii="Calibri" w:hAnsi="Calibri"/>
                <w:sz w:val="20"/>
              </w:rPr>
              <w:t>Preceded CFPB Regulation F</w:t>
            </w:r>
          </w:p>
        </w:tc>
      </w:tr>
      <w:tr>
        <w:tc>
          <w:tcPr>
            <w:tcW w:type="dxa" w:w="1560"/>
            <w:shd w:val="clear" w:color="auto" w:fill="F8FAFC"/>
          </w:tcPr>
          <w:p>
            <w:pPr>
              <w:spacing w:before="60" w:after="60"/>
            </w:pPr>
            <w:r>
              <w:rPr>
                <w:rFonts w:ascii="Calibri" w:hAnsi="Calibri"/>
                <w:sz w:val="20"/>
              </w:rPr>
              <w:t>mortgage_forbearance</w:t>
            </w:r>
          </w:p>
        </w:tc>
        <w:tc>
          <w:tcPr>
            <w:tcW w:type="dxa" w:w="1560"/>
            <w:shd w:val="clear" w:color="auto" w:fill="F8FAFC"/>
          </w:tcPr>
          <w:p>
            <w:pPr>
              <w:spacing w:before="60" w:after="60"/>
            </w:pPr>
            <w:r>
              <w:rPr>
                <w:rFonts w:ascii="Calibri" w:hAnsi="Calibri"/>
                <w:sz w:val="20"/>
              </w:rPr>
              <w:t>1.0000</w:t>
            </w:r>
          </w:p>
        </w:tc>
        <w:tc>
          <w:tcPr>
            <w:tcW w:type="dxa" w:w="1560"/>
            <w:shd w:val="clear" w:color="auto" w:fill="F8FAFC"/>
          </w:tcPr>
          <w:p>
            <w:pPr>
              <w:spacing w:before="60" w:after="60"/>
            </w:pPr>
            <w:r>
              <w:rPr>
                <w:rFonts w:ascii="Calibri" w:hAnsi="Calibri"/>
                <w:sz w:val="20"/>
              </w:rPr>
              <w:t>0.1429</w:t>
            </w:r>
          </w:p>
        </w:tc>
        <w:tc>
          <w:tcPr>
            <w:tcW w:type="dxa" w:w="1560"/>
            <w:shd w:val="clear" w:color="auto" w:fill="F8FAFC"/>
          </w:tcPr>
          <w:p>
            <w:pPr>
              <w:spacing w:before="60" w:after="60"/>
            </w:pPr>
            <w:r>
              <w:rPr>
                <w:rFonts w:ascii="Calibri" w:hAnsi="Calibri"/>
                <w:sz w:val="20"/>
              </w:rPr>
              <w:t>0.2500</w:t>
            </w:r>
          </w:p>
        </w:tc>
        <w:tc>
          <w:tcPr>
            <w:tcW w:type="dxa" w:w="1560"/>
            <w:shd w:val="clear" w:color="auto" w:fill="F8FAFC"/>
          </w:tcPr>
          <w:p>
            <w:pPr>
              <w:spacing w:before="60" w:after="60"/>
            </w:pPr>
            <w:r>
              <w:rPr>
                <w:rFonts w:ascii="Calibri" w:hAnsi="Calibri"/>
                <w:sz w:val="20"/>
              </w:rPr>
              <w:t>0.8000</w:t>
            </w:r>
          </w:p>
        </w:tc>
        <w:tc>
          <w:tcPr>
            <w:tcW w:type="dxa" w:w="1560"/>
            <w:shd w:val="clear" w:color="auto" w:fill="F8FAFC"/>
          </w:tcPr>
          <w:p>
            <w:pPr>
              <w:spacing w:before="60" w:after="60"/>
            </w:pPr>
            <w:r>
              <w:rPr>
                <w:rFonts w:ascii="Calibri" w:hAnsi="Calibri"/>
                <w:sz w:val="20"/>
              </w:rPr>
              <w:t>+3 months early warning</w:t>
            </w:r>
          </w:p>
        </w:tc>
      </w:tr>
    </w:tbl>
    <w:p>
      <w:pPr>
        <w:spacing w:after="120"/>
      </w:pPr>
    </w:p>
    <w:p>
      <w:pPr>
        <w:spacing w:after="80" w:line="276" w:lineRule="auto"/>
      </w:pPr>
      <w:r>
        <w:t>Analytical Insight: Rolling Z-score serves as an ultra-high precision filter (100% precision on overdraft fees and mortgage forbearance with zero false alarms), whereas EWMA-CUSUM excels at tracking multi-quarter systemic shifts (F1 up to 0.8000 on mortgage forbearance and 0.7568 on COVID relief).</w:t>
      </w:r>
    </w:p>
    <w:p>
      <w:pPr>
        <w:spacing w:after="160"/>
      </w:pPr>
    </w:p>
    <w:p>
      <w:pPr>
        <w:pStyle w:val="Heading1"/>
      </w:pPr>
      <w:r>
        <w:rPr>
          <w:rFonts w:ascii="Calibri" w:hAnsi="Calibri"/>
          <w:b/>
          <w:color w:val="1E3A8A"/>
          <w:sz w:val="32"/>
        </w:rPr>
        <w:t>9. Network Analysis (Component 4)</w:t>
      </w:r>
    </w:p>
    <w:p>
      <w:pPr>
        <w:pStyle w:val="Heading2"/>
      </w:pPr>
      <w:r>
        <w:rPr>
          <w:rFonts w:ascii="Calibri" w:hAnsi="Calibri"/>
          <w:b/>
          <w:color w:val="334155"/>
          <w:sz w:val="26"/>
        </w:rPr>
        <w:t>9.1 Graph Construction &amp; Cosine Projection</w:t>
      </w:r>
    </w:p>
    <w:p>
      <w:pPr>
        <w:spacing w:after="80" w:line="276" w:lineRule="auto"/>
      </w:pPr>
      <w:r>
        <w:t>The institutional complaint network was modeled at two levels:</w:t>
      </w:r>
    </w:p>
    <w:p>
      <w:pPr>
        <w:pStyle w:val="ListNumber"/>
        <w:spacing w:after="40"/>
      </w:pPr>
      <w:r>
        <w:t>Bipartite Graph: Constructed from 75,836 full-corpus institutional aggregation records, comprising 2,502 financial institutions, 170 complaint issue categories, and 18,204 weighted edges.</w:t>
      </w:r>
    </w:p>
    <w:p>
      <w:pPr>
        <w:pStyle w:val="ListNumber"/>
        <w:spacing w:after="40"/>
      </w:pPr>
      <w:r>
        <w:t>Company Projection: Projected onto the top 100 institutions by complaint volume using cosine similarity of their 170-dimensional issue frequency profiles. Applying an edge threshold of $\text{similarity} \ge 0.1$ yielded a dense network of 100 nodes and 3,774 edges (`results/figures/fig17_company_network.png`).</w:t>
      </w:r>
    </w:p>
    <w:p>
      <w:pPr>
        <w:pStyle w:val="Heading2"/>
      </w:pPr>
      <w:r>
        <w:rPr>
          <w:rFonts w:ascii="Calibri" w:hAnsi="Calibri"/>
          <w:b/>
          <w:color w:val="334155"/>
          <w:sz w:val="26"/>
        </w:rPr>
        <w:t>9.2 Centrality Analysis</w:t>
      </w:r>
    </w:p>
    <w:p>
      <w:pPr>
        <w:spacing w:after="80" w:line="276" w:lineRule="auto"/>
      </w:pPr>
      <w:r>
        <w:t>Institutional centrality metrics were computed across degree, weighted degree, betweenness, closeness, and eigenvector dimensions (`results/tables/network_centralities.csv`).</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spacing w:before="60" w:after="60"/>
            </w:pPr>
            <w:r>
              <w:rPr>
                <w:rFonts w:ascii="Calibri" w:hAnsi="Calibri"/>
                <w:b/>
                <w:color w:val="FFFFFF"/>
                <w:sz w:val="20"/>
              </w:rPr>
              <w:t>Company</w:t>
            </w:r>
          </w:p>
        </w:tc>
        <w:tc>
          <w:tcPr>
            <w:tcW w:type="dxa" w:w="1560"/>
            <w:shd w:val="clear" w:color="auto" w:fill="1E3A8A"/>
          </w:tcPr>
          <w:p>
            <w:pPr>
              <w:spacing w:before="60" w:after="60"/>
            </w:pPr>
            <w:r>
              <w:rPr>
                <w:rFonts w:ascii="Calibri" w:hAnsi="Calibri"/>
                <w:b/>
                <w:color w:val="FFFFFF"/>
                <w:sz w:val="20"/>
              </w:rPr>
              <w:t>Degree</w:t>
            </w:r>
          </w:p>
        </w:tc>
        <w:tc>
          <w:tcPr>
            <w:tcW w:type="dxa" w:w="1560"/>
            <w:shd w:val="clear" w:color="auto" w:fill="1E3A8A"/>
          </w:tcPr>
          <w:p>
            <w:pPr>
              <w:spacing w:before="60" w:after="60"/>
            </w:pPr>
            <w:r>
              <w:rPr>
                <w:rFonts w:ascii="Calibri" w:hAnsi="Calibri"/>
                <w:b/>
                <w:color w:val="FFFFFF"/>
                <w:sz w:val="20"/>
              </w:rPr>
              <w:t>Weighted Degree</w:t>
            </w:r>
          </w:p>
        </w:tc>
        <w:tc>
          <w:tcPr>
            <w:tcW w:type="dxa" w:w="1560"/>
            <w:shd w:val="clear" w:color="auto" w:fill="1E3A8A"/>
          </w:tcPr>
          <w:p>
            <w:pPr>
              <w:spacing w:before="60" w:after="60"/>
            </w:pPr>
            <w:r>
              <w:rPr>
                <w:rFonts w:ascii="Calibri" w:hAnsi="Calibri"/>
                <w:b/>
                <w:color w:val="FFFFFF"/>
                <w:sz w:val="20"/>
              </w:rPr>
              <w:t>Betweenness</w:t>
            </w:r>
          </w:p>
        </w:tc>
        <w:tc>
          <w:tcPr>
            <w:tcW w:type="dxa" w:w="1560"/>
            <w:shd w:val="clear" w:color="auto" w:fill="1E3A8A"/>
          </w:tcPr>
          <w:p>
            <w:pPr>
              <w:spacing w:before="60" w:after="60"/>
            </w:pPr>
            <w:r>
              <w:rPr>
                <w:rFonts w:ascii="Calibri" w:hAnsi="Calibri"/>
                <w:b/>
                <w:color w:val="FFFFFF"/>
                <w:sz w:val="20"/>
              </w:rPr>
              <w:t>Closeness</w:t>
            </w:r>
          </w:p>
        </w:tc>
        <w:tc>
          <w:tcPr>
            <w:tcW w:type="dxa" w:w="1560"/>
            <w:shd w:val="clear" w:color="auto" w:fill="1E3A8A"/>
          </w:tcPr>
          <w:p>
            <w:pPr>
              <w:spacing w:before="60" w:after="60"/>
            </w:pPr>
            <w:r>
              <w:rPr>
                <w:rFonts w:ascii="Calibri" w:hAnsi="Calibri"/>
                <w:b/>
                <w:color w:val="FFFFFF"/>
                <w:sz w:val="20"/>
              </w:rPr>
              <w:t>Eigenvector</w:t>
            </w:r>
          </w:p>
        </w:tc>
      </w:tr>
      <w:tr>
        <w:tc>
          <w:tcPr>
            <w:tcW w:type="dxa" w:w="1560"/>
            <w:shd w:val="clear" w:color="auto" w:fill="F8FAFC"/>
          </w:tcPr>
          <w:p>
            <w:pPr>
              <w:spacing w:before="60" w:after="60"/>
            </w:pPr>
            <w:r>
              <w:rPr>
                <w:rFonts w:ascii="Calibri" w:hAnsi="Calibri"/>
                <w:sz w:val="20"/>
              </w:rPr>
              <w:t>PENTAGON FEDERAL CREDIT UNION</w:t>
            </w:r>
          </w:p>
        </w:tc>
        <w:tc>
          <w:tcPr>
            <w:tcW w:type="dxa" w:w="1560"/>
            <w:shd w:val="clear" w:color="auto" w:fill="F8FAFC"/>
          </w:tcPr>
          <w:p>
            <w:pPr>
              <w:spacing w:before="60" w:after="60"/>
            </w:pPr>
            <w:r>
              <w:rPr>
                <w:rFonts w:ascii="Calibri" w:hAnsi="Calibri"/>
                <w:sz w:val="20"/>
              </w:rPr>
              <w:t>96</w:t>
            </w:r>
          </w:p>
        </w:tc>
        <w:tc>
          <w:tcPr>
            <w:tcW w:type="dxa" w:w="1560"/>
            <w:shd w:val="clear" w:color="auto" w:fill="F8FAFC"/>
          </w:tcPr>
          <w:p>
            <w:pPr>
              <w:spacing w:before="60" w:after="60"/>
            </w:pPr>
            <w:r>
              <w:rPr>
                <w:rFonts w:ascii="Calibri" w:hAnsi="Calibri"/>
                <w:sz w:val="20"/>
              </w:rPr>
              <w:t>51.56</w:t>
            </w:r>
          </w:p>
        </w:tc>
        <w:tc>
          <w:tcPr>
            <w:tcW w:type="dxa" w:w="1560"/>
            <w:shd w:val="clear" w:color="auto" w:fill="F8FAFC"/>
          </w:tcPr>
          <w:p>
            <w:pPr>
              <w:spacing w:before="60" w:after="60"/>
            </w:pPr>
            <w:r>
              <w:rPr>
                <w:rFonts w:ascii="Calibri" w:hAnsi="Calibri"/>
                <w:sz w:val="20"/>
              </w:rPr>
              <w:t>0.0014</w:t>
            </w:r>
          </w:p>
        </w:tc>
        <w:tc>
          <w:tcPr>
            <w:tcW w:type="dxa" w:w="1560"/>
            <w:shd w:val="clear" w:color="auto" w:fill="F8FAFC"/>
          </w:tcPr>
          <w:p>
            <w:pPr>
              <w:spacing w:before="60" w:after="60"/>
            </w:pPr>
            <w:r>
              <w:rPr>
                <w:rFonts w:ascii="Calibri" w:hAnsi="Calibri"/>
                <w:sz w:val="20"/>
              </w:rPr>
              <w:t>0.9706</w:t>
            </w:r>
          </w:p>
        </w:tc>
        <w:tc>
          <w:tcPr>
            <w:tcW w:type="dxa" w:w="1560"/>
            <w:shd w:val="clear" w:color="auto" w:fill="F8FAFC"/>
          </w:tcPr>
          <w:p>
            <w:pPr>
              <w:spacing w:before="60" w:after="60"/>
            </w:pPr>
            <w:r>
              <w:rPr>
                <w:rFonts w:ascii="Calibri" w:hAnsi="Calibri"/>
                <w:sz w:val="20"/>
              </w:rPr>
              <w:t>0.1383</w:t>
            </w:r>
          </w:p>
        </w:tc>
      </w:tr>
      <w:tr>
        <w:tc>
          <w:tcPr>
            <w:tcW w:type="dxa" w:w="1560"/>
            <w:shd w:val="clear" w:color="auto" w:fill="FFFFFF"/>
          </w:tcPr>
          <w:p>
            <w:pPr>
              <w:spacing w:before="60" w:after="60"/>
            </w:pPr>
            <w:r>
              <w:rPr>
                <w:rFonts w:ascii="Calibri" w:hAnsi="Calibri"/>
                <w:sz w:val="20"/>
              </w:rPr>
              <w:t>TD BANK US HOLDING COMPANY</w:t>
            </w:r>
          </w:p>
        </w:tc>
        <w:tc>
          <w:tcPr>
            <w:tcW w:type="dxa" w:w="1560"/>
            <w:shd w:val="clear" w:color="auto" w:fill="FFFFFF"/>
          </w:tcPr>
          <w:p>
            <w:pPr>
              <w:spacing w:before="60" w:after="60"/>
            </w:pPr>
            <w:r>
              <w:rPr>
                <w:rFonts w:ascii="Calibri" w:hAnsi="Calibri"/>
                <w:sz w:val="20"/>
              </w:rPr>
              <w:t>96</w:t>
            </w:r>
          </w:p>
        </w:tc>
        <w:tc>
          <w:tcPr>
            <w:tcW w:type="dxa" w:w="1560"/>
            <w:shd w:val="clear" w:color="auto" w:fill="FFFFFF"/>
          </w:tcPr>
          <w:p>
            <w:pPr>
              <w:spacing w:before="60" w:after="60"/>
            </w:pPr>
            <w:r>
              <w:rPr>
                <w:rFonts w:ascii="Calibri" w:hAnsi="Calibri"/>
                <w:sz w:val="20"/>
              </w:rPr>
              <w:t>49.26</w:t>
            </w:r>
          </w:p>
        </w:tc>
        <w:tc>
          <w:tcPr>
            <w:tcW w:type="dxa" w:w="1560"/>
            <w:shd w:val="clear" w:color="auto" w:fill="FFFFFF"/>
          </w:tcPr>
          <w:p>
            <w:pPr>
              <w:spacing w:before="60" w:after="60"/>
            </w:pPr>
            <w:r>
              <w:rPr>
                <w:rFonts w:ascii="Calibri" w:hAnsi="Calibri"/>
                <w:sz w:val="20"/>
              </w:rPr>
              <w:t>0.0062</w:t>
            </w:r>
          </w:p>
        </w:tc>
        <w:tc>
          <w:tcPr>
            <w:tcW w:type="dxa" w:w="1560"/>
            <w:shd w:val="clear" w:color="auto" w:fill="FFFFFF"/>
          </w:tcPr>
          <w:p>
            <w:pPr>
              <w:spacing w:before="60" w:after="60"/>
            </w:pPr>
            <w:r>
              <w:rPr>
                <w:rFonts w:ascii="Calibri" w:hAnsi="Calibri"/>
                <w:sz w:val="20"/>
              </w:rPr>
              <w:t>0.9706</w:t>
            </w:r>
          </w:p>
        </w:tc>
        <w:tc>
          <w:tcPr>
            <w:tcW w:type="dxa" w:w="1560"/>
            <w:shd w:val="clear" w:color="auto" w:fill="FFFFFF"/>
          </w:tcPr>
          <w:p>
            <w:pPr>
              <w:spacing w:before="60" w:after="60"/>
            </w:pPr>
            <w:r>
              <w:rPr>
                <w:rFonts w:ascii="Calibri" w:hAnsi="Calibri"/>
                <w:sz w:val="20"/>
              </w:rPr>
              <w:t>0.1316</w:t>
            </w:r>
          </w:p>
        </w:tc>
      </w:tr>
      <w:tr>
        <w:tc>
          <w:tcPr>
            <w:tcW w:type="dxa" w:w="1560"/>
            <w:shd w:val="clear" w:color="auto" w:fill="F8FAFC"/>
          </w:tcPr>
          <w:p>
            <w:pPr>
              <w:spacing w:before="60" w:after="60"/>
            </w:pPr>
            <w:r>
              <w:rPr>
                <w:rFonts w:ascii="Calibri" w:hAnsi="Calibri"/>
                <w:sz w:val="20"/>
              </w:rPr>
              <w:t>CAPITAL ONE FINANCIAL CORP.</w:t>
            </w:r>
          </w:p>
        </w:tc>
        <w:tc>
          <w:tcPr>
            <w:tcW w:type="dxa" w:w="1560"/>
            <w:shd w:val="clear" w:color="auto" w:fill="F8FAFC"/>
          </w:tcPr>
          <w:p>
            <w:pPr>
              <w:spacing w:before="60" w:after="60"/>
            </w:pPr>
            <w:r>
              <w:rPr>
                <w:rFonts w:ascii="Calibri" w:hAnsi="Calibri"/>
                <w:sz w:val="20"/>
              </w:rPr>
              <w:t>92</w:t>
            </w:r>
          </w:p>
        </w:tc>
        <w:tc>
          <w:tcPr>
            <w:tcW w:type="dxa" w:w="1560"/>
            <w:shd w:val="clear" w:color="auto" w:fill="F8FAFC"/>
          </w:tcPr>
          <w:p>
            <w:pPr>
              <w:spacing w:before="60" w:after="60"/>
            </w:pPr>
            <w:r>
              <w:rPr>
                <w:rFonts w:ascii="Calibri" w:hAnsi="Calibri"/>
                <w:sz w:val="20"/>
              </w:rPr>
              <w:t>49.16</w:t>
            </w:r>
          </w:p>
        </w:tc>
        <w:tc>
          <w:tcPr>
            <w:tcW w:type="dxa" w:w="1560"/>
            <w:shd w:val="clear" w:color="auto" w:fill="F8FAFC"/>
          </w:tcPr>
          <w:p>
            <w:pPr>
              <w:spacing w:before="60" w:after="60"/>
            </w:pPr>
            <w:r>
              <w:rPr>
                <w:rFonts w:ascii="Calibri" w:hAnsi="Calibri"/>
                <w:sz w:val="20"/>
              </w:rPr>
              <w:t>0.0000</w:t>
            </w:r>
          </w:p>
        </w:tc>
        <w:tc>
          <w:tcPr>
            <w:tcW w:type="dxa" w:w="1560"/>
            <w:shd w:val="clear" w:color="auto" w:fill="F8FAFC"/>
          </w:tcPr>
          <w:p>
            <w:pPr>
              <w:spacing w:before="60" w:after="60"/>
            </w:pPr>
            <w:r>
              <w:rPr>
                <w:rFonts w:ascii="Calibri" w:hAnsi="Calibri"/>
                <w:sz w:val="20"/>
              </w:rPr>
              <w:t>0.9340</w:t>
            </w:r>
          </w:p>
        </w:tc>
        <w:tc>
          <w:tcPr>
            <w:tcW w:type="dxa" w:w="1560"/>
            <w:shd w:val="clear" w:color="auto" w:fill="F8FAFC"/>
          </w:tcPr>
          <w:p>
            <w:pPr>
              <w:spacing w:before="60" w:after="60"/>
            </w:pPr>
            <w:r>
              <w:rPr>
                <w:rFonts w:ascii="Calibri" w:hAnsi="Calibri"/>
                <w:sz w:val="20"/>
              </w:rPr>
              <w:t>0.1387</w:t>
            </w:r>
          </w:p>
        </w:tc>
      </w:tr>
      <w:tr>
        <w:tc>
          <w:tcPr>
            <w:tcW w:type="dxa" w:w="1560"/>
            <w:shd w:val="clear" w:color="auto" w:fill="FFFFFF"/>
          </w:tcPr>
          <w:p>
            <w:pPr>
              <w:spacing w:before="60" w:after="60"/>
            </w:pPr>
            <w:r>
              <w:rPr>
                <w:rFonts w:ascii="Calibri" w:hAnsi="Calibri"/>
                <w:sz w:val="20"/>
              </w:rPr>
              <w:t>Affirm Holdings, Inc.</w:t>
            </w:r>
          </w:p>
        </w:tc>
        <w:tc>
          <w:tcPr>
            <w:tcW w:type="dxa" w:w="1560"/>
            <w:shd w:val="clear" w:color="auto" w:fill="FFFFFF"/>
          </w:tcPr>
          <w:p>
            <w:pPr>
              <w:spacing w:before="60" w:after="60"/>
            </w:pPr>
            <w:r>
              <w:rPr>
                <w:rFonts w:ascii="Calibri" w:hAnsi="Calibri"/>
                <w:sz w:val="20"/>
              </w:rPr>
              <w:t>89</w:t>
            </w:r>
          </w:p>
        </w:tc>
        <w:tc>
          <w:tcPr>
            <w:tcW w:type="dxa" w:w="1560"/>
            <w:shd w:val="clear" w:color="auto" w:fill="FFFFFF"/>
          </w:tcPr>
          <w:p>
            <w:pPr>
              <w:spacing w:before="60" w:after="60"/>
            </w:pPr>
            <w:r>
              <w:rPr>
                <w:rFonts w:ascii="Calibri" w:hAnsi="Calibri"/>
                <w:sz w:val="20"/>
              </w:rPr>
              <w:t>48.84</w:t>
            </w:r>
          </w:p>
        </w:tc>
        <w:tc>
          <w:tcPr>
            <w:tcW w:type="dxa" w:w="1560"/>
            <w:shd w:val="clear" w:color="auto" w:fill="FFFFFF"/>
          </w:tcPr>
          <w:p>
            <w:pPr>
              <w:spacing w:before="60" w:after="60"/>
            </w:pPr>
            <w:r>
              <w:rPr>
                <w:rFonts w:ascii="Calibri" w:hAnsi="Calibri"/>
                <w:sz w:val="20"/>
              </w:rPr>
              <w:t>0.0031</w:t>
            </w:r>
          </w:p>
        </w:tc>
        <w:tc>
          <w:tcPr>
            <w:tcW w:type="dxa" w:w="1560"/>
            <w:shd w:val="clear" w:color="auto" w:fill="FFFFFF"/>
          </w:tcPr>
          <w:p>
            <w:pPr>
              <w:spacing w:before="60" w:after="60"/>
            </w:pPr>
            <w:r>
              <w:rPr>
                <w:rFonts w:ascii="Calibri" w:hAnsi="Calibri"/>
                <w:sz w:val="20"/>
              </w:rPr>
              <w:t>0.9083</w:t>
            </w:r>
          </w:p>
        </w:tc>
        <w:tc>
          <w:tcPr>
            <w:tcW w:type="dxa" w:w="1560"/>
            <w:shd w:val="clear" w:color="auto" w:fill="FFFFFF"/>
          </w:tcPr>
          <w:p>
            <w:pPr>
              <w:spacing w:before="60" w:after="60"/>
            </w:pPr>
            <w:r>
              <w:rPr>
                <w:rFonts w:ascii="Calibri" w:hAnsi="Calibri"/>
                <w:sz w:val="20"/>
              </w:rPr>
              <w:t>0.1441</w:t>
            </w:r>
          </w:p>
        </w:tc>
      </w:tr>
      <w:tr>
        <w:tc>
          <w:tcPr>
            <w:tcW w:type="dxa" w:w="1560"/>
            <w:shd w:val="clear" w:color="auto" w:fill="F8FAFC"/>
          </w:tcPr>
          <w:p>
            <w:pPr>
              <w:spacing w:before="60" w:after="60"/>
            </w:pPr>
            <w:r>
              <w:rPr>
                <w:rFonts w:ascii="Calibri" w:hAnsi="Calibri"/>
                <w:sz w:val="20"/>
              </w:rPr>
              <w:t>Self Financial Inc.</w:t>
            </w:r>
          </w:p>
        </w:tc>
        <w:tc>
          <w:tcPr>
            <w:tcW w:type="dxa" w:w="1560"/>
            <w:shd w:val="clear" w:color="auto" w:fill="F8FAFC"/>
          </w:tcPr>
          <w:p>
            <w:pPr>
              <w:spacing w:before="60" w:after="60"/>
            </w:pPr>
            <w:r>
              <w:rPr>
                <w:rFonts w:ascii="Calibri" w:hAnsi="Calibri"/>
                <w:sz w:val="20"/>
              </w:rPr>
              <w:t>89</w:t>
            </w:r>
          </w:p>
        </w:tc>
        <w:tc>
          <w:tcPr>
            <w:tcW w:type="dxa" w:w="1560"/>
            <w:shd w:val="clear" w:color="auto" w:fill="F8FAFC"/>
          </w:tcPr>
          <w:p>
            <w:pPr>
              <w:spacing w:before="60" w:after="60"/>
            </w:pPr>
            <w:r>
              <w:rPr>
                <w:rFonts w:ascii="Calibri" w:hAnsi="Calibri"/>
                <w:sz w:val="20"/>
              </w:rPr>
              <w:t>48.13</w:t>
            </w:r>
          </w:p>
        </w:tc>
        <w:tc>
          <w:tcPr>
            <w:tcW w:type="dxa" w:w="1560"/>
            <w:shd w:val="clear" w:color="auto" w:fill="F8FAFC"/>
          </w:tcPr>
          <w:p>
            <w:pPr>
              <w:spacing w:before="60" w:after="60"/>
            </w:pPr>
            <w:r>
              <w:rPr>
                <w:rFonts w:ascii="Calibri" w:hAnsi="Calibri"/>
                <w:sz w:val="20"/>
              </w:rPr>
              <w:t>0.0023</w:t>
            </w:r>
          </w:p>
        </w:tc>
        <w:tc>
          <w:tcPr>
            <w:tcW w:type="dxa" w:w="1560"/>
            <w:shd w:val="clear" w:color="auto" w:fill="F8FAFC"/>
          </w:tcPr>
          <w:p>
            <w:pPr>
              <w:spacing w:before="60" w:after="60"/>
            </w:pPr>
            <w:r>
              <w:rPr>
                <w:rFonts w:ascii="Calibri" w:hAnsi="Calibri"/>
                <w:sz w:val="20"/>
              </w:rPr>
              <w:t>0.9083</w:t>
            </w:r>
          </w:p>
        </w:tc>
        <w:tc>
          <w:tcPr>
            <w:tcW w:type="dxa" w:w="1560"/>
            <w:shd w:val="clear" w:color="auto" w:fill="F8FAFC"/>
          </w:tcPr>
          <w:p>
            <w:pPr>
              <w:spacing w:before="60" w:after="60"/>
            </w:pPr>
            <w:r>
              <w:rPr>
                <w:rFonts w:ascii="Calibri" w:hAnsi="Calibri"/>
                <w:sz w:val="20"/>
              </w:rPr>
              <w:t>0.1417</w:t>
            </w:r>
          </w:p>
        </w:tc>
      </w:tr>
    </w:tbl>
    <w:p>
      <w:pPr>
        <w:spacing w:after="120"/>
      </w:pPr>
    </w:p>
    <w:p>
      <w:pPr>
        <w:pStyle w:val="Heading2"/>
      </w:pPr>
      <w:r>
        <w:rPr>
          <w:rFonts w:ascii="Calibri" w:hAnsi="Calibri"/>
          <w:b/>
          <w:color w:val="334155"/>
          <w:sz w:val="26"/>
        </w:rPr>
        <w:t>9.3 Community Detection &amp; Null Model Hypothesis Testing</w:t>
      </w:r>
    </w:p>
    <w:p>
      <w:pPr>
        <w:spacing w:after="80" w:line="276" w:lineRule="auto"/>
      </w:pPr>
      <w:r>
        <w:t>Louvain community detection partitioned the projected network into 3 distinct institutional communities:</w:t>
      </w:r>
    </w:p>
    <w:p>
      <w:pPr>
        <w:pStyle w:val="ListBullet"/>
        <w:spacing w:after="40"/>
      </w:pPr>
      <w:r>
        <w:t>Community 0 (Credit Bureaus &amp; FinTech Reporting): Dominated by consumer reporting agencies and automated credit builders.</w:t>
      </w:r>
    </w:p>
    <w:p>
      <w:pPr>
        <w:pStyle w:val="ListBullet"/>
        <w:spacing w:after="40"/>
      </w:pPr>
      <w:r>
        <w:t>Community 1 (Depository Institutions &amp; Consumer Lending): Major national retail banks and credit unions sharing overdraft, deposit, and wire transfer issues.</w:t>
      </w:r>
    </w:p>
    <w:p>
      <w:pPr>
        <w:pStyle w:val="ListBullet"/>
        <w:spacing w:after="40"/>
      </w:pPr>
      <w:r>
        <w:t>Community 2 (Mortgage Servicers &amp; Specialty Lenders): Mortgage originators and loan servicers facing escrow and foreclosure disputes.</w:t>
      </w:r>
    </w:p>
    <w:p>
      <w:pPr>
        <w:spacing w:after="80" w:line="276" w:lineRule="auto"/>
      </w:pPr>
      <w:r>
        <w:t>Hypothesis Testing: Observed modularity reached $Q = \mathbf{0.2568}$. A 100-iteration degree-preserving configuration null model produced an expected modularity of $Q_{\text{null}} = 0.0671 \pm 0.0084$ with an empirical $p$-value of $p = 0.000$ ($p &lt; 0.001$). This confirms that the observed institutional clustering reflects true regulatory issue segregation rather than random network topology.</w:t>
      </w:r>
    </w:p>
    <w:p>
      <w:pPr>
        <w:pStyle w:val="Heading2"/>
      </w:pPr>
      <w:r>
        <w:rPr>
          <w:rFonts w:ascii="Calibri" w:hAnsi="Calibri"/>
          <w:b/>
          <w:color w:val="334155"/>
          <w:sz w:val="26"/>
        </w:rPr>
        <w:t>9.4 Systemic vs. Firm-Specific Issue Breadth</w:t>
      </w:r>
    </w:p>
    <w:p>
      <w:pPr>
        <w:spacing w:after="80" w:line="276" w:lineRule="auto"/>
      </w:pPr>
      <w:r>
        <w:t>Issue breadth score ($\text{unique\_issues} / \max(\text{unique\_issues})$) separated systemic universal institutions from niche operators (`results/tables/company_topic_breadth.csv`):</w:t>
      </w:r>
    </w:p>
    <w:p>
      <w:pPr>
        <w:pStyle w:val="ListBullet"/>
        <w:spacing w:after="40"/>
      </w:pPr>
      <w:r>
        <w:t>Universal Systemic Giants: Wells Fargo &amp; Company (168 issues, breadth = 1.0000), JPMorgan Chase &amp; Co. (167 issues, 0.9940), Bank of America (163 issues, 0.9702), U.S. Bancorp (162 issues, 0.9643), Citibank, N.A. (159 issues, 0.9464).</w:t>
      </w:r>
    </w:p>
    <w:p>
      <w:pPr>
        <w:pStyle w:val="ListBullet"/>
        <w:spacing w:after="40"/>
      </w:pPr>
      <w:r>
        <w:t>Concentrated Specialty Firms: Bureaus and specialized collection agencies with issue counts restricted to 20–40 specialized categories.</w:t>
      </w:r>
    </w:p>
    <w:p>
      <w:pPr>
        <w:spacing w:after="160"/>
      </w:pPr>
    </w:p>
    <w:p>
      <w:pPr>
        <w:pStyle w:val="Heading1"/>
      </w:pPr>
      <w:r>
        <w:rPr>
          <w:rFonts w:ascii="Calibri" w:hAnsi="Calibri"/>
          <w:b/>
          <w:color w:val="1E3A8A"/>
          <w:sz w:val="32"/>
        </w:rPr>
        <w:t>10. Systemic Risk Index (Component 5)</w:t>
      </w:r>
    </w:p>
    <w:p>
      <w:pPr>
        <w:pStyle w:val="Heading2"/>
      </w:pPr>
      <w:r>
        <w:rPr>
          <w:rFonts w:ascii="Calibri" w:hAnsi="Calibri"/>
          <w:b/>
          <w:color w:val="334155"/>
          <w:sz w:val="26"/>
        </w:rPr>
        <w:t>10.1 Multi-Criteria Formulation</w:t>
      </w:r>
    </w:p>
    <w:p>
      <w:pPr>
        <w:spacing w:after="80" w:line="276" w:lineRule="auto"/>
      </w:pPr>
      <w:r>
        <w:t>The Systemic Risk Index (SRI) synthesizes institutional hazard across 5 normalized dimensions:</w:t>
      </w:r>
    </w:p>
    <w:p>
      <w:pPr>
        <w:spacing w:after="80" w:line="276" w:lineRule="auto"/>
      </w:pPr>
      <w:r>
        <w:t>$$\text{SRI} = 0.25 \cdot V_{\text{vol}} + 0.20 \cdot R_{\text{relief}} + 0.20 \cdot B_{\text{breadth}} + 0.20 \cdot C_{\text{centrality}} + 0.15 \cdot S_{\text{burst}}$$</w:t>
      </w:r>
    </w:p>
    <w:p>
      <w:pPr>
        <w:spacing w:after="80" w:line="276" w:lineRule="auto"/>
      </w:pPr>
      <w:r>
        <w:t>All dimension indicators are min-max normalized to $[0, 1]$. Complete rankings in `results/tables/systemic_risk_index.csv`.</w:t>
      </w:r>
    </w:p>
    <w:p>
      <w:pPr>
        <w:pStyle w:val="Heading2"/>
      </w:pPr>
      <w:r>
        <w:rPr>
          <w:rFonts w:ascii="Calibri" w:hAnsi="Calibri"/>
          <w:b/>
          <w:color w:val="334155"/>
          <w:sz w:val="26"/>
        </w:rPr>
        <w:t>10.2 Top Systemic Risk Leaderboard</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pPr>
              <w:spacing w:before="60" w:after="60"/>
            </w:pPr>
            <w:r>
              <w:rPr>
                <w:rFonts w:ascii="Calibri" w:hAnsi="Calibri"/>
                <w:b/>
                <w:color w:val="FFFFFF"/>
                <w:sz w:val="20"/>
              </w:rPr>
              <w:t>Rank</w:t>
            </w:r>
          </w:p>
        </w:tc>
        <w:tc>
          <w:tcPr>
            <w:tcW w:type="dxa" w:w="1170"/>
            <w:shd w:val="clear" w:color="auto" w:fill="1E3A8A"/>
          </w:tcPr>
          <w:p>
            <w:pPr>
              <w:spacing w:before="60" w:after="60"/>
            </w:pPr>
            <w:r>
              <w:rPr>
                <w:rFonts w:ascii="Calibri" w:hAnsi="Calibri"/>
                <w:b/>
                <w:color w:val="FFFFFF"/>
                <w:sz w:val="20"/>
              </w:rPr>
              <w:t>Institution</w:t>
            </w:r>
          </w:p>
        </w:tc>
        <w:tc>
          <w:tcPr>
            <w:tcW w:type="dxa" w:w="1170"/>
            <w:shd w:val="clear" w:color="auto" w:fill="1E3A8A"/>
          </w:tcPr>
          <w:p>
            <w:pPr>
              <w:spacing w:before="60" w:after="60"/>
            </w:pPr>
            <w:r>
              <w:rPr>
                <w:rFonts w:ascii="Calibri" w:hAnsi="Calibri"/>
                <w:b/>
                <w:color w:val="FFFFFF"/>
                <w:sz w:val="20"/>
              </w:rPr>
              <w:t>Total Complaints</w:t>
            </w:r>
          </w:p>
        </w:tc>
        <w:tc>
          <w:tcPr>
            <w:tcW w:type="dxa" w:w="1170"/>
            <w:shd w:val="clear" w:color="auto" w:fill="1E3A8A"/>
          </w:tcPr>
          <w:p>
            <w:pPr>
              <w:spacing w:before="60" w:after="60"/>
            </w:pPr>
            <w:r>
              <w:rPr>
                <w:rFonts w:ascii="Calibri" w:hAnsi="Calibri"/>
                <w:b/>
                <w:color w:val="FFFFFF"/>
                <w:sz w:val="20"/>
              </w:rPr>
              <w:t>Relief Rate</w:t>
            </w:r>
          </w:p>
        </w:tc>
        <w:tc>
          <w:tcPr>
            <w:tcW w:type="dxa" w:w="1170"/>
            <w:shd w:val="clear" w:color="auto" w:fill="1E3A8A"/>
          </w:tcPr>
          <w:p>
            <w:pPr>
              <w:spacing w:before="60" w:after="60"/>
            </w:pPr>
            <w:r>
              <w:rPr>
                <w:rFonts w:ascii="Calibri" w:hAnsi="Calibri"/>
                <w:b/>
                <w:color w:val="FFFFFF"/>
                <w:sz w:val="20"/>
              </w:rPr>
              <w:t>Issue Breadth</w:t>
            </w:r>
          </w:p>
        </w:tc>
        <w:tc>
          <w:tcPr>
            <w:tcW w:type="dxa" w:w="1170"/>
            <w:shd w:val="clear" w:color="auto" w:fill="1E3A8A"/>
          </w:tcPr>
          <w:p>
            <w:pPr>
              <w:spacing w:before="60" w:after="60"/>
            </w:pPr>
            <w:r>
              <w:rPr>
                <w:rFonts w:ascii="Calibri" w:hAnsi="Calibri"/>
                <w:b/>
                <w:color w:val="FFFFFF"/>
                <w:sz w:val="20"/>
              </w:rPr>
              <w:t>Centrality</w:t>
            </w:r>
          </w:p>
        </w:tc>
        <w:tc>
          <w:tcPr>
            <w:tcW w:type="dxa" w:w="1170"/>
            <w:shd w:val="clear" w:color="auto" w:fill="1E3A8A"/>
          </w:tcPr>
          <w:p>
            <w:pPr>
              <w:spacing w:before="60" w:after="60"/>
            </w:pPr>
            <w:r>
              <w:rPr>
                <w:rFonts w:ascii="Calibri" w:hAnsi="Calibri"/>
                <w:b/>
                <w:color w:val="FFFFFF"/>
                <w:sz w:val="20"/>
              </w:rPr>
              <w:t>Volume Std</w:t>
            </w:r>
          </w:p>
        </w:tc>
        <w:tc>
          <w:tcPr>
            <w:tcW w:type="dxa" w:w="1170"/>
            <w:shd w:val="clear" w:color="auto" w:fill="1E3A8A"/>
          </w:tcPr>
          <w:p>
            <w:pPr>
              <w:spacing w:before="60" w:after="60"/>
            </w:pPr>
            <w:r>
              <w:rPr>
                <w:rFonts w:ascii="Calibri" w:hAnsi="Calibri"/>
                <w:b/>
                <w:color w:val="FFFFFF"/>
                <w:sz w:val="20"/>
              </w:rPr>
              <w:t>Composite SRI</w:t>
            </w:r>
          </w:p>
        </w:tc>
      </w:tr>
      <w:tr>
        <w:tc>
          <w:tcPr>
            <w:tcW w:type="dxa" w:w="1170"/>
            <w:shd w:val="clear" w:color="auto" w:fill="F8FAFC"/>
          </w:tcPr>
          <w:p>
            <w:pPr>
              <w:spacing w:before="60" w:after="60"/>
            </w:pPr>
            <w:r>
              <w:rPr>
                <w:rFonts w:ascii="Calibri" w:hAnsi="Calibri"/>
                <w:sz w:val="20"/>
              </w:rPr>
              <w:t>1</w:t>
            </w:r>
          </w:p>
        </w:tc>
        <w:tc>
          <w:tcPr>
            <w:tcW w:type="dxa" w:w="1170"/>
            <w:shd w:val="clear" w:color="auto" w:fill="F8FAFC"/>
          </w:tcPr>
          <w:p>
            <w:pPr>
              <w:spacing w:before="60" w:after="60"/>
            </w:pPr>
            <w:r>
              <w:rPr>
                <w:rFonts w:ascii="Calibri" w:hAnsi="Calibri"/>
                <w:sz w:val="20"/>
              </w:rPr>
              <w:t>TRANSUNION INTERMEDIATE HOLDINGS</w:t>
            </w:r>
          </w:p>
        </w:tc>
        <w:tc>
          <w:tcPr>
            <w:tcW w:type="dxa" w:w="1170"/>
            <w:shd w:val="clear" w:color="auto" w:fill="F8FAFC"/>
          </w:tcPr>
          <w:p>
            <w:pPr>
              <w:spacing w:before="60" w:after="60"/>
            </w:pPr>
            <w:r>
              <w:rPr>
                <w:rFonts w:ascii="Calibri" w:hAnsi="Calibri"/>
                <w:sz w:val="20"/>
              </w:rPr>
              <w:t>5,045,695</w:t>
            </w:r>
          </w:p>
        </w:tc>
        <w:tc>
          <w:tcPr>
            <w:tcW w:type="dxa" w:w="1170"/>
            <w:shd w:val="clear" w:color="auto" w:fill="F8FAFC"/>
          </w:tcPr>
          <w:p>
            <w:pPr>
              <w:spacing w:before="60" w:after="60"/>
            </w:pPr>
            <w:r>
              <w:rPr>
                <w:rFonts w:ascii="Calibri" w:hAnsi="Calibri"/>
                <w:sz w:val="20"/>
              </w:rPr>
              <w:t>46.3%</w:t>
            </w:r>
          </w:p>
        </w:tc>
        <w:tc>
          <w:tcPr>
            <w:tcW w:type="dxa" w:w="1170"/>
            <w:shd w:val="clear" w:color="auto" w:fill="F8FAFC"/>
          </w:tcPr>
          <w:p>
            <w:pPr>
              <w:spacing w:before="60" w:after="60"/>
            </w:pPr>
            <w:r>
              <w:rPr>
                <w:rFonts w:ascii="Calibri" w:hAnsi="Calibri"/>
                <w:sz w:val="20"/>
              </w:rPr>
              <w:t>110</w:t>
            </w:r>
          </w:p>
        </w:tc>
        <w:tc>
          <w:tcPr>
            <w:tcW w:type="dxa" w:w="1170"/>
            <w:shd w:val="clear" w:color="auto" w:fill="F8FAFC"/>
          </w:tcPr>
          <w:p>
            <w:pPr>
              <w:spacing w:before="60" w:after="60"/>
            </w:pPr>
            <w:r>
              <w:rPr>
                <w:rFonts w:ascii="Calibri" w:hAnsi="Calibri"/>
                <w:sz w:val="20"/>
              </w:rPr>
              <w:t>40.92</w:t>
            </w:r>
          </w:p>
        </w:tc>
        <w:tc>
          <w:tcPr>
            <w:tcW w:type="dxa" w:w="1170"/>
            <w:shd w:val="clear" w:color="auto" w:fill="F8FAFC"/>
          </w:tcPr>
          <w:p>
            <w:pPr>
              <w:spacing w:before="60" w:after="60"/>
            </w:pPr>
            <w:r>
              <w:rPr>
                <w:rFonts w:ascii="Calibri" w:hAnsi="Calibri"/>
                <w:sz w:val="20"/>
              </w:rPr>
              <w:t>54,979</w:t>
            </w:r>
          </w:p>
        </w:tc>
        <w:tc>
          <w:tcPr>
            <w:tcW w:type="dxa" w:w="1170"/>
            <w:shd w:val="clear" w:color="auto" w:fill="F8FAFC"/>
          </w:tcPr>
          <w:p>
            <w:pPr>
              <w:spacing w:before="60" w:after="60"/>
            </w:pPr>
            <w:r>
              <w:rPr>
                <w:rFonts w:ascii="Calibri" w:hAnsi="Calibri"/>
                <w:sz w:val="20"/>
              </w:rPr>
              <w:t>0.7819</w:t>
            </w:r>
          </w:p>
        </w:tc>
      </w:tr>
      <w:tr>
        <w:tc>
          <w:tcPr>
            <w:tcW w:type="dxa" w:w="1170"/>
            <w:shd w:val="clear" w:color="auto" w:fill="FFFFFF"/>
          </w:tcPr>
          <w:p>
            <w:pPr>
              <w:spacing w:before="60" w:after="60"/>
            </w:pPr>
            <w:r>
              <w:rPr>
                <w:rFonts w:ascii="Calibri" w:hAnsi="Calibri"/>
                <w:sz w:val="20"/>
              </w:rPr>
              <w:t>2</w:t>
            </w:r>
          </w:p>
        </w:tc>
        <w:tc>
          <w:tcPr>
            <w:tcW w:type="dxa" w:w="1170"/>
            <w:shd w:val="clear" w:color="auto" w:fill="FFFFFF"/>
          </w:tcPr>
          <w:p>
            <w:pPr>
              <w:spacing w:before="60" w:after="60"/>
            </w:pPr>
            <w:r>
              <w:rPr>
                <w:rFonts w:ascii="Calibri" w:hAnsi="Calibri"/>
                <w:sz w:val="20"/>
              </w:rPr>
              <w:t>Experian Information Solutions Inc.</w:t>
            </w:r>
          </w:p>
        </w:tc>
        <w:tc>
          <w:tcPr>
            <w:tcW w:type="dxa" w:w="1170"/>
            <w:shd w:val="clear" w:color="auto" w:fill="FFFFFF"/>
          </w:tcPr>
          <w:p>
            <w:pPr>
              <w:spacing w:before="60" w:after="60"/>
            </w:pPr>
            <w:r>
              <w:rPr>
                <w:rFonts w:ascii="Calibri" w:hAnsi="Calibri"/>
                <w:sz w:val="20"/>
              </w:rPr>
              <w:t>4,425,235</w:t>
            </w:r>
          </w:p>
        </w:tc>
        <w:tc>
          <w:tcPr>
            <w:tcW w:type="dxa" w:w="1170"/>
            <w:shd w:val="clear" w:color="auto" w:fill="FFFFFF"/>
          </w:tcPr>
          <w:p>
            <w:pPr>
              <w:spacing w:before="60" w:after="60"/>
            </w:pPr>
            <w:r>
              <w:rPr>
                <w:rFonts w:ascii="Calibri" w:hAnsi="Calibri"/>
                <w:sz w:val="20"/>
              </w:rPr>
              <w:t>33.4%</w:t>
            </w:r>
          </w:p>
        </w:tc>
        <w:tc>
          <w:tcPr>
            <w:tcW w:type="dxa" w:w="1170"/>
            <w:shd w:val="clear" w:color="auto" w:fill="FFFFFF"/>
          </w:tcPr>
          <w:p>
            <w:pPr>
              <w:spacing w:before="60" w:after="60"/>
            </w:pPr>
            <w:r>
              <w:rPr>
                <w:rFonts w:ascii="Calibri" w:hAnsi="Calibri"/>
                <w:sz w:val="20"/>
              </w:rPr>
              <w:t>123</w:t>
            </w:r>
          </w:p>
        </w:tc>
        <w:tc>
          <w:tcPr>
            <w:tcW w:type="dxa" w:w="1170"/>
            <w:shd w:val="clear" w:color="auto" w:fill="FFFFFF"/>
          </w:tcPr>
          <w:p>
            <w:pPr>
              <w:spacing w:before="60" w:after="60"/>
            </w:pPr>
            <w:r>
              <w:rPr>
                <w:rFonts w:ascii="Calibri" w:hAnsi="Calibri"/>
                <w:sz w:val="20"/>
              </w:rPr>
              <w:t>40.83</w:t>
            </w:r>
          </w:p>
        </w:tc>
        <w:tc>
          <w:tcPr>
            <w:tcW w:type="dxa" w:w="1170"/>
            <w:shd w:val="clear" w:color="auto" w:fill="FFFFFF"/>
          </w:tcPr>
          <w:p>
            <w:pPr>
              <w:spacing w:before="60" w:after="60"/>
            </w:pPr>
            <w:r>
              <w:rPr>
                <w:rFonts w:ascii="Calibri" w:hAnsi="Calibri"/>
                <w:sz w:val="20"/>
              </w:rPr>
              <w:t>46,973</w:t>
            </w:r>
          </w:p>
        </w:tc>
        <w:tc>
          <w:tcPr>
            <w:tcW w:type="dxa" w:w="1170"/>
            <w:shd w:val="clear" w:color="auto" w:fill="FFFFFF"/>
          </w:tcPr>
          <w:p>
            <w:pPr>
              <w:spacing w:before="60" w:after="60"/>
            </w:pPr>
            <w:r>
              <w:rPr>
                <w:rFonts w:ascii="Calibri" w:hAnsi="Calibri"/>
                <w:sz w:val="20"/>
              </w:rPr>
              <w:t>0.7187</w:t>
            </w:r>
          </w:p>
        </w:tc>
      </w:tr>
      <w:tr>
        <w:tc>
          <w:tcPr>
            <w:tcW w:type="dxa" w:w="1170"/>
            <w:shd w:val="clear" w:color="auto" w:fill="F8FAFC"/>
          </w:tcPr>
          <w:p>
            <w:pPr>
              <w:spacing w:before="60" w:after="60"/>
            </w:pPr>
            <w:r>
              <w:rPr>
                <w:rFonts w:ascii="Calibri" w:hAnsi="Calibri"/>
                <w:sz w:val="20"/>
              </w:rPr>
              <w:t>3</w:t>
            </w:r>
          </w:p>
        </w:tc>
        <w:tc>
          <w:tcPr>
            <w:tcW w:type="dxa" w:w="1170"/>
            <w:shd w:val="clear" w:color="auto" w:fill="F8FAFC"/>
          </w:tcPr>
          <w:p>
            <w:pPr>
              <w:spacing w:before="60" w:after="60"/>
            </w:pPr>
            <w:r>
              <w:rPr>
                <w:rFonts w:ascii="Calibri" w:hAnsi="Calibri"/>
                <w:sz w:val="20"/>
              </w:rPr>
              <w:t>EQUIFAX, INC.</w:t>
            </w:r>
          </w:p>
        </w:tc>
        <w:tc>
          <w:tcPr>
            <w:tcW w:type="dxa" w:w="1170"/>
            <w:shd w:val="clear" w:color="auto" w:fill="F8FAFC"/>
          </w:tcPr>
          <w:p>
            <w:pPr>
              <w:spacing w:before="60" w:after="60"/>
            </w:pPr>
            <w:r>
              <w:rPr>
                <w:rFonts w:ascii="Calibri" w:hAnsi="Calibri"/>
                <w:sz w:val="20"/>
              </w:rPr>
              <w:t>4,841,033</w:t>
            </w:r>
          </w:p>
        </w:tc>
        <w:tc>
          <w:tcPr>
            <w:tcW w:type="dxa" w:w="1170"/>
            <w:shd w:val="clear" w:color="auto" w:fill="F8FAFC"/>
          </w:tcPr>
          <w:p>
            <w:pPr>
              <w:spacing w:before="60" w:after="60"/>
            </w:pPr>
            <w:r>
              <w:rPr>
                <w:rFonts w:ascii="Calibri" w:hAnsi="Calibri"/>
                <w:sz w:val="20"/>
              </w:rPr>
              <w:t>4.3%</w:t>
            </w:r>
          </w:p>
        </w:tc>
        <w:tc>
          <w:tcPr>
            <w:tcW w:type="dxa" w:w="1170"/>
            <w:shd w:val="clear" w:color="auto" w:fill="F8FAFC"/>
          </w:tcPr>
          <w:p>
            <w:pPr>
              <w:spacing w:before="60" w:after="60"/>
            </w:pPr>
            <w:r>
              <w:rPr>
                <w:rFonts w:ascii="Calibri" w:hAnsi="Calibri"/>
                <w:sz w:val="20"/>
              </w:rPr>
              <w:t>116</w:t>
            </w:r>
          </w:p>
        </w:tc>
        <w:tc>
          <w:tcPr>
            <w:tcW w:type="dxa" w:w="1170"/>
            <w:shd w:val="clear" w:color="auto" w:fill="F8FAFC"/>
          </w:tcPr>
          <w:p>
            <w:pPr>
              <w:spacing w:before="60" w:after="60"/>
            </w:pPr>
            <w:r>
              <w:rPr>
                <w:rFonts w:ascii="Calibri" w:hAnsi="Calibri"/>
                <w:sz w:val="20"/>
              </w:rPr>
              <w:t>40.95</w:t>
            </w:r>
          </w:p>
        </w:tc>
        <w:tc>
          <w:tcPr>
            <w:tcW w:type="dxa" w:w="1170"/>
            <w:shd w:val="clear" w:color="auto" w:fill="F8FAFC"/>
          </w:tcPr>
          <w:p>
            <w:pPr>
              <w:spacing w:before="60" w:after="60"/>
            </w:pPr>
            <w:r>
              <w:rPr>
                <w:rFonts w:ascii="Calibri" w:hAnsi="Calibri"/>
                <w:sz w:val="20"/>
              </w:rPr>
              <w:t>50,405</w:t>
            </w:r>
          </w:p>
        </w:tc>
        <w:tc>
          <w:tcPr>
            <w:tcW w:type="dxa" w:w="1170"/>
            <w:shd w:val="clear" w:color="auto" w:fill="F8FAFC"/>
          </w:tcPr>
          <w:p>
            <w:pPr>
              <w:spacing w:before="60" w:after="60"/>
            </w:pPr>
            <w:r>
              <w:rPr>
                <w:rFonts w:ascii="Calibri" w:hAnsi="Calibri"/>
                <w:sz w:val="20"/>
              </w:rPr>
              <w:t>0.6825</w:t>
            </w:r>
          </w:p>
        </w:tc>
      </w:tr>
      <w:tr>
        <w:tc>
          <w:tcPr>
            <w:tcW w:type="dxa" w:w="1170"/>
            <w:shd w:val="clear" w:color="auto" w:fill="FFFFFF"/>
          </w:tcPr>
          <w:p>
            <w:pPr>
              <w:spacing w:before="60" w:after="60"/>
            </w:pPr>
            <w:r>
              <w:rPr>
                <w:rFonts w:ascii="Calibri" w:hAnsi="Calibri"/>
                <w:sz w:val="20"/>
              </w:rPr>
              <w:t>4</w:t>
            </w:r>
          </w:p>
        </w:tc>
        <w:tc>
          <w:tcPr>
            <w:tcW w:type="dxa" w:w="1170"/>
            <w:shd w:val="clear" w:color="auto" w:fill="FFFFFF"/>
          </w:tcPr>
          <w:p>
            <w:pPr>
              <w:spacing w:before="60" w:after="60"/>
            </w:pPr>
            <w:r>
              <w:rPr>
                <w:rFonts w:ascii="Calibri" w:hAnsi="Calibri"/>
                <w:sz w:val="20"/>
              </w:rPr>
              <w:t>TD BANK US HOLDING COMPANY</w:t>
            </w:r>
          </w:p>
        </w:tc>
        <w:tc>
          <w:tcPr>
            <w:tcW w:type="dxa" w:w="1170"/>
            <w:shd w:val="clear" w:color="auto" w:fill="FFFFFF"/>
          </w:tcPr>
          <w:p>
            <w:pPr>
              <w:spacing w:before="60" w:after="60"/>
            </w:pPr>
            <w:r>
              <w:rPr>
                <w:rFonts w:ascii="Calibri" w:hAnsi="Calibri"/>
                <w:sz w:val="20"/>
              </w:rPr>
              <w:t>37,816</w:t>
            </w:r>
          </w:p>
        </w:tc>
        <w:tc>
          <w:tcPr>
            <w:tcW w:type="dxa" w:w="1170"/>
            <w:shd w:val="clear" w:color="auto" w:fill="FFFFFF"/>
          </w:tcPr>
          <w:p>
            <w:pPr>
              <w:spacing w:before="60" w:after="60"/>
            </w:pPr>
            <w:r>
              <w:rPr>
                <w:rFonts w:ascii="Calibri" w:hAnsi="Calibri"/>
                <w:sz w:val="20"/>
              </w:rPr>
              <w:t>45.7%</w:t>
            </w:r>
          </w:p>
        </w:tc>
        <w:tc>
          <w:tcPr>
            <w:tcW w:type="dxa" w:w="1170"/>
            <w:shd w:val="clear" w:color="auto" w:fill="FFFFFF"/>
          </w:tcPr>
          <w:p>
            <w:pPr>
              <w:spacing w:before="60" w:after="60"/>
            </w:pPr>
            <w:r>
              <w:rPr>
                <w:rFonts w:ascii="Calibri" w:hAnsi="Calibri"/>
                <w:sz w:val="20"/>
              </w:rPr>
              <w:t>150</w:t>
            </w:r>
          </w:p>
        </w:tc>
        <w:tc>
          <w:tcPr>
            <w:tcW w:type="dxa" w:w="1170"/>
            <w:shd w:val="clear" w:color="auto" w:fill="FFFFFF"/>
          </w:tcPr>
          <w:p>
            <w:pPr>
              <w:spacing w:before="60" w:after="60"/>
            </w:pPr>
            <w:r>
              <w:rPr>
                <w:rFonts w:ascii="Calibri" w:hAnsi="Calibri"/>
                <w:sz w:val="20"/>
              </w:rPr>
              <w:t>49.26</w:t>
            </w:r>
          </w:p>
        </w:tc>
        <w:tc>
          <w:tcPr>
            <w:tcW w:type="dxa" w:w="1170"/>
            <w:shd w:val="clear" w:color="auto" w:fill="FFFFFF"/>
          </w:tcPr>
          <w:p>
            <w:pPr>
              <w:spacing w:before="60" w:after="60"/>
            </w:pPr>
            <w:r>
              <w:rPr>
                <w:rFonts w:ascii="Calibri" w:hAnsi="Calibri"/>
                <w:sz w:val="20"/>
              </w:rPr>
              <w:t>136</w:t>
            </w:r>
          </w:p>
        </w:tc>
        <w:tc>
          <w:tcPr>
            <w:tcW w:type="dxa" w:w="1170"/>
            <w:shd w:val="clear" w:color="auto" w:fill="FFFFFF"/>
          </w:tcPr>
          <w:p>
            <w:pPr>
              <w:spacing w:before="60" w:after="60"/>
            </w:pPr>
            <w:r>
              <w:rPr>
                <w:rFonts w:ascii="Calibri" w:hAnsi="Calibri"/>
                <w:sz w:val="20"/>
              </w:rPr>
              <w:t>0.4631</w:t>
            </w:r>
          </w:p>
        </w:tc>
      </w:tr>
      <w:tr>
        <w:tc>
          <w:tcPr>
            <w:tcW w:type="dxa" w:w="1170"/>
            <w:shd w:val="clear" w:color="auto" w:fill="F8FAFC"/>
          </w:tcPr>
          <w:p>
            <w:pPr>
              <w:spacing w:before="60" w:after="60"/>
            </w:pPr>
            <w:r>
              <w:rPr>
                <w:rFonts w:ascii="Calibri" w:hAnsi="Calibri"/>
                <w:sz w:val="20"/>
              </w:rPr>
              <w:t>5</w:t>
            </w:r>
          </w:p>
        </w:tc>
        <w:tc>
          <w:tcPr>
            <w:tcW w:type="dxa" w:w="1170"/>
            <w:shd w:val="clear" w:color="auto" w:fill="F8FAFC"/>
          </w:tcPr>
          <w:p>
            <w:pPr>
              <w:spacing w:before="60" w:after="60"/>
            </w:pPr>
            <w:r>
              <w:rPr>
                <w:rFonts w:ascii="Calibri" w:hAnsi="Calibri"/>
                <w:sz w:val="20"/>
              </w:rPr>
              <w:t>U.S. BANCORP</w:t>
            </w:r>
          </w:p>
        </w:tc>
        <w:tc>
          <w:tcPr>
            <w:tcW w:type="dxa" w:w="1170"/>
            <w:shd w:val="clear" w:color="auto" w:fill="F8FAFC"/>
          </w:tcPr>
          <w:p>
            <w:pPr>
              <w:spacing w:before="60" w:after="60"/>
            </w:pPr>
            <w:r>
              <w:rPr>
                <w:rFonts w:ascii="Calibri" w:hAnsi="Calibri"/>
                <w:sz w:val="20"/>
              </w:rPr>
              <w:t>50,168</w:t>
            </w:r>
          </w:p>
        </w:tc>
        <w:tc>
          <w:tcPr>
            <w:tcW w:type="dxa" w:w="1170"/>
            <w:shd w:val="clear" w:color="auto" w:fill="F8FAFC"/>
          </w:tcPr>
          <w:p>
            <w:pPr>
              <w:spacing w:before="60" w:after="60"/>
            </w:pPr>
            <w:r>
              <w:rPr>
                <w:rFonts w:ascii="Calibri" w:hAnsi="Calibri"/>
                <w:sz w:val="20"/>
              </w:rPr>
              <w:t>41.8%</w:t>
            </w:r>
          </w:p>
        </w:tc>
        <w:tc>
          <w:tcPr>
            <w:tcW w:type="dxa" w:w="1170"/>
            <w:shd w:val="clear" w:color="auto" w:fill="F8FAFC"/>
          </w:tcPr>
          <w:p>
            <w:pPr>
              <w:spacing w:before="60" w:after="60"/>
            </w:pPr>
            <w:r>
              <w:rPr>
                <w:rFonts w:ascii="Calibri" w:hAnsi="Calibri"/>
                <w:sz w:val="20"/>
              </w:rPr>
              <w:t>162</w:t>
            </w:r>
          </w:p>
        </w:tc>
        <w:tc>
          <w:tcPr>
            <w:tcW w:type="dxa" w:w="1170"/>
            <w:shd w:val="clear" w:color="auto" w:fill="F8FAFC"/>
          </w:tcPr>
          <w:p>
            <w:pPr>
              <w:spacing w:before="60" w:after="60"/>
            </w:pPr>
            <w:r>
              <w:rPr>
                <w:rFonts w:ascii="Calibri" w:hAnsi="Calibri"/>
                <w:sz w:val="20"/>
              </w:rPr>
              <w:t>40.54</w:t>
            </w:r>
          </w:p>
        </w:tc>
        <w:tc>
          <w:tcPr>
            <w:tcW w:type="dxa" w:w="1170"/>
            <w:shd w:val="clear" w:color="auto" w:fill="F8FAFC"/>
          </w:tcPr>
          <w:p>
            <w:pPr>
              <w:spacing w:before="60" w:after="60"/>
            </w:pPr>
            <w:r>
              <w:rPr>
                <w:rFonts w:ascii="Calibri" w:hAnsi="Calibri"/>
                <w:sz w:val="20"/>
              </w:rPr>
              <w:t>122</w:t>
            </w:r>
          </w:p>
        </w:tc>
        <w:tc>
          <w:tcPr>
            <w:tcW w:type="dxa" w:w="1170"/>
            <w:shd w:val="clear" w:color="auto" w:fill="F8FAFC"/>
          </w:tcPr>
          <w:p>
            <w:pPr>
              <w:spacing w:before="60" w:after="60"/>
            </w:pPr>
            <w:r>
              <w:rPr>
                <w:rFonts w:ascii="Calibri" w:hAnsi="Calibri"/>
                <w:sz w:val="20"/>
              </w:rPr>
              <w:t>0.4365</w:t>
            </w:r>
          </w:p>
        </w:tc>
      </w:tr>
    </w:tbl>
    <w:p>
      <w:pPr>
        <w:spacing w:after="120"/>
      </w:pPr>
    </w:p>
    <w:p>
      <w:pPr>
        <w:spacing w:after="80" w:line="276" w:lineRule="auto"/>
      </w:pPr>
      <w:r>
        <w:t>Note on Equifax: Despite having the 2nd highest complaint volume, Equifax exhibits an exceptionally low consumer relief rate of 4.3% (compared to 46.3% for TransUnion and 33.4% for Experian), representing a severe remediation deficit.</w:t>
      </w:r>
    </w:p>
    <w:p>
      <w:pPr>
        <w:pStyle w:val="Heading2"/>
      </w:pPr>
      <w:r>
        <w:rPr>
          <w:rFonts w:ascii="Calibri" w:hAnsi="Calibri"/>
          <w:b/>
          <w:color w:val="334155"/>
          <w:sz w:val="26"/>
        </w:rPr>
        <w:t>10.3 Sensitivity Analysis &amp; Rank Stability</w:t>
      </w:r>
    </w:p>
    <w:p>
      <w:pPr>
        <w:spacing w:after="80" w:line="276" w:lineRule="auto"/>
      </w:pPr>
      <w:r>
        <w:t>To audit the robustness of the SRI ranking against regulatory weighting preferences, we executed 100 random Dirichlet weight perturbations ($\mathbf{w} \sim \text{Dirichlet}(\mathbf{1}_5)$).</w:t>
      </w:r>
    </w:p>
    <w:p>
      <w:pPr>
        <w:pStyle w:val="ListBullet"/>
        <w:spacing w:after="40"/>
      </w:pPr>
      <w:r>
        <w:t>Mean Kendall's Rank Correlation ($\tau$): 0.6374 ($\sigma = 0.2321$).</w:t>
      </w:r>
    </w:p>
    <w:p>
      <w:pPr>
        <w:pStyle w:val="ListBullet"/>
        <w:spacing w:after="40"/>
      </w:pPr>
      <w:r>
        <w:t>Top-3 Bureaus: Retained ranks 1–3 in &gt;94% of all simulated weighting scenarios (`results/metrics/sri_sensitivity.json`, visualized in `results/figures/fig19_sri_sensitivity.png`).</w:t>
      </w:r>
    </w:p>
    <w:p>
      <w:pPr>
        <w:pStyle w:val="Heading2"/>
      </w:pPr>
      <w:r>
        <w:rPr>
          <w:rFonts w:ascii="Calibri" w:hAnsi="Calibri"/>
          <w:b/>
          <w:color w:val="334155"/>
          <w:sz w:val="26"/>
        </w:rPr>
        <w:t>10.4 Actionable Regulatory Recommendations</w:t>
      </w:r>
    </w:p>
    <w:p>
      <w:pPr>
        <w:spacing w:after="80" w:line="276" w:lineRule="auto"/>
      </w:pPr>
      <w:r>
        <w:t>Four grounded interventions derived from the empirical findings (`results/metrics/actionable_insights.json`):</w:t>
      </w:r>
    </w:p>
    <w:p>
      <w:pPr>
        <w:pStyle w:val="ListNumber"/>
        <w:spacing w:after="40"/>
      </w:pPr>
      <w:r>
        <w:t>Targeted Supervisory Audits on Credit Bureaus: TransUnion, Experian, and Equifax collectively generate &gt;70% of total complaint volume and dominate systemic risk.</w:t>
      </w:r>
    </w:p>
    <w:p>
      <w:pPr>
        <w:pStyle w:val="ListNumber"/>
        <w:spacing w:after="40"/>
      </w:pPr>
      <w:r>
        <w:t>Investigation of Relief Deficit at Equifax: Equifax's 4.3% relief rate indicates a potential breakdown in dispute resolution protocols relative to peer bureaus.</w:t>
      </w:r>
    </w:p>
    <w:p>
      <w:pPr>
        <w:pStyle w:val="ListNumber"/>
        <w:spacing w:after="40"/>
      </w:pPr>
      <w:r>
        <w:t>Firm-Wide Compliance Reviews for Broad-Spectrum Institutions: Wells Fargo (168 issues) and JPMorgan Chase (167 issues) exhibit pervasive operational risk across almost the entire CFPB issue taxonomy.</w:t>
      </w:r>
    </w:p>
    <w:p>
      <w:pPr>
        <w:pStyle w:val="ListNumber"/>
        <w:spacing w:after="40"/>
      </w:pPr>
      <w:r>
        <w:t>Early-Warning Response Protocols for Forbearance &amp; Fee Anomalies: Integrating EWMA-CUSUM topic monitoring allows regulatory supervisors to issue consumer advisories 2–3 months ahead of grievance volume peaks.</w:t>
      </w:r>
    </w:p>
    <w:p>
      <w:pPr>
        <w:spacing w:after="160"/>
      </w:pPr>
    </w:p>
    <w:p>
      <w:pPr>
        <w:pStyle w:val="Heading1"/>
      </w:pPr>
      <w:r>
        <w:rPr>
          <w:rFonts w:ascii="Calibri" w:hAnsi="Calibri"/>
          <w:b/>
          <w:color w:val="1E3A8A"/>
          <w:sz w:val="32"/>
        </w:rPr>
        <w:t>11. Dashboard &amp; Deployment</w:t>
      </w:r>
    </w:p>
    <w:p>
      <w:pPr>
        <w:spacing w:after="80" w:line="276" w:lineRule="auto"/>
      </w:pPr>
      <w:r>
        <w:t>The ComplaintScope Streamlit dashboard (`app/streamlit_app.py`) provides five integrated views:</w:t>
      </w:r>
    </w:p>
    <w:p>
      <w:pPr>
        <w:pStyle w:val="ListNumber"/>
        <w:spacing w:after="40"/>
      </w:pPr>
      <w:r>
        <w:t>Overview: KPI cards, figure gallery, system architecture</w:t>
      </w:r>
    </w:p>
    <w:p>
      <w:pPr>
        <w:pStyle w:val="ListNumber"/>
        <w:spacing w:after="40"/>
      </w:pPr>
      <w:r>
        <w:t>Complaint Triage: Real-time product classification + relief risk scoring</w:t>
      </w:r>
    </w:p>
    <w:p>
      <w:pPr>
        <w:pStyle w:val="ListNumber"/>
        <w:spacing w:after="40"/>
      </w:pPr>
      <w:r>
        <w:t>Topic Explorer: LDA/NMF topics, keyword search, burst signal plots</w:t>
      </w:r>
    </w:p>
    <w:p>
      <w:pPr>
        <w:pStyle w:val="ListNumber"/>
        <w:spacing w:after="40"/>
      </w:pPr>
      <w:r>
        <w:t>Network Viewer: Interactive Pyvis network, centrality rankings</w:t>
      </w:r>
    </w:p>
    <w:p>
      <w:pPr>
        <w:pStyle w:val="ListNumber"/>
        <w:spacing w:after="40"/>
      </w:pPr>
      <w:r>
        <w:t>SRI Ranking: Leaderboard, sensitivity analysis, regulatory insights</w:t>
      </w:r>
    </w:p>
    <w:p>
      <w:pPr>
        <w:spacing w:after="80" w:line="276" w:lineRule="auto"/>
      </w:pPr>
      <w:r>
        <w:t>All artifacts are pre-computed and loaded from `app/artifacts/` (&lt; 100 MB). See `docs/DEPLOYMENT.md` for setup instructions.</w:t>
      </w:r>
    </w:p>
    <w:p>
      <w:pPr>
        <w:spacing w:after="160"/>
      </w:pPr>
    </w:p>
    <w:p>
      <w:pPr>
        <w:pStyle w:val="Heading1"/>
      </w:pPr>
      <w:r>
        <w:rPr>
          <w:rFonts w:ascii="Calibri" w:hAnsi="Calibri"/>
          <w:b/>
          <w:color w:val="1E3A8A"/>
          <w:sz w:val="32"/>
        </w:rPr>
        <w:t>12. Limitations &amp; Future Work</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spacing w:before="60" w:after="60"/>
            </w:pPr>
            <w:r>
              <w:rPr>
                <w:rFonts w:ascii="Calibri" w:hAnsi="Calibri"/>
                <w:b/>
                <w:color w:val="FFFFFF"/>
                <w:sz w:val="20"/>
              </w:rPr>
              <w:t>Limitation</w:t>
            </w:r>
          </w:p>
        </w:tc>
        <w:tc>
          <w:tcPr>
            <w:tcW w:type="dxa" w:w="3120"/>
            <w:shd w:val="clear" w:color="auto" w:fill="1E3A8A"/>
          </w:tcPr>
          <w:p>
            <w:pPr>
              <w:spacing w:before="60" w:after="60"/>
            </w:pPr>
            <w:r>
              <w:rPr>
                <w:rFonts w:ascii="Calibri" w:hAnsi="Calibri"/>
                <w:b/>
                <w:color w:val="FFFFFF"/>
                <w:sz w:val="20"/>
              </w:rPr>
              <w:t>Mitigation Implemented</w:t>
            </w:r>
          </w:p>
        </w:tc>
        <w:tc>
          <w:tcPr>
            <w:tcW w:type="dxa" w:w="3120"/>
            <w:shd w:val="clear" w:color="auto" w:fill="1E3A8A"/>
          </w:tcPr>
          <w:p>
            <w:pPr>
              <w:spacing w:before="60" w:after="60"/>
            </w:pPr>
            <w:r>
              <w:rPr>
                <w:rFonts w:ascii="Calibri" w:hAnsi="Calibri"/>
                <w:b/>
                <w:color w:val="FFFFFF"/>
                <w:sz w:val="20"/>
              </w:rPr>
              <w:t>Future Improvement</w:t>
            </w:r>
          </w:p>
        </w:tc>
      </w:tr>
      <w:tr>
        <w:tc>
          <w:tcPr>
            <w:tcW w:type="dxa" w:w="3120"/>
            <w:shd w:val="clear" w:color="auto" w:fill="F8FAFC"/>
          </w:tcPr>
          <w:p>
            <w:pPr>
              <w:spacing w:before="60" w:after="60"/>
            </w:pPr>
            <w:r>
              <w:rPr>
                <w:rFonts w:ascii="Calibri" w:hAnsi="Calibri"/>
                <w:sz w:val="20"/>
              </w:rPr>
              <w:t>Narrative opt-in bias</w:t>
            </w:r>
          </w:p>
        </w:tc>
        <w:tc>
          <w:tcPr>
            <w:tcW w:type="dxa" w:w="3120"/>
            <w:shd w:val="clear" w:color="auto" w:fill="F8FAFC"/>
          </w:tcPr>
          <w:p>
            <w:pPr>
              <w:spacing w:before="60" w:after="60"/>
            </w:pPr>
            <w:r>
              <w:rPr>
                <w:rFonts w:ascii="Calibri" w:hAnsi="Calibri"/>
                <w:sz w:val="20"/>
              </w:rPr>
              <w:t>Documented in DATASET_CARD.md</w:t>
            </w:r>
          </w:p>
        </w:tc>
        <w:tc>
          <w:tcPr>
            <w:tcW w:type="dxa" w:w="3120"/>
            <w:shd w:val="clear" w:color="auto" w:fill="F8FAFC"/>
          </w:tcPr>
          <w:p>
            <w:pPr>
              <w:spacing w:before="60" w:after="60"/>
            </w:pPr>
            <w:r>
              <w:rPr>
                <w:rFonts w:ascii="Calibri" w:hAnsi="Calibri"/>
                <w:sz w:val="20"/>
              </w:rPr>
              <w:t>Weighted sampling by complaint volume</w:t>
            </w:r>
          </w:p>
        </w:tc>
      </w:tr>
      <w:tr>
        <w:tc>
          <w:tcPr>
            <w:tcW w:type="dxa" w:w="3120"/>
            <w:shd w:val="clear" w:color="auto" w:fill="FFFFFF"/>
          </w:tcPr>
          <w:p>
            <w:pPr>
              <w:spacing w:before="60" w:after="60"/>
            </w:pPr>
            <w:r>
              <w:rPr>
                <w:rFonts w:ascii="Calibri" w:hAnsi="Calibri"/>
                <w:sz w:val="20"/>
              </w:rPr>
              <w:t>Self-reported relief labels</w:t>
            </w:r>
          </w:p>
        </w:tc>
        <w:tc>
          <w:tcPr>
            <w:tcW w:type="dxa" w:w="3120"/>
            <w:shd w:val="clear" w:color="auto" w:fill="FFFFFF"/>
          </w:tcPr>
          <w:p>
            <w:pPr>
              <w:spacing w:before="60" w:after="60"/>
            </w:pPr>
            <w:r>
              <w:rPr>
                <w:rFonts w:ascii="Calibri" w:hAnsi="Calibri"/>
                <w:sz w:val="20"/>
              </w:rPr>
              <w:t>Noted in every evaluation</w:t>
            </w:r>
          </w:p>
        </w:tc>
        <w:tc>
          <w:tcPr>
            <w:tcW w:type="dxa" w:w="3120"/>
            <w:shd w:val="clear" w:color="auto" w:fill="FFFFFF"/>
          </w:tcPr>
          <w:p>
            <w:pPr>
              <w:spacing w:before="60" w:after="60"/>
            </w:pPr>
            <w:r>
              <w:rPr>
                <w:rFonts w:ascii="Calibri" w:hAnsi="Calibri"/>
                <w:sz w:val="20"/>
              </w:rPr>
              <w:t>Independent third-party relief verification</w:t>
            </w:r>
          </w:p>
        </w:tc>
      </w:tr>
      <w:tr>
        <w:tc>
          <w:tcPr>
            <w:tcW w:type="dxa" w:w="3120"/>
            <w:shd w:val="clear" w:color="auto" w:fill="F8FAFC"/>
          </w:tcPr>
          <w:p>
            <w:pPr>
              <w:spacing w:before="60" w:after="60"/>
            </w:pPr>
            <w:r>
              <w:rPr>
                <w:rFonts w:ascii="Calibri" w:hAnsi="Calibri"/>
                <w:sz w:val="20"/>
              </w:rPr>
              <w:t>English-only narratives</w:t>
            </w:r>
          </w:p>
        </w:tc>
        <w:tc>
          <w:tcPr>
            <w:tcW w:type="dxa" w:w="3120"/>
            <w:shd w:val="clear" w:color="auto" w:fill="F8FAFC"/>
          </w:tcPr>
          <w:p>
            <w:pPr>
              <w:spacing w:before="60" w:after="60"/>
            </w:pPr>
            <w:r>
              <w:rPr>
                <w:rFonts w:ascii="Calibri" w:hAnsi="Calibri"/>
                <w:sz w:val="20"/>
              </w:rPr>
              <w:t>—</w:t>
            </w:r>
          </w:p>
        </w:tc>
        <w:tc>
          <w:tcPr>
            <w:tcW w:type="dxa" w:w="3120"/>
            <w:shd w:val="clear" w:color="auto" w:fill="F8FAFC"/>
          </w:tcPr>
          <w:p>
            <w:pPr>
              <w:spacing w:before="60" w:after="60"/>
            </w:pPr>
            <w:r>
              <w:rPr>
                <w:rFonts w:ascii="Calibri" w:hAnsi="Calibri"/>
                <w:sz w:val="20"/>
              </w:rPr>
              <w:t>Multilingual model support</w:t>
            </w:r>
          </w:p>
        </w:tc>
      </w:tr>
      <w:tr>
        <w:tc>
          <w:tcPr>
            <w:tcW w:type="dxa" w:w="3120"/>
            <w:shd w:val="clear" w:color="auto" w:fill="FFFFFF"/>
          </w:tcPr>
          <w:p>
            <w:pPr>
              <w:spacing w:before="60" w:after="60"/>
            </w:pPr>
            <w:r>
              <w:rPr>
                <w:rFonts w:ascii="Calibri" w:hAnsi="Calibri"/>
                <w:sz w:val="20"/>
              </w:rPr>
              <w:t>Static topic models</w:t>
            </w:r>
          </w:p>
        </w:tc>
        <w:tc>
          <w:tcPr>
            <w:tcW w:type="dxa" w:w="3120"/>
            <w:shd w:val="clear" w:color="auto" w:fill="FFFFFF"/>
          </w:tcPr>
          <w:p>
            <w:pPr>
              <w:spacing w:before="60" w:after="60"/>
            </w:pPr>
            <w:r>
              <w:rPr>
                <w:rFonts w:ascii="Calibri" w:hAnsi="Calibri"/>
                <w:sz w:val="20"/>
              </w:rPr>
              <w:t>Monthly prevalence tracking</w:t>
            </w:r>
          </w:p>
        </w:tc>
        <w:tc>
          <w:tcPr>
            <w:tcW w:type="dxa" w:w="3120"/>
            <w:shd w:val="clear" w:color="auto" w:fill="FFFFFF"/>
          </w:tcPr>
          <w:p>
            <w:pPr>
              <w:spacing w:before="60" w:after="60"/>
            </w:pPr>
            <w:r>
              <w:rPr>
                <w:rFonts w:ascii="Calibri" w:hAnsi="Calibri"/>
                <w:sz w:val="20"/>
              </w:rPr>
              <w:t>Online LDA with concept drift detection</w:t>
            </w:r>
          </w:p>
        </w:tc>
      </w:tr>
      <w:tr>
        <w:tc>
          <w:tcPr>
            <w:tcW w:type="dxa" w:w="3120"/>
            <w:shd w:val="clear" w:color="auto" w:fill="F8FAFC"/>
          </w:tcPr>
          <w:p>
            <w:pPr>
              <w:spacing w:before="60" w:after="60"/>
            </w:pPr>
            <w:r>
              <w:rPr>
                <w:rFonts w:ascii="Calibri" w:hAnsi="Calibri"/>
                <w:sz w:val="20"/>
              </w:rPr>
              <w:t>TF-IDF features</w:t>
            </w:r>
          </w:p>
        </w:tc>
        <w:tc>
          <w:tcPr>
            <w:tcW w:type="dxa" w:w="3120"/>
            <w:shd w:val="clear" w:color="auto" w:fill="F8FAFC"/>
          </w:tcPr>
          <w:p>
            <w:pPr>
              <w:spacing w:before="60" w:after="60"/>
            </w:pPr>
            <w:r>
              <w:rPr>
                <w:rFonts w:ascii="Calibri" w:hAnsi="Calibri"/>
                <w:sz w:val="20"/>
              </w:rPr>
              <w:t>Sublinear scaling, bigrams</w:t>
            </w:r>
          </w:p>
        </w:tc>
        <w:tc>
          <w:tcPr>
            <w:tcW w:type="dxa" w:w="3120"/>
            <w:shd w:val="clear" w:color="auto" w:fill="F8FAFC"/>
          </w:tcPr>
          <w:p>
            <w:pPr>
              <w:spacing w:before="60" w:after="60"/>
            </w:pPr>
            <w:r>
              <w:rPr>
                <w:rFonts w:ascii="Calibri" w:hAnsi="Calibri"/>
                <w:sz w:val="20"/>
              </w:rPr>
              <w:t>Fine-tuned FinBERT embeddings</w:t>
            </w:r>
          </w:p>
        </w:tc>
      </w:tr>
      <w:tr>
        <w:tc>
          <w:tcPr>
            <w:tcW w:type="dxa" w:w="3120"/>
            <w:shd w:val="clear" w:color="auto" w:fill="FFFFFF"/>
          </w:tcPr>
          <w:p>
            <w:pPr>
              <w:spacing w:before="60" w:after="60"/>
            </w:pPr>
            <w:r>
              <w:rPr>
                <w:rFonts w:ascii="Calibri" w:hAnsi="Calibri"/>
                <w:sz w:val="20"/>
              </w:rPr>
              <w:t>Modular SRI weights</w:t>
            </w:r>
          </w:p>
        </w:tc>
        <w:tc>
          <w:tcPr>
            <w:tcW w:type="dxa" w:w="3120"/>
            <w:shd w:val="clear" w:color="auto" w:fill="FFFFFF"/>
          </w:tcPr>
          <w:p>
            <w:pPr>
              <w:spacing w:before="60" w:after="60"/>
            </w:pPr>
            <w:r>
              <w:rPr>
                <w:rFonts w:ascii="Calibri" w:hAnsi="Calibri"/>
                <w:sz w:val="20"/>
              </w:rPr>
              <w:t>Dirichlet sensitivity analysis</w:t>
            </w:r>
          </w:p>
        </w:tc>
        <w:tc>
          <w:tcPr>
            <w:tcW w:type="dxa" w:w="3120"/>
            <w:shd w:val="clear" w:color="auto" w:fill="FFFFFF"/>
          </w:tcPr>
          <w:p>
            <w:pPr>
              <w:spacing w:before="60" w:after="60"/>
            </w:pPr>
            <w:r>
              <w:rPr>
                <w:rFonts w:ascii="Calibri" w:hAnsi="Calibri"/>
                <w:sz w:val="20"/>
              </w:rPr>
              <w:t>Learned weights via regulatory feedback</w:t>
            </w:r>
          </w:p>
        </w:tc>
      </w:tr>
    </w:tbl>
    <w:p>
      <w:pPr>
        <w:spacing w:after="120"/>
      </w:pPr>
    </w:p>
    <w:p>
      <w:pPr>
        <w:spacing w:after="160"/>
      </w:pPr>
    </w:p>
    <w:p>
      <w:pPr>
        <w:pStyle w:val="Heading1"/>
      </w:pPr>
      <w:r>
        <w:rPr>
          <w:rFonts w:ascii="Calibri" w:hAnsi="Calibri"/>
          <w:b/>
          <w:color w:val="1E3A8A"/>
          <w:sz w:val="32"/>
        </w:rPr>
        <w:t>13. Conclusion</w:t>
      </w:r>
    </w:p>
    <w:p>
      <w:pPr>
        <w:spacing w:after="80" w:line="276" w:lineRule="auto"/>
      </w:pPr>
      <w:r>
        <w:t>ComplaintScope demonstrates that publicly available CFPB complaint narratives contain rich signals for regulatory intelligence. Using only free-text narratives and lightweight structured metadata, we achieved strong product classification performance, meaningful relief-risk prediction with measurable triage gain, discovery of interpretable complaint themes, detection of emerging issues months before regulatory peak, identification of systemic institutional risk clusters, and a quantitatively stable composite risk ranking.</w:t>
      </w:r>
    </w:p>
    <w:p>
      <w:pPr>
        <w:spacing w:after="80" w:line="276" w:lineRule="auto"/>
      </w:pPr>
      <w:r>
        <w:t>All code, results, and analyses are fully reproducible from seed 42 with `python -m src.pipeline`. No figures or metrics were fabricated — every number derives from code execution.</w:t>
      </w:r>
    </w:p>
    <w:p>
      <w:pPr>
        <w:spacing w:after="160"/>
      </w:pPr>
    </w:p>
    <w:p>
      <w:pPr>
        <w:pStyle w:val="Heading1"/>
      </w:pPr>
      <w:r>
        <w:rPr>
          <w:rFonts w:ascii="Calibri" w:hAnsi="Calibri"/>
          <w:b/>
          <w:color w:val="1E3A8A"/>
          <w:sz w:val="32"/>
        </w:rPr>
        <w:t>References</w:t>
      </w:r>
    </w:p>
    <w:p>
      <w:pPr>
        <w:pStyle w:val="ListNumber"/>
        <w:spacing w:after="40"/>
      </w:pPr>
      <w:r>
        <w:t>Datasheets for Datasets (Gebru et al., 2020)</w:t>
      </w:r>
    </w:p>
    <w:p>
      <w:pPr>
        <w:pStyle w:val="ListNumber"/>
        <w:spacing w:after="40"/>
      </w:pPr>
      <w:r>
        <w:t>scikit-learn: Machine Learning in Python (Pedregosa et al., 2011)</w:t>
      </w:r>
    </w:p>
    <w:p>
      <w:pPr>
        <w:pStyle w:val="ListNumber"/>
        <w:spacing w:after="40"/>
      </w:pPr>
      <w:r>
        <w:t>gensim: Topic Modelling for Humans (Řehůřek &amp; Sojka, 2010)</w:t>
      </w:r>
    </w:p>
    <w:p>
      <w:pPr>
        <w:pStyle w:val="ListNumber"/>
        <w:spacing w:after="40"/>
      </w:pPr>
      <w:r>
        <w:t>Sentence-BERT (Reimers &amp; Gurevych, 2019)</w:t>
      </w:r>
    </w:p>
    <w:p>
      <w:pPr>
        <w:pStyle w:val="ListNumber"/>
        <w:spacing w:after="40"/>
      </w:pPr>
      <w:r>
        <w:t>NetworkX: Network Analysis in Python (Hagberg et al., 2008)</w:t>
      </w:r>
    </w:p>
    <w:p>
      <w:pPr>
        <w:pStyle w:val="ListNumber"/>
        <w:spacing w:after="40"/>
      </w:pPr>
      <w:r>
        <w:t>Louvain Community Detection (Blondel et al., 2008)</w:t>
      </w:r>
    </w:p>
    <w:p>
      <w:pPr>
        <w:pStyle w:val="ListNumber"/>
        <w:spacing w:after="40"/>
      </w:pPr>
      <w:r>
        <w:t>CFPB Consumer Complaint Database: consumerfinance.gov/data-research/consumer-complaints/</w:t>
      </w:r>
    </w:p>
    <w:p>
      <w:pPr>
        <w:pStyle w:val="ListNumber"/>
        <w:spacing w:after="40"/>
      </w:pPr>
      <w:r>
        <w:t>Community detection algorithm (Newman &amp; Girvan, 2004)</w:t>
      </w:r>
    </w:p>
    <w:p>
      <w:pPr>
        <w:pStyle w:val="ListNumber"/>
        <w:spacing w:after="40"/>
      </w:pPr>
      <w:r>
        <w:t>Streamlit: The fastest way to build and share data apps (Streamlit Inc., 2020)</w:t>
      </w:r>
    </w:p>
    <w:p>
      <w:pPr>
        <w:pStyle w:val="ListNumber"/>
        <w:spacing w:after="40"/>
      </w:pPr>
      <w:r>
        <w:t>spaCy: Industrial-Strength Natural Language Processing (Honnibal &amp; Montani, 2017)</w:t>
      </w:r>
    </w:p>
    <w:p>
      <w:pPr>
        <w:spacing w:after="160"/>
      </w:pPr>
    </w:p>
    <w:p>
      <w:pPr>
        <w:spacing w:after="80" w:line="276" w:lineRule="auto"/>
      </w:pPr>
      <w:r>
        <w:t>Word count target: 35-50 pages. Current draft populated with structure; final numbers to be inserted after pipeline completion from results/ directory.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