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28"/>
        </w:rPr>
        <w:t>Supplementary Information</w:t>
      </w:r>
    </w:p>
    <w:p/>
    <w:p>
      <w:r>
        <w:rPr>
          <w:rFonts w:ascii="Calibri" w:hAnsi="Calibri"/>
          <w:b/>
          <w:color w:val="000000"/>
          <w:sz w:val="22"/>
        </w:rPr>
        <w:t>Contents</w:t>
      </w:r>
    </w:p>
    <w:p>
      <w:r>
        <w:rPr>
          <w:b/>
        </w:rPr>
        <w:t>Supplementary figures</w:t>
      </w:r>
    </w:p>
    <w:p>
      <w:pPr>
        <w:spacing w:after="40"/>
      </w:pPr>
      <w:r>
        <w:t xml:space="preserve">    SFig1. Per-cohort receiver-operating-characteristic (ROC) curves for different methods.</w:t>
      </w:r>
    </w:p>
    <w:p>
      <w:pPr>
        <w:spacing w:after="40"/>
      </w:pPr>
      <w:r>
        <w:t xml:space="preserve">    SFig2. Per-cohort precision–recall (PR) curves for different methods.</w:t>
      </w:r>
    </w:p>
    <w:p>
      <w:r>
        <w:rPr>
          <w:b/>
        </w:rPr>
        <w:t>Supplementary tables (embedded)</w:t>
      </w:r>
    </w:p>
    <w:p>
      <w:pPr>
        <w:spacing w:after="40"/>
      </w:pPr>
      <w:r>
        <w:t xml:space="preserve">    STable1. Cross-cohort performance comparison across different methods.</w:t>
      </w:r>
    </w:p>
    <w:p>
      <w:pPr>
        <w:spacing w:after="40"/>
      </w:pPr>
      <w:r>
        <w:t xml:space="preserve">    STable2. Cohort × species summary.</w:t>
      </w:r>
    </w:p>
    <w:p>
      <w:pPr>
        <w:spacing w:after="40"/>
      </w:pPr>
      <w:r>
        <w:t xml:space="preserve">    STable4. Per-drug performance on the cohort-holdout evaluation.</w:t>
      </w:r>
    </w:p>
    <w:p>
      <w:pPr>
        <w:spacing w:after="40"/>
      </w:pPr>
      <w:r>
        <w:t xml:space="preserve">    STable8. Model and baseline architectures, optimisers and hardware.</w:t>
      </w:r>
    </w:p>
    <w:p>
      <w:pPr>
        <w:spacing w:after="40"/>
      </w:pPr>
      <w:r>
        <w:t xml:space="preserve">    STable9. PDB binding-atom validation of model self-attention.</w:t>
      </w:r>
    </w:p>
    <w:p>
      <w:pPr>
        <w:spacing w:after="40"/>
      </w:pPr>
      <w:r>
        <w:t xml:space="preserve">    STable10. Training-drug metadata and resistance statistics.</w:t>
      </w:r>
    </w:p>
    <w:p>
      <w:r>
        <w:rPr>
          <w:b/>
        </w:rPr>
        <w:t xml:space="preserve">Supplementary tables (Excel workbook — </w:t>
      </w:r>
      <w:r>
        <w:rPr>
          <w:b/>
          <w:i/>
        </w:rPr>
        <w:t>Supplementary_Tables.xlsx</w:t>
      </w:r>
      <w:r>
        <w:rPr>
          <w:b/>
        </w:rPr>
        <w:t>, one sheet per table)</w:t>
      </w:r>
    </w:p>
    <w:p>
      <w:pPr>
        <w:spacing w:after="40"/>
      </w:pPr>
      <w:r>
        <w:t xml:space="preserve">    STable3 (sheet </w:t>
      </w:r>
      <w:r>
        <w:rPr>
          <w:i/>
        </w:rPr>
        <w:t>STable3_inventory</w:t>
      </w:r>
      <w:r>
        <w:t>). Cohort × species × drug inventory; 327 rows.</w:t>
      </w:r>
    </w:p>
    <w:p>
      <w:pPr>
        <w:spacing w:after="40"/>
      </w:pPr>
      <w:r>
        <w:t xml:space="preserve">    STable5 (sheet </w:t>
      </w:r>
      <w:r>
        <w:rPr>
          <w:i/>
        </w:rPr>
        <w:t>STable5_top50_genes</w:t>
      </w:r>
      <w:r>
        <w:t>). Top-50 attended KO-clusters per training drug; 1,800 rows = 36 × 50.</w:t>
      </w:r>
    </w:p>
    <w:p>
      <w:pPr>
        <w:spacing w:after="40"/>
      </w:pPr>
      <w:r>
        <w:t xml:space="preserve">    STable6 (sheet </w:t>
      </w:r>
      <w:r>
        <w:rPr>
          <w:i/>
        </w:rPr>
        <w:t>STable6_top20_pathways</w:t>
      </w:r>
      <w:r>
        <w:t>). Top-20 KEGG pathways per training drug; 681 rows.</w:t>
      </w:r>
    </w:p>
    <w:p>
      <w:pPr>
        <w:spacing w:after="40"/>
      </w:pPr>
      <w:r>
        <w:t xml:space="preserve">    STable7 (sheet </w:t>
      </w:r>
      <w:r>
        <w:rPr>
          <w:i/>
        </w:rPr>
        <w:t>STable7_external_per_drug</w:t>
      </w:r>
      <w:r>
        <w:t>). Per-drug performance on the external screen; 144 rows.</w:t>
      </w:r>
    </w:p>
    <w:p>
      <w:pPr>
        <w:spacing w:after="40"/>
      </w:pPr>
      <w:r>
        <w:t xml:space="preserve">    STable11 (sheet </w:t>
      </w:r>
      <w:r>
        <w:rPr>
          <w:i/>
        </w:rPr>
        <w:t>STable11_external_drugs</w:t>
      </w:r>
      <w:r>
        <w:t>). External-screen drug metadata and class assignments; 144 rows.</w:t>
      </w:r>
    </w:p>
    <w:p>
      <w:r>
        <w:br w:type="page"/>
      </w:r>
    </w:p>
    <w:p>
      <w:r>
        <w:rPr>
          <w:rFonts w:ascii="Calibri" w:hAnsi="Calibri"/>
          <w:b/>
          <w:color w:val="000000"/>
          <w:sz w:val="28"/>
        </w:rP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732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ig1_AUROC_per_coh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Calibri" w:hAnsi="Calibri"/>
          <w:b/>
          <w:color w:val="000000"/>
          <w:sz w:val="20"/>
        </w:rPr>
        <w:t xml:space="preserve">SFig1. Per-cohort receiver-operating-characteristic (ROC) curves for different methods. </w:t>
      </w:r>
      <w:r>
        <w:rPr>
          <w:rFonts w:ascii="Calibri" w:hAnsi="Calibri"/>
          <w:color w:val="000000"/>
          <w:sz w:val="20"/>
        </w:rPr>
        <w:t>Each panel shows one cohort of the cohort-holdout test set; curves compare our method (drug-conditioned cross-attention) and VAMPr. AUROC, area under the receiver-operating-characteristic curve. VAMPr is omitted from the antibiogram panel because antibiogram is the published VAMPr training cohort.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733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ig2_AUPRC_per_coh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3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Calibri" w:hAnsi="Calibri"/>
          <w:b/>
          <w:color w:val="000000"/>
          <w:sz w:val="20"/>
        </w:rPr>
        <w:t xml:space="preserve">SFig2. Per-cohort precision–recall (PR) curves for different methods. </w:t>
      </w:r>
      <w:r>
        <w:rPr>
          <w:rFonts w:ascii="Calibri" w:hAnsi="Calibri"/>
          <w:color w:val="000000"/>
          <w:sz w:val="20"/>
        </w:rPr>
        <w:t>Each panel shows one cohort; curves compare our method and VAMPr. Dotted horizontal line marks the cohort resistance rate (= positive-class fraction), the baseline AUPRC of a random classifier. AUPRC, area under the precision–recall curve.</w:t>
      </w:r>
    </w:p>
    <w:p/>
    <w:p>
      <w:r>
        <w:br w:type="page"/>
      </w:r>
    </w:p>
    <w:p>
      <w:r>
        <w:rPr>
          <w:rFonts w:ascii="Calibri" w:hAnsi="Calibri"/>
          <w:b/>
          <w:color w:val="000000"/>
          <w:sz w:val="28"/>
        </w:rPr>
        <w:t>Supplementary tables</w:t>
      </w:r>
    </w:p>
    <w:p>
      <w:pPr>
        <w:sectPr>
          <w:pgSz w:w="11906" w:h="16838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left"/>
      </w:pPr>
      <w:r>
        <w:rPr>
          <w:rFonts w:ascii="Calibri" w:hAnsi="Calibri"/>
          <w:b/>
          <w:color w:val="000000"/>
          <w:sz w:val="20"/>
        </w:rPr>
        <w:t xml:space="preserve">STable1. Cross-cohort performance comparison across different methods. </w:t>
      </w:r>
      <w:r>
        <w:rPr>
          <w:rFonts w:ascii="Calibri" w:hAnsi="Calibri"/>
          <w:color w:val="000000"/>
          <w:sz w:val="20"/>
        </w:rPr>
        <w:t>Per-cohort metrics for our method and VAMPr on the 10 cohort-holdout test sets. Twenty rows = 10 cohorts × 2 methods. VAMPr is omitted from the antibiogram cohort (its published training set), and the corresponding cells are marked with an em-dash. AUROC is reported with a 95% bootstrap confidence interval (CI). MCC, Matthews correlation coefficient.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  <w:gridCol w:w="1138"/>
      </w:tblGrid>
      <w:tr>
        <w:tc>
          <w:tcPr>
            <w:tcW w:type="dxa" w:w="1138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cohort</w:t>
            </w:r>
          </w:p>
        </w:tc>
        <w:tc>
          <w:tcPr>
            <w:tcW w:type="dxa" w:w="1138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method</w:t>
            </w:r>
          </w:p>
        </w:tc>
        <w:tc>
          <w:tcPr>
            <w:tcW w:type="dxa" w:w="1138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accuracy</w:t>
            </w:r>
          </w:p>
        </w:tc>
        <w:tc>
          <w:tcPr>
            <w:tcW w:type="dxa" w:w="1138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balanced accuracy</w:t>
            </w:r>
          </w:p>
        </w:tc>
        <w:tc>
          <w:tcPr>
            <w:tcW w:type="dxa" w:w="1138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AUROC</w:t>
            </w:r>
          </w:p>
        </w:tc>
        <w:tc>
          <w:tcPr>
            <w:tcW w:type="dxa" w:w="1138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AUROC CI lower 95</w:t>
            </w:r>
          </w:p>
        </w:tc>
        <w:tc>
          <w:tcPr>
            <w:tcW w:type="dxa" w:w="1138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AUROC CI upper 95</w:t>
            </w:r>
          </w:p>
        </w:tc>
        <w:tc>
          <w:tcPr>
            <w:tcW w:type="dxa" w:w="1138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AUPRC</w:t>
            </w:r>
          </w:p>
        </w:tc>
        <w:tc>
          <w:tcPr>
            <w:tcW w:type="dxa" w:w="1138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F1</w:t>
            </w:r>
          </w:p>
        </w:tc>
        <w:tc>
          <w:tcPr>
            <w:tcW w:type="dxa" w:w="1138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MCC</w:t>
            </w:r>
          </w:p>
        </w:tc>
        <w:tc>
          <w:tcPr>
            <w:tcW w:type="dxa" w:w="1138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sensitivity</w:t>
            </w:r>
          </w:p>
        </w:tc>
        <w:tc>
          <w:tcPr>
            <w:tcW w:type="dxa" w:w="1138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specificity</w:t>
            </w:r>
          </w:p>
        </w:tc>
        <w:tc>
          <w:tcPr>
            <w:tcW w:type="dxa" w:w="1138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resistance rate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antibiogram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Our method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0.8610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0.8335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0.9192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0.9144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0.9240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0.8926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0.7972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0.6870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0.7463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0.9207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0.3866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antibiogram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VAMPr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ARIsolateBank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Our method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0.8230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0.8129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0.8917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0.8760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0.9072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0.9259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0.8595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0.6321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0.8735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0.7524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0.6091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ARIsolateBank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VAMPr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0.8290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0.8232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0.9024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0.8852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0.9195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0.9389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0.8612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0.6380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0.8434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0.8030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0.6308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AstraZeneca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Our method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0.8730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0.8397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0.9169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0.9007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0.9325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0.8136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0.7639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0.6767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0.7688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0.9106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0.2679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AstraZeneca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VAMPr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0.8090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0.7762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0.8286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0.7954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0.8600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0.6967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0.6682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0.5356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0.7048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0.8477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0.2734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CF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Our method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0.7240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0.7360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0.8073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0.7629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0.8477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0.9099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0.7800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0.4362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0.7030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0.7690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0.6990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CF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VAMPr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0.5090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0.5712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0.5306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0.4805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0.5820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0.7316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0.5322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0.1373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0.4061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0.7362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0.6876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Chile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Our method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0.7900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0.7978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0.8455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0.8189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0.8702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0.8867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0.8365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0.5916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0.8256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0.7700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0.6081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Chile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VAMPr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0.6030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0.5995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0.5986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0.5659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0.6291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0.5381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0.6539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0.2106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0.7643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0.4346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0.4964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German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Our method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0.8300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0.8217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0.9147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0.9016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0.9269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0.8989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0.7913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0.6481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0.7728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0.8705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0.4178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German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VAMPr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0.8010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0.8131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0.9018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0.8824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0.9182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0.8646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0.7857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0.6170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0.8806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0.7457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0.4133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PATRIC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Our method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0.8290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0.7846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0.8936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0.8882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0.8986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0.9398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0.8968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0.6376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0.9588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0.6105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0.6838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PATRIC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VAMPr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0.7990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0.7913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0.8673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0.8615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0.8732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0.8379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0.8293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0.6117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0.9303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0.6523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0.5261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Rabin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Our method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0.8550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0.8541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0.9336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0.9140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0.9508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0.8888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0.7731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0.6751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0.8479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0.8602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0.2880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Rabin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VAMPr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0.7930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0.8000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0.8747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0.8420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0.9052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0.7262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0.6335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0.5231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0.8128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0.7873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0.2202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Shelburne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Our method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0.8240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0.7593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0.8378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0.7949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0.8780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0.6522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0.5670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0.4647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0.6649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0.8537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0.1770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Shelburne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VAMPr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0.7000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0.7152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0.7906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0.7410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0.8397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0.5779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0.4731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0.3410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0.7398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0.6906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0.1823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TIDB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Our method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0.8290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0.8195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0.8785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0.8567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0.8988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0.9354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0.8694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0.6315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0.8573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0.7817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0.6553</w:t>
            </w:r>
          </w:p>
        </w:tc>
      </w:tr>
      <w:tr>
        <w:tc>
          <w:tcPr>
            <w:tcW w:type="dxa" w:w="1138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TIDB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VAMPr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0.5190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0.5363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0.5186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0.4847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0.5530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0.5845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0.4631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0.0760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0.3745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0.6980</w:t>
            </w:r>
          </w:p>
        </w:tc>
        <w:tc>
          <w:tcPr>
            <w:tcW w:type="dxa" w:w="1138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0.5541</w:t>
            </w:r>
          </w:p>
        </w:tc>
      </w:tr>
    </w:tbl>
    <w:p>
      <w:pPr>
        <w:sectPr>
          <w:pgSz w:w="16838" w:h="11906" w:orient="landscape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left"/>
      </w:pPr>
      <w:r>
        <w:rPr>
          <w:rFonts w:ascii="Calibri" w:hAnsi="Calibri"/>
          <w:b/>
          <w:color w:val="000000"/>
          <w:sz w:val="20"/>
        </w:rPr>
        <w:t xml:space="preserve">STable2. Cohort × species summary. </w:t>
      </w:r>
      <w:r>
        <w:rPr>
          <w:rFonts w:ascii="Calibri" w:hAnsi="Calibri"/>
          <w:color w:val="000000"/>
          <w:sz w:val="20"/>
        </w:rPr>
        <w:t>Counts of isolates, observations, drugs, and resistant observations, together with the resistance rate, for each (cohort, species) pair. 32 rows in total.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cohort</w:t>
            </w:r>
          </w:p>
        </w:tc>
        <w:tc>
          <w:tcPr>
            <w:tcW w:type="dxa" w:w="1409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species</w:t>
            </w:r>
          </w:p>
        </w:tc>
        <w:tc>
          <w:tcPr>
            <w:tcW w:type="dxa" w:w="1409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 isolates</w:t>
            </w:r>
          </w:p>
        </w:tc>
        <w:tc>
          <w:tcPr>
            <w:tcW w:type="dxa" w:w="1409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 observations</w:t>
            </w:r>
          </w:p>
        </w:tc>
        <w:tc>
          <w:tcPr>
            <w:tcW w:type="dxa" w:w="1409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 drugs</w:t>
            </w:r>
          </w:p>
        </w:tc>
        <w:tc>
          <w:tcPr>
            <w:tcW w:type="dxa" w:w="1409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 resistant</w:t>
            </w:r>
          </w:p>
        </w:tc>
        <w:tc>
          <w:tcPr>
            <w:tcW w:type="dxa" w:w="1409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resistance rate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Antibiogram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Acinetobacter baumannii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653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2446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919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0.3757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Antibiogram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Enterobacter cloacae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79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618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288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0.4660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Antibiogram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Escherichia coli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350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4329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2229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0.5149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Antibiogram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Klebsiella aerogenes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68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65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0.3757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Antibiogram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Klebsiella pneumoniae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344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3810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2971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0.7798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Antibiogram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Pseudomonas aeruginosa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685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436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0.6365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Antibiogram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Salmonella enterica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1349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10370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2182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0.2104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Antibiogram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Staphylococcus aureus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86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0.3837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Antibiogram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Streptococcus pneumoniae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317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1470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0.1020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ARIsolateBank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Acinetobacter baumannii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41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0.8293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ARIsolateBank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Citrobacter freundii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0.3125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ARIsolateBank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Enterobacter cloacae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256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164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0.6406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ARIsolateBank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Escherichia coli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56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875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470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0.5371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ARIsolateBank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Klebsiella oxytoca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0.6154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ARIsolateBank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Klebsiella pneumoniae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1242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833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0.6707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ARIsolateBank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Pseudomonas aeruginosa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516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346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0.6705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ARIsolateBank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Staphylococcus aureus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97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791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424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0.5360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AstraZeneca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Pseudomonas aeruginosa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384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1437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385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0.2679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CF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Pseudomonas aeruginosa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116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1050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734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0.6990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Chile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Pseudomonas aeruginosa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281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2008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1221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0.6081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German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Pseudomonas aeruginosa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626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3329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1391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0.4178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PATRIC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Klebsiella pneumoniae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1666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23739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16232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0.6838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Rabin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Acinetobacter baumannii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144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110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0.7639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Rabin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Enterobacter cloacae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0.1176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Rabin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Escherichia coli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67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740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0.2203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Rabin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Klebsiella pneumoniae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291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0.2852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Rabin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Pseudomonas aeruginosa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298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74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0.2483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Shelburne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Enterobacter cloacae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0.2564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Shelburne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Escherichia coli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0.3763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Shelburne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Klebsiella pneumoniae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72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0.5000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Shelburne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Pseudomonas aeruginosa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129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892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113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0.1267</w:t>
            </w:r>
          </w:p>
        </w:tc>
      </w:tr>
      <w:tr>
        <w:tc>
          <w:tcPr>
            <w:tcW w:type="dxa" w:w="1409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TIDB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Pseudomonas aeruginosa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205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1967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1289</w:t>
            </w:r>
          </w:p>
        </w:tc>
        <w:tc>
          <w:tcPr>
            <w:tcW w:type="dxa" w:w="1409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0.6553</w:t>
            </w:r>
          </w:p>
        </w:tc>
      </w:tr>
    </w:tbl>
    <w:p>
      <w:r>
        <w:br w:type="page"/>
      </w:r>
    </w:p>
    <w:p>
      <w:pPr>
        <w:jc w:val="left"/>
      </w:pPr>
      <w:r>
        <w:rPr>
          <w:rFonts w:ascii="Calibri" w:hAnsi="Calibri"/>
          <w:b/>
          <w:color w:val="000000"/>
          <w:sz w:val="20"/>
        </w:rPr>
        <w:t xml:space="preserve">STable4. Per-drug performance on the cohort-holdout evaluation. </w:t>
      </w:r>
      <w:r>
        <w:rPr>
          <w:rFonts w:ascii="Calibri" w:hAnsi="Calibri"/>
          <w:color w:val="000000"/>
          <w:sz w:val="20"/>
        </w:rPr>
        <w:t>Per-drug accuracy, AUROC, F1, MCC, sensitivity, specificity and resistance rate for the 36 training drugs (one row per drug). Metrics whose value is undefined for a drug — typically because the drug has a single resistance class in the evaluation subset (e.g. polymyxin B, chloramphenicol) — are rendered as em-dash.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drug</w:t>
            </w:r>
          </w:p>
        </w:tc>
        <w:tc>
          <w:tcPr>
            <w:tcW w:type="dxa" w:w="1233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resistance rate</w:t>
            </w:r>
          </w:p>
        </w:tc>
        <w:tc>
          <w:tcPr>
            <w:tcW w:type="dxa" w:w="1233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accuracy</w:t>
            </w:r>
          </w:p>
        </w:tc>
        <w:tc>
          <w:tcPr>
            <w:tcW w:type="dxa" w:w="1233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AUROC</w:t>
            </w:r>
          </w:p>
        </w:tc>
        <w:tc>
          <w:tcPr>
            <w:tcW w:type="dxa" w:w="1233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F1</w:t>
            </w:r>
          </w:p>
        </w:tc>
        <w:tc>
          <w:tcPr>
            <w:tcW w:type="dxa" w:w="1233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MCC</w:t>
            </w:r>
          </w:p>
        </w:tc>
        <w:tc>
          <w:tcPr>
            <w:tcW w:type="dxa" w:w="1233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sensitivity</w:t>
            </w:r>
          </w:p>
        </w:tc>
        <w:tc>
          <w:tcPr>
            <w:tcW w:type="dxa" w:w="1233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specificity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polymyxin B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ampicillin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0.9882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0.9876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0.9689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0.9937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0.4172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0.9949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0.3810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colistin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0.0169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0.9831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0.6397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amoxicillin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0.0234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0.9766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doxycycline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0.0400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0.9600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0.8749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cefazolin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0.9532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0.9508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0.9201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0.9747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0.1155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0.9950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0.0513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ceftriaxone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0.9237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0.9379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0.9368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0.9671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0.4516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0.9882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0.3286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nitrofurantoin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0.9271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0.9233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0.5154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0.9601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-0.0174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0.9959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gentamicin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0.4663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0.9114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0.7359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0.8995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0.8250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0.8508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0.9643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cefuroxime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0.0955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0.9045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0.6107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kanamycin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0.0963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0.9037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0.7568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levofloxacin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0.8505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0.8963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0.7917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0.9384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0.6130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0.9285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0.7135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ertapenem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0.3128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0.8930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0.7182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0.8434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0.7693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0.9211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0.8802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amikacin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0.1872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0.8878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0.7666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0.6244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0.5896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0.4982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0.9776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ciprofloxacin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0.8168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0.8854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0.8659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0.9291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0.6323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0.9189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0.7363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tigecycline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0.1354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0.8750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0.4295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0.1429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0.2592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0.0769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rifampin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0.1392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0.8608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0.7092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ceftazidime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0.7105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0.8520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0.7676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0.8979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0.6311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0.9157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0.6956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tobramycin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0.4678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0.8211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0.7531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0.8242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0.6532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0.8962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0.7551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aztreonam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0.7488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0.8126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0.7183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0.8797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0.4655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0.9154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0.5062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doripenem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0.5824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0.8123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0.7970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0.8464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0.6108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0.8882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0.7064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ceftiofur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0.1956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0.8044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0.7905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penicillin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0.9588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0.7732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0.6142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0.8721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-0.0990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0.8065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cefotaxime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0.6816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0.7592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0.9119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0.8218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0.4510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0.8144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0.6410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cefepime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0.6322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0.7359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0.7459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0.8119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0.4053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0.9012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0.4517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clindamycin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0.3780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0.7195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0.8292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0.7013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0.4870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0.8710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0.6275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piperacillin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0.5086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0.7184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0.7926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0.7118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0.4388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0.6836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0.7544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meropenem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0.4169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0.7109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0.6806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0.7049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0.4525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0.8282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0.6271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minocycline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0.2800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0.6483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0.5161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0.3047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0.5714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0.7500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ofloxacin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0.2234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0.6915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0.6651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0.5915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0.5031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0.6027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imipenem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0.4064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0.6733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0.4226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0.6752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0.3986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0.8354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0.5624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tetracycline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0.5200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0.6319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0.6199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0.6870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0.2648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0.7769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0.4748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erythromycin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0.3692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0.6308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0.8026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1.0000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chloramphenicol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0.9257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0.0000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0.6000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oxacillin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0.5361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0.5773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0.8036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0.4810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0.2087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0.3654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0.8222</w:t>
            </w:r>
          </w:p>
        </w:tc>
      </w:tr>
      <w:tr>
        <w:tc>
          <w:tcPr>
            <w:tcW w:type="dxa" w:w="1233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cefoxitin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0.5513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0.5611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0.8098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0.7064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0.0680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0.9577</w:t>
            </w:r>
          </w:p>
        </w:tc>
        <w:tc>
          <w:tcPr>
            <w:tcW w:type="dxa" w:w="1233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0.0739</w:t>
            </w:r>
          </w:p>
        </w:tc>
      </w:tr>
    </w:tbl>
    <w:p>
      <w:pPr>
        <w:sectPr>
          <w:pgSz w:w="11906" w:h="16838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left"/>
      </w:pPr>
      <w:r>
        <w:rPr>
          <w:rFonts w:ascii="Calibri" w:hAnsi="Calibri"/>
          <w:b/>
          <w:color w:val="000000"/>
          <w:sz w:val="20"/>
        </w:rPr>
        <w:t xml:space="preserve">STable8. Model and baseline architectures, optimisers and hardware. </w:t>
      </w:r>
      <w:r>
        <w:rPr>
          <w:rFonts w:ascii="Calibri" w:hAnsi="Calibri"/>
          <w:color w:val="000000"/>
          <w:sz w:val="20"/>
        </w:rPr>
        <w:t>Concrete training settings for our method (FARM) and each baseline. Nine rows total. Source files and full hyperparameter values are listed in the build scripts.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method</w:t>
            </w:r>
          </w:p>
        </w:tc>
        <w:tc>
          <w:tcPr>
            <w:tcW w:type="dxa" w:w="1850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category</w:t>
            </w:r>
          </w:p>
        </w:tc>
        <w:tc>
          <w:tcPr>
            <w:tcW w:type="dxa" w:w="1850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drug input</w:t>
            </w:r>
          </w:p>
        </w:tc>
        <w:tc>
          <w:tcPr>
            <w:tcW w:type="dxa" w:w="1850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gene input</w:t>
            </w:r>
          </w:p>
        </w:tc>
        <w:tc>
          <w:tcPr>
            <w:tcW w:type="dxa" w:w="1850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architecture</w:t>
            </w:r>
          </w:p>
        </w:tc>
        <w:tc>
          <w:tcPr>
            <w:tcW w:type="dxa" w:w="1850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optimizer</w:t>
            </w:r>
          </w:p>
        </w:tc>
        <w:tc>
          <w:tcPr>
            <w:tcW w:type="dxa" w:w="1850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learning rate</w:t>
            </w:r>
          </w:p>
        </w:tc>
        <w:tc>
          <w:tcPr>
            <w:tcW w:type="dxa" w:w="1850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hardware</w:t>
            </w:r>
          </w:p>
        </w:tc>
      </w:tr>
      <w:tr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FARM (ours)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Deep learning — graph + cross-attention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SMILES → molecular graph (atoms, bond types, pair-wise shortest-path distance); max 85 atoms; 16-symbol atom vocabulary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1,962 KO-cluster features per isolate (name + presence + mutation one-hots)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2× Drug-Graphformer encoder blocks (num_hiddens=60, fused atom/edge/relative-position attention; mixing weights α/β/δ = 0.6/0.2/0.3 for atom/edge/rel) → 2× drug-gene cross-attention decoder blocks (num_hiddens=30) → sigmoid head; self-attention temperature T=9; saliency self-score blend λ=0.5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Adam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5e-5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NVIDIA A100-SXM4-80GB × N (TF MirroredStrategy)</w:t>
            </w:r>
          </w:p>
        </w:tc>
      </w:tr>
      <w:tr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MLP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Deep learning — dense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Atom one-hot flattened (max 114 atoms × 16 vocab)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Gene presence/mutation one-hots flattened (3,287 dim)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Dense(1024)-ReLU → Dropout(0.5) → Dense(512)-ReLU → Dropout(0.5) → Dense(256)-ReLU → Dropout(0.5) → Dense(1)-sigmoid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Adam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1e-5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NVIDIA A100-SXM4-80GB</w:t>
            </w:r>
          </w:p>
        </w:tc>
      </w:tr>
      <w:tr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CNN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Deep learning — 1D convolution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Atom one-hot sequence (max 114 × 16)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Gene one-hots flattened → Dense(256)-ReLU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SMILES: Conv1D(filters=128, kernel=5, padding=same) → GlobalMaxPool1D; concat with gene branch → Dense(256)-ReLU → Dense(1)-sigmoid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Adam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1e-5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NVIDIA A100-SXM4-80GB</w:t>
            </w:r>
          </w:p>
        </w:tc>
      </w:tr>
      <w:tr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Transformer (baseline)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Deep learning — sequence transformer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Atom one-hot sequence (max 114 × 16)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Gene one-hots flattened → Dense(64)-ReLU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Dense(64)→positional encoding → 2× (MultiHeadAttention(heads=4, key_dim=64) + LN + Dense(64)-ReLU + LN) → GlobalMaxPool1D; concat with gene branch → Dense(128)-ReLU → Dense(1)-sigmoid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Adam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1e-5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NVIDIA A100-SXM4-80GB</w:t>
            </w:r>
          </w:p>
        </w:tc>
      </w:tr>
      <w:tr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Random Forest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Classical ML — ensemble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Atom one-hot flattened (114 × 16)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Gene presence/mutation one-hots flattened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sklearn RandomForestClassifier (n_estimators=200, default depth); concatenated drug + gene features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CPU (n_jobs=-1)</w:t>
            </w:r>
          </w:p>
        </w:tc>
      </w:tr>
      <w:tr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Elastic Net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Classical ML — linear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Atom one-hot flattened (114 × 16)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Gene presence/mutation one-hots flattened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sklearn LogisticRegression with elastic-net penalty (C=1.0, l1_ratio=0.5, saga solver)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SAGA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CPU (n_jobs=-1)</w:t>
            </w:r>
          </w:p>
        </w:tc>
      </w:tr>
      <w:tr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VAMPr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Specialized AMR — per-drug logistic regression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Drug identity (per-drug model; no SMILES)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Same 1,962 KO-cluster features as FARM (matched protocol)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Per-cohort × per-drug logistic regression with L1 (Kim et al. 2020 pipeline; one model per drug)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LIBLINEAR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CPU</w:t>
            </w:r>
          </w:p>
        </w:tc>
      </w:tr>
      <w:tr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ResFinder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Specialized AMR — rule/database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Drug identity (rule lookup; no SMILES)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BLAST against curated resistance-gene database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Sequence-similarity hit → AMR call (no trainable parameters)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CPU (BLAST)</w:t>
            </w:r>
          </w:p>
        </w:tc>
      </w:tr>
      <w:tr>
        <w:tc>
          <w:tcPr>
            <w:tcW w:type="dxa" w:w="1850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RGI (CARD)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Specialized AMR — rule/database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Drug class lookup (no SMILES)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CARD homolog/protein-variant detection on assembled genome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Rule-based detection using CARD model types (no trainable parameters)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—</w:t>
            </w:r>
          </w:p>
        </w:tc>
        <w:tc>
          <w:tcPr>
            <w:tcW w:type="dxa" w:w="1850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CPU</w:t>
            </w:r>
          </w:p>
        </w:tc>
      </w:tr>
    </w:tbl>
    <w:p>
      <w:pPr>
        <w:sectPr>
          <w:pgSz w:w="16838" w:h="11906" w:orient="landscape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left"/>
      </w:pPr>
      <w:r>
        <w:rPr>
          <w:rFonts w:ascii="Calibri" w:hAnsi="Calibri"/>
          <w:b/>
          <w:color w:val="000000"/>
          <w:sz w:val="20"/>
        </w:rPr>
        <w:t xml:space="preserve">STable9. PDB binding-atom validation of model self-attention. </w:t>
      </w:r>
      <w:r>
        <w:rPr>
          <w:rFonts w:ascii="Calibri" w:hAnsi="Calibri"/>
          <w:color w:val="000000"/>
          <w:sz w:val="20"/>
        </w:rPr>
        <w:t>One-sided Mann–Whitney U test comparing context-adjusted atom-level attention scores between PDB-derived binding atoms and non-binding atoms. Only drugs retained at p &lt; 0.05 are listed (six drugs). The context-adjusted saliency follows Eq. 14 of Methods with λ = 0.5; attention logits are temperature-scaled at T = 9 before constructing the saliency matrix 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drug</w:t>
            </w:r>
          </w:p>
        </w:tc>
        <w:tc>
          <w:tcPr>
            <w:tcW w:type="dxa" w:w="2466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n atoms</w:t>
            </w:r>
          </w:p>
        </w:tc>
        <w:tc>
          <w:tcPr>
            <w:tcW w:type="dxa" w:w="2466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 statistic</w:t>
            </w:r>
          </w:p>
        </w:tc>
        <w:tc>
          <w:tcPr>
            <w:tcW w:type="dxa" w:w="2466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 value</w:t>
            </w:r>
          </w:p>
        </w:tc>
      </w:tr>
      <w:tr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chloramphenicol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57.0000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0.0102</w:t>
            </w:r>
          </w:p>
        </w:tc>
      </w:tr>
      <w:tr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doxycycline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175.5000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0.0161</w:t>
            </w:r>
          </w:p>
        </w:tc>
      </w:tr>
      <w:tr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tetracycline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144.5000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0.0183</w:t>
            </w:r>
          </w:p>
        </w:tc>
      </w:tr>
      <w:tr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aztreonam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112.5000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0.0205</w:t>
            </w:r>
          </w:p>
        </w:tc>
      </w:tr>
      <w:tr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ampicillin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104.5000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0.0298</w:t>
            </w:r>
          </w:p>
        </w:tc>
      </w:tr>
      <w:tr>
        <w:tc>
          <w:tcPr>
            <w:tcW w:type="dxa" w:w="2466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ofloxacin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115.0000</w:t>
            </w:r>
          </w:p>
        </w:tc>
        <w:tc>
          <w:tcPr>
            <w:tcW w:type="dxa" w:w="2466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0.0483</w:t>
            </w:r>
          </w:p>
        </w:tc>
      </w:tr>
    </w:tbl>
    <w:p>
      <w:pPr>
        <w:sectPr>
          <w:pgSz w:w="11906" w:h="16838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jc w:val="left"/>
      </w:pPr>
      <w:r>
        <w:rPr>
          <w:rFonts w:ascii="Calibri" w:hAnsi="Calibri"/>
          <w:b/>
          <w:color w:val="000000"/>
          <w:sz w:val="20"/>
        </w:rPr>
        <w:t xml:space="preserve">STable10. Training-drug metadata and resistance statistics. </w:t>
      </w:r>
      <w:r>
        <w:rPr>
          <w:rFonts w:ascii="Calibri" w:hAnsi="Calibri"/>
          <w:color w:val="000000"/>
          <w:sz w:val="20"/>
        </w:rPr>
        <w:t>For each of the 36 training drugs: drug class (Figure 2A taxonomy), canonical SMILES, observation count, resistant / susceptible counts, and resistance rate across all 10 cohorts.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drug</w:t>
            </w:r>
          </w:p>
        </w:tc>
        <w:tc>
          <w:tcPr>
            <w:tcW w:type="dxa" w:w="2114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drug class</w:t>
            </w:r>
          </w:p>
        </w:tc>
        <w:tc>
          <w:tcPr>
            <w:tcW w:type="dxa" w:w="2114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SMILES</w:t>
            </w:r>
          </w:p>
        </w:tc>
        <w:tc>
          <w:tcPr>
            <w:tcW w:type="dxa" w:w="2114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n observations</w:t>
            </w:r>
          </w:p>
        </w:tc>
        <w:tc>
          <w:tcPr>
            <w:tcW w:type="dxa" w:w="2114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n resistant</w:t>
            </w:r>
          </w:p>
        </w:tc>
        <w:tc>
          <w:tcPr>
            <w:tcW w:type="dxa" w:w="2114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n susceptible</w:t>
            </w:r>
          </w:p>
        </w:tc>
        <w:tc>
          <w:tcPr>
            <w:tcW w:type="dxa" w:w="2114"/>
            <w:vAlign w:val="center"/>
            <w:tcBorders>
              <w:top w:val="single" w:sz="16" w:color="000000"/>
              <w:bottom w:val="single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4"/>
              </w:rPr>
              <w:t>resistance rate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amikacin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Aminoglycoside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C1C(C(C(C(C1NC(=O)C(CCN)O)OC2C(C(C(C(O2)CO)O)N)O)O)OC3C(C(C(C(O3)CN)O)O)O)N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4035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700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3335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0.1735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amoxicillin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Penicillin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CC1(C(N2C(S1)C(C2=O)NC(=O)C(C3=CC=C(C=C3)O)N)C(=O)O)C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171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167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0.0234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ampicillin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Penicillin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CC1(C(N2C(S1)C(C2=O)NC(=O)C(C3=CC=CC=C3)N)C(=O)O)C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3471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2521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950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0.7263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aztreonam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Monobactam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CC1C(C(=O)N1S(=O)(=O)O)NC(=O)C(=NOC(C)(C)C(=O)O)C2=CSC(=N2)N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2796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2090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706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0.7475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cefazolin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Cephalosporin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CC1=NN=C(S1)SCC2=C(N3C(C(C3=O)NC(=O)CN4C=NN=N4)SC2)C(=O)O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1788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1697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91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0.9491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cefepime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Cephalosporin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C[N+]1(CCCC1)CC2=C(N3C(C(C3=O)NC(=O)C(=NOC)C4=CSC(=N4)N)SC2)C(=O)[O-]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3128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1998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1130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0.6387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cefotaxime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Cephalosporin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CC(=O)OCC1=C(N2C(C(C2=O)NC(=O)C(=NOC)C3=CSC(=N3)N)SC1)C(=O)O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617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506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0.8201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cefoxitin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Cephalosporin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COC1(C2N(C1=O)C(=C(CS2)COC(=O)N)C(=O)O)NC(=O)CC3=CC=CS3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3347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1353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1994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0.4042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ceftazidime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Cephalosporin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CC(C)(C(=O)O)ON=C(C1=CSC(=N1)N)C(=O)NC2C3N(C2=O)C(=C(CS3)C[N+]4=CC=CC=C4)C(=O)[O-]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3888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2847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1041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0.7323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ceftiofur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Cephalosporin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CON=C(C1=CSC(=N1)N)C(=O)NC2C3N(C2=O)C(=C(CS3)CSC(=O)C4=CC=CO4)C(=O)O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1416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277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1139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0.1956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ceftriaxone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Cephalosporin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CN1C(=NC(=O)C(=O)N1)SCC2=C(N3C(C(C3=O)NC(=O)C(=NOC)C4=CSC(=N4)N)SC2)C(=O)O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3526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2223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1303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0.6305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cefuroxime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Cephalosporin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CON=C(C1=CC=CO1)C(=O)NC2C3N(C2=O)C(=C(CS3)COC(=O)N)C(=O)O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178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161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0.0955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chloramphenicol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Amphenicol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C1=CC(=CC=C1C(C(CO)NC(=O)C(Cl)Cl)O)[N+](=O)[O-]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1418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99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1319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0.0698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ciprofloxacin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Fluoroquinolone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C1CC1N2C=C(C(=O)C3=CC(=C(C=C32)N4CCNCC4)F)C(=O)O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3966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3135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831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0.7905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clindamycin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Lincosamide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CCCC1CC(N(C1)C)C(=O)NC(C2C(C(C(C(O2)SC)O)O)O)C(C)Cl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422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51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371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0.1209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colistin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Polypeptide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CCC(C)CCCC(=O)NC(CCN)C(=O)NC(C(C)O)C(=O)NC(CCN)C(=O)NC1CCNC(=O)C(NC(=O)C(NC(=O)C(NC(=O)C(NC(=O)C(NC(=O)C(NC1=O)CCN)CC(C)C)CC(C)C)CCN)CCN)C(C)O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533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524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0.0169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doripenem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Carbapenem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CC1C2C(C(=O)N2C(=C1SC3CC(NC3)CNS(=O)(=O)N)C(=O)O)C(C)O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873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476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397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0.5452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doxycycline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Tetracycline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CC1C2C(C3C(C(=O)C(=C(C3(C(=O)C2=C(C4=C1C=CC=C4O)O)O)O)C(=O)N)N(C)C)O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25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24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0.0400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ertapenem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Carbapenem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CC1C2C(C(=O)N2C(=C1SC3CC(NC3)C(=O)NC4=CC=CC(=C4)C(=O)O)C(=O)O)C(C)O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877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444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433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0.5063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erythromycin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Macrolide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CCC1C(C(C(C(=O)C(CC(C(C(C(C(C(=O)O1)C)OC2CC(C(C(O2)C)O)(C)OC)C)OC3C(C(CC(O3)C)N(C)C)O)(C)O)C)C)O)(C)O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409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151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258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0.3692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gentamicin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Aminoglycoside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CC(C1CCC(C(O1)OC2C(CC(C(C2O)OC3C(C(C(CO3)(C)O)NC)O)N)N)N)NC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4792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1698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3094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0.3543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imipenem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Carbapenem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CC(C1C2CC(=C(N2C1=O)C(=O)O)SCCN=CN)O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3367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1517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1850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0.4505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kanamycin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Aminoglycoside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C1C(C(C(C(C1N)OC2C(C(C(C(O2)CN)O)O)O)O)OC3C(C(C(C(O3)CO)O)N)O)N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1111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107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1004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0.0963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levofloxacin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Fluoroquinolone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CC1COC2=C3N1C=C(C(=O)C3=CC(=C2N4CCN(CC4)C)F)C(=O)O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3329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2688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641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0.8074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meropenem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Carbapenem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CC1C2C(C(=O)N2C(=C1SC3CC(NC3)C(=O)N(C)C)C(=O)O)C(C)O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4823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2079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2744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0.4311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minocycline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Tetracycline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CN(C)C1C2CC3CC4=C(C=CC(=C4C(=C3C(=O)C2(C(=C(C1=O)C(=O)N)O)O)O)O)N(C)C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100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28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72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0.2800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nitrofurantoin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Nitrofuran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C1C(=O)NC(=O)N1N=CC2=CC=C(O2)[N+](=O)[O-]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782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725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57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0.9271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ofloxacin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Fluoroquinolone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CC1COC2=C3N1C=C(C(=O)C3=CC(=C2N4CCN(CC4)C)F)C(=O)O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94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73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0.2234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oxacillin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Penicillin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CC1=C(C(=NO1)C2=CC=CC=C2)C(=O)NC3C4N(C3=O)C(C(S4)(C)C)C(=O)O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97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52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45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0.5361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penicillin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Penicillin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CC1(C(N2C(S1)C(C2=O)NC(=O)CC3=CC=CC=C3)C(=O)O)C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97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93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0.9588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piperacillin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Penicillin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CCN1CCN(C(=O)C1=O)C(=O)NC(C2=CC=CC=C2)C(=O)NC3C4N(C3=O)C(C(S4)(C)C)C(=O)O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348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177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171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0.5086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polymyxin B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Polypeptide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CCC(C)CCCCC(=O)NC(CCN)C(=O)NC(C(C)O)C(=O)NC(CCN)C(=O)NC1CCNC(=O)C(NC(=O)C(NC(=O)C(NC(=O)C(NC(=O)C(NC(=O)C(NC1=O)CCN)CC2=CC=CC=C2)CC(C)C)CCN)CCN)C(C)O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81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81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0.0000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rifampin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Rifamycin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CC1C=CC=C(C(=O)NC2=C(C(=C3C(=C2O)C(=C(C4=C3C(=O)C(O4)(OC=CC(C(C(C(C(C(C1O)C)O)C)OC(=O)C)C)OC)C)C)O)O)C=NN5CCN(CC5)C)C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79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68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0.1392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tetracycline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Tetracycline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CC1(C2CC3C(C(=O)C(=C(C3(C(=O)C2=C(C4=C1C=CC=C4O)O)O)O)C(=O)N)N(C)C)O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4230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2020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2210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0.4775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tigecycline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Tetracycline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CC(C)(C)NCC(=O)NC1=CC(=C2CC3CC4C(C(=O)C(=C(C4(C(=O)C3=C(C2=C1O)O)O)O)C(=O)N)N(C)C)N(C)C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96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13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83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0.1354</w:t>
            </w:r>
          </w:p>
        </w:tc>
      </w:tr>
      <w:tr>
        <w:tc>
          <w:tcPr>
            <w:tcW w:type="dxa" w:w="2114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tobramycin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Aminoglycoside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C1C(C(C(C(C1N)OC2C(C(C(C(O2)CO)O)N)O)O)OC3C(CC(C(O3)CN)O)N)N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3560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1609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1951</w:t>
            </w:r>
          </w:p>
        </w:tc>
        <w:tc>
          <w:tcPr>
            <w:tcW w:type="dxa" w:w="2114"/>
            <w:vAlign w:val="center"/>
            <w:tcBorders>
              <w:top w:val="nil" w:sz="8" w:color="000000"/>
              <w:bottom w:val="single" w:sz="16" w:color="000000"/>
              <w:left w:val="nil" w:sz="8" w:color="000000"/>
              <w:right w:val="nil" w:sz="8" w:color="000000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4"/>
              </w:rPr>
              <w:t>0.4520</w:t>
            </w:r>
          </w:p>
        </w:tc>
      </w:tr>
    </w:tbl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