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F3864"/>
          <w:sz w:val="38"/>
          <w:szCs w:val="38"/>
        </w:rPr>
        <w:t xml:space="preserve">Digital Public Services and Inclusion in India</w:t>
      </w:r>
    </w:p>
    <w:p>
      <w:pPr>
        <w:spacing w:after="40"/>
        <w:jc w:val="center"/>
      </w:pPr>
      <w:r>
        <w:rPr>
          <w:color w:val="44546A"/>
          <w:sz w:val="24"/>
          <w:szCs w:val="24"/>
        </w:rPr>
        <w:t xml:space="preserve">A Literature Synthesis: What Peer-Reviewed Research Shows About Digital Exclusion and Inclusion</w:t>
      </w:r>
    </w:p>
    <w:p>
      <w:pPr>
        <w:spacing w:after="400"/>
        <w:jc w:val="center"/>
      </w:pPr>
      <w:r>
        <w:rPr>
          <w:i/>
          <w:iCs/>
          <w:color w:val="808080"/>
          <w:sz w:val="20"/>
          <w:szCs w:val="20"/>
        </w:rPr>
        <w:t xml:space="preserve">Prepared by Ruhi  •  27 August 2026</w:t>
      </w:r>
    </w:p>
    <w:p>
      <w:pPr>
        <w:pStyle w:val="Heading1"/>
        <w:spacing w:after="160" w:before="360"/>
      </w:pPr>
      <w:r>
        <w:t xml:space="preserve">1. Research Question and Approach</w:t>
      </w:r>
    </w:p>
    <w:p>
      <w:pPr>
        <w:spacing w:after="160"/>
      </w:pPr>
      <w:r>
        <w:rPr>
          <w:sz w:val="22"/>
          <w:szCs w:val="22"/>
        </w:rPr>
        <w:t xml:space="preserve">Research question: What does the peer-reviewed and institutional literature show about whether India's digitisation of public services — identity verification, welfare payments, financial inclusion, and worker registration — has reduced or widened gaps in who can access and benefit from these services?</w:t>
      </w:r>
    </w:p>
    <w:p>
      <w:pPr>
        <w:spacing w:after="160"/>
      </w:pPr>
      <w:r>
        <w:rPr>
          <w:sz w:val="22"/>
          <w:szCs w:val="22"/>
        </w:rPr>
        <w:t xml:space="preserve">This project is a literature synthesis: it does not collect new primary data. It locates, verifies, and compares what existing academic studies and credible institutional reports have found, identifies where independent studies agree and where they genuinely disagree, and states plainly where the literature has not yet produced an answer. Eighteen peer-reviewed or working-paper studies and six government/institutional reports are used, spanning economics (American Economic Review, Review of Economics and Statistics, Manchester School, World Bank Economic Review), development studies (European Journal of Development Research, International Journal of Development Issues, International Journal of Finance &amp; Economics), Indian policy journals (Economic and Political Weekly, Indian Journal of Labour Economics, Indian Journal of Public Administration, Indian Public Policy Review), sociology/social policy (Information, Communication &amp; Society, Global Social Policy, Journal of Social and Economic Development), and national/international statistical agencies (TRAI, NSO, World Bank, GSMA).</w:t>
      </w:r>
    </w:p>
    <w:p>
      <w:pPr>
        <w:pStyle w:val="Heading1"/>
        <w:spacing w:after="160" w:before="360"/>
      </w:pPr>
      <w:r>
        <w:t xml:space="preserve">2. Methodology</w:t>
      </w:r>
    </w:p>
    <w:p>
      <w:pPr>
        <w:spacing w:after="160"/>
      </w:pPr>
      <w:r>
        <w:rPr>
          <w:sz w:val="22"/>
          <w:szCs w:val="22"/>
        </w:rPr>
        <w:t xml:space="preserve">This is a structured rapid synthesis, not a formal systematic review — it was not run against a fixed protocol or a subscription database such as Scopus or Web of Science, and it does not claim to be exhaustive. The method was: (1) run targeted searches combining programme names (Aadhaar, MGNREGA, PMJDY, JAM trinity, e-Shram, Common Service Centres) with methodological and disciplinary keywords ("exclusion," "biometric," "digital divide," "financial inclusion," "payment delay," "gender"); (2) for every candidate result, open the paper's own landing page — a journal's DOI page, an NBER or SSRN working-paper page, or a RePEc/IDEAS/EconPapers bibliographic record — to confirm real author names, an exact title, a real venue, and (where applicable) a real DOI, before treating it as citable; (3) read the abstract and, where accessible, the findings summary on that page to extract only claims the source itself makes; and (4) stop citing a claim, rather than approximate it, whenever the fetched source did not clearly support it.</w:t>
      </w:r>
    </w:p>
    <w:p>
      <w:pPr>
        <w:pStyle w:val="Heading2"/>
        <w:spacing w:after="120" w:before="260"/>
      </w:pPr>
      <w:r>
        <w:t xml:space="preserve">2.1 Inclusion approach</w:t>
      </w:r>
    </w:p>
    <w:p>
      <w:pPr>
        <w:pStyle w:val="ListParagraph"/>
        <w:numPr>
          <w:ilvl w:val="0"/>
          <w:numId w:val="2"/>
        </w:numPr>
        <w:spacing w:after="80"/>
      </w:pPr>
      <w:r>
        <w:rPr>
          <w:sz w:val="22"/>
          <w:szCs w:val="22"/>
        </w:rPr>
        <w:t xml:space="preserve">Priority was given to peer-reviewed journal articles and working papers from established series (NBER, SSRN-hosted institutional papers). Government and international-organisation reports (TRAI, NSO, PIB, World Bank, GSMA, and LibTech India's own policy report) were included alongside the academic literature, but are labelled throughout as institutional sources rather than peer-reviewed studies, since their claims have not been through academic peer review.</w:t>
      </w:r>
    </w:p>
    <w:p>
      <w:pPr>
        <w:pStyle w:val="ListParagraph"/>
        <w:numPr>
          <w:ilvl w:val="0"/>
          <w:numId w:val="2"/>
        </w:numPr>
        <w:spacing w:after="80"/>
      </w:pPr>
      <w:r>
        <w:rPr>
          <w:sz w:val="22"/>
          <w:szCs w:val="22"/>
        </w:rPr>
        <w:t xml:space="preserve">Several additional PMJDY/JAM-related papers surfaced in search results from journals whose peer-review rigor could not be confirmed within this project's verification standard; these were deliberately excluded rather than cited on the strength of a plausible-sounding title alone.</w:t>
      </w:r>
    </w:p>
    <w:p>
      <w:pPr>
        <w:pStyle w:val="ListParagraph"/>
        <w:numPr>
          <w:ilvl w:val="0"/>
          <w:numId w:val="2"/>
        </w:numPr>
        <w:spacing w:after="80"/>
      </w:pPr>
      <w:r>
        <w:rPr>
          <w:sz w:val="22"/>
          <w:szCs w:val="22"/>
        </w:rPr>
        <w:t xml:space="preserve">Where a publisher's full-text page blocked automated retrieval (this happened with MIT Press and Taylor &amp; Francis pages in this project), a RePEc/IDEAS, EconPapers, or Ingenta bibliographic-record mirror of the same publication was used instead to confirm identical author/title/venue/DOI details — never to substitute different or unverified content.</w:t>
      </w:r>
    </w:p>
    <w:p>
      <w:pPr>
        <w:pStyle w:val="Heading2"/>
        <w:spacing w:after="120" w:before="260"/>
      </w:pPr>
      <w:r>
        <w:t xml:space="preserve">2.2 Limitations of this approach</w:t>
      </w:r>
    </w:p>
    <w:p>
      <w:pPr>
        <w:pStyle w:val="ListParagraph"/>
        <w:numPr>
          <w:ilvl w:val="0"/>
          <w:numId w:val="2"/>
        </w:numPr>
        <w:spacing w:after="80"/>
      </w:pPr>
      <w:r>
        <w:rPr>
          <w:sz w:val="22"/>
          <w:szCs w:val="22"/>
        </w:rPr>
        <w:t xml:space="preserve">Coverage is necessarily partial. A search-engine-based literature discovery process, however carefully verified, is not equivalent to a full systematic review with defined database coverage, and it is likely that other relevant peer-reviewed studies exist that this process did not surface.</w:t>
      </w:r>
    </w:p>
    <w:p>
      <w:pPr>
        <w:pStyle w:val="ListParagraph"/>
        <w:numPr>
          <w:ilvl w:val="0"/>
          <w:numId w:val="2"/>
        </w:numPr>
        <w:spacing w:after="80"/>
      </w:pPr>
      <w:r>
        <w:rPr>
          <w:sz w:val="22"/>
          <w:szCs w:val="22"/>
        </w:rPr>
        <w:t xml:space="preserve">Full-text access was not available for every source; several summaries here rely on the abstract, DOI-page summary, or a verified secondary description of findings rather than a complete read of the paper. Where this is the case it does not change the attributed claim, but it does mean nuances in a paper's discussion or limitations sections may not be captured.</w:t>
      </w:r>
    </w:p>
    <w:p>
      <w:pPr>
        <w:pStyle w:val="ListParagraph"/>
        <w:numPr>
          <w:ilvl w:val="0"/>
          <w:numId w:val="2"/>
        </w:numPr>
        <w:spacing w:after="80"/>
      </w:pPr>
      <w:r>
        <w:rPr>
          <w:sz w:val="22"/>
          <w:szCs w:val="22"/>
        </w:rPr>
        <w:t xml:space="preserve">This synthesis does not attempt to formally appraise study quality (e.g., no formal risk-of-bias scoring), though methodological differences between studies — randomised/quasi-experimental design versus qualitative fieldwork versus descriptive decomposition analysis — are noted explicitly wherever they are relevant to interpreting a disagreement between studies.</w:t>
      </w:r>
    </w:p>
    <w:p>
      <w:pPr>
        <w:spacing w:after="160"/>
      </w:pPr>
      <w:r>
        <w:rPr>
          <w:sz w:val="22"/>
          <w:szCs w:val="22"/>
        </w:rPr>
        <w:t xml:space="preserve">A complete, verifiable log of how each source was found and confirmed is in data/ACADEMIC_SOURCES.md alongside this report.</w:t>
      </w:r>
    </w:p>
    <w:p>
      <w:pPr>
        <w:pStyle w:val="Heading1"/>
        <w:spacing w:after="160" w:before="360"/>
      </w:pPr>
      <w:r>
        <w:t xml:space="preserve">3. Overview of the Literature Base</w:t>
      </w:r>
    </w:p>
    <w:p>
      <w:pPr>
        <w:spacing w:after="160"/>
      </w:pPr>
      <w:r>
        <w:rPr>
          <w:sz w:val="22"/>
          <w:szCs w:val="22"/>
        </w:rPr>
        <w:t xml:space="preserve">The table below lists every academic study used in this synthesis, its method and setting, and the theme it speaks to. Full citations are in Section 12 (References).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2600"/>
        <w:gridCol w:w="2400"/>
        <w:gridCol w:w="1400"/>
      </w:tblGrid>
      <w:tr>
        <w:trPr>
          <w:tblHeader/>
        </w:trPr>
        <w:tc>
          <w:tcPr>
            <w:tcW w:type="dxa" w:w="3000"/>
            <w:shd w:fill="1F3864" w:val="clear"/>
          </w:tcPr>
          <w:p>
            <w:r>
              <w:rPr>
                <w:b/>
                <w:bCs/>
                <w:color w:val="FFFFFF"/>
                <w:sz w:val="18"/>
                <w:szCs w:val="18"/>
              </w:rPr>
              <w:t xml:space="preserve">Study</w:t>
            </w:r>
          </w:p>
        </w:tc>
        <w:tc>
          <w:tcPr>
            <w:tcW w:type="dxa" w:w="2600"/>
            <w:shd w:fill="1F3864" w:val="clear"/>
          </w:tcPr>
          <w:p>
            <w:r>
              <w:rPr>
                <w:b/>
                <w:bCs/>
                <w:color w:val="FFFFFF"/>
                <w:sz w:val="18"/>
                <w:szCs w:val="18"/>
              </w:rPr>
              <w:t xml:space="preserve">Method</w:t>
            </w:r>
          </w:p>
        </w:tc>
        <w:tc>
          <w:tcPr>
            <w:tcW w:type="dxa" w:w="2400"/>
            <w:shd w:fill="1F3864" w:val="clear"/>
          </w:tcPr>
          <w:p>
            <w:r>
              <w:rPr>
                <w:b/>
                <w:bCs/>
                <w:color w:val="FFFFFF"/>
                <w:sz w:val="18"/>
                <w:szCs w:val="18"/>
              </w:rPr>
              <w:t xml:space="preserve">Setting / programme</w:t>
            </w:r>
          </w:p>
        </w:tc>
        <w:tc>
          <w:tcPr>
            <w:tcW w:type="dxa" w:w="1400"/>
            <w:shd w:fill="1F3864" w:val="clear"/>
          </w:tcPr>
          <w:p>
            <w:r>
              <w:rPr>
                <w:b/>
                <w:bCs/>
                <w:color w:val="FFFFFF"/>
                <w:sz w:val="18"/>
                <w:szCs w:val="18"/>
              </w:rPr>
              <w:t xml:space="preserve">Theme</w:t>
            </w:r>
          </w:p>
        </w:tc>
      </w:tr>
      <w:tr>
        <w:tc>
          <w:tcPr>
            <w:tcW w:type="dxa" w:w="3000"/>
          </w:tcPr>
          <w:p>
            <w:r>
              <w:rPr>
                <w:sz w:val="17"/>
                <w:szCs w:val="17"/>
              </w:rPr>
              <w:t xml:space="preserve">Muralidharan et al. (2016)</w:t>
            </w:r>
          </w:p>
        </w:tc>
        <w:tc>
          <w:tcPr>
            <w:tcW w:type="dxa" w:w="2600"/>
          </w:tcPr>
          <w:p>
            <w:r>
              <w:rPr>
                <w:sz w:val="17"/>
                <w:szCs w:val="17"/>
              </w:rPr>
              <w:t xml:space="preserve">Randomised rollout, admin + survey data</w:t>
            </w:r>
          </w:p>
        </w:tc>
        <w:tc>
          <w:tcPr>
            <w:tcW w:type="dxa" w:w="2400"/>
          </w:tcPr>
          <w:p>
            <w:r>
              <w:rPr>
                <w:sz w:val="17"/>
                <w:szCs w:val="17"/>
              </w:rPr>
              <w:t xml:space="preserve">AP — NREGS wages &amp; pensions</w:t>
            </w:r>
          </w:p>
        </w:tc>
        <w:tc>
          <w:tcPr>
            <w:tcW w:type="dxa" w:w="1400"/>
          </w:tcPr>
          <w:p>
            <w:r>
              <w:rPr>
                <w:sz w:val="17"/>
                <w:szCs w:val="17"/>
              </w:rPr>
              <w:t xml:space="preserve">Biometric authentication</w:t>
            </w:r>
          </w:p>
        </w:tc>
      </w:tr>
      <w:tr>
        <w:tc>
          <w:tcPr>
            <w:tcW w:type="dxa" w:w="3000"/>
            <w:shd w:fill="F2F2F2" w:val="clear"/>
          </w:tcPr>
          <w:p>
            <w:r>
              <w:rPr>
                <w:sz w:val="17"/>
                <w:szCs w:val="17"/>
              </w:rPr>
              <w:t xml:space="preserve">Drèze et al. (2017)</w:t>
            </w:r>
          </w:p>
        </w:tc>
        <w:tc>
          <w:tcPr>
            <w:tcW w:type="dxa" w:w="2600"/>
            <w:shd w:fill="F2F2F2" w:val="clear"/>
          </w:tcPr>
          <w:p>
            <w:r>
              <w:rPr>
                <w:sz w:val="17"/>
                <w:szCs w:val="17"/>
              </w:rPr>
              <w:t xml:space="preserve">Field survey</w:t>
            </w:r>
          </w:p>
        </w:tc>
        <w:tc>
          <w:tcPr>
            <w:tcW w:type="dxa" w:w="2400"/>
            <w:shd w:fill="F2F2F2" w:val="clear"/>
          </w:tcPr>
          <w:p>
            <w:r>
              <w:rPr>
                <w:sz w:val="17"/>
                <w:szCs w:val="17"/>
              </w:rPr>
              <w:t xml:space="preserve">Jharkhand — PDS</w:t>
            </w:r>
          </w:p>
        </w:tc>
        <w:tc>
          <w:tcPr>
            <w:tcW w:type="dxa" w:w="1400"/>
            <w:shd w:fill="F2F2F2" w:val="clear"/>
          </w:tcPr>
          <w:p>
            <w:r>
              <w:rPr>
                <w:sz w:val="17"/>
                <w:szCs w:val="17"/>
              </w:rPr>
              <w:t xml:space="preserve">Biometric authentication</w:t>
            </w:r>
          </w:p>
        </w:tc>
      </w:tr>
      <w:tr>
        <w:tc>
          <w:tcPr>
            <w:tcW w:type="dxa" w:w="3000"/>
          </w:tcPr>
          <w:p>
            <w:r>
              <w:rPr>
                <w:sz w:val="17"/>
                <w:szCs w:val="17"/>
              </w:rPr>
              <w:t xml:space="preserve">Khera (2017)</w:t>
            </w:r>
          </w:p>
        </w:tc>
        <w:tc>
          <w:tcPr>
            <w:tcW w:type="dxa" w:w="2600"/>
          </w:tcPr>
          <w:p>
            <w:r>
              <w:rPr>
                <w:sz w:val="17"/>
                <w:szCs w:val="17"/>
              </w:rPr>
              <w:t xml:space="preserve">Literature review</w:t>
            </w:r>
          </w:p>
        </w:tc>
        <w:tc>
          <w:tcPr>
            <w:tcW w:type="dxa" w:w="2400"/>
          </w:tcPr>
          <w:p>
            <w:r>
              <w:rPr>
                <w:sz w:val="17"/>
                <w:szCs w:val="17"/>
              </w:rPr>
              <w:t xml:space="preserve">Multiple welfare schemes</w:t>
            </w:r>
          </w:p>
        </w:tc>
        <w:tc>
          <w:tcPr>
            <w:tcW w:type="dxa" w:w="1400"/>
          </w:tcPr>
          <w:p>
            <w:r>
              <w:rPr>
                <w:sz w:val="17"/>
                <w:szCs w:val="17"/>
              </w:rPr>
              <w:t xml:space="preserve">Biometric authentication</w:t>
            </w:r>
          </w:p>
        </w:tc>
      </w:tr>
      <w:tr>
        <w:tc>
          <w:tcPr>
            <w:tcW w:type="dxa" w:w="3000"/>
            <w:shd w:fill="F2F2F2" w:val="clear"/>
          </w:tcPr>
          <w:p>
            <w:r>
              <w:rPr>
                <w:sz w:val="17"/>
                <w:szCs w:val="17"/>
              </w:rPr>
              <w:t xml:space="preserve">Muralidharan et al. (2020/2025)</w:t>
            </w:r>
          </w:p>
        </w:tc>
        <w:tc>
          <w:tcPr>
            <w:tcW w:type="dxa" w:w="2600"/>
            <w:shd w:fill="F2F2F2" w:val="clear"/>
          </w:tcPr>
          <w:p>
            <w:r>
              <w:rPr>
                <w:sz w:val="17"/>
                <w:szCs w:val="17"/>
              </w:rPr>
              <w:t xml:space="preserve">Randomised evaluation</w:t>
            </w:r>
          </w:p>
        </w:tc>
        <w:tc>
          <w:tcPr>
            <w:tcW w:type="dxa" w:w="2400"/>
            <w:shd w:fill="F2F2F2" w:val="clear"/>
          </w:tcPr>
          <w:p>
            <w:r>
              <w:rPr>
                <w:sz w:val="17"/>
                <w:szCs w:val="17"/>
              </w:rPr>
              <w:t xml:space="preserve">Jharkhand — PDS</w:t>
            </w:r>
          </w:p>
        </w:tc>
        <w:tc>
          <w:tcPr>
            <w:tcW w:type="dxa" w:w="1400"/>
            <w:shd w:fill="F2F2F2" w:val="clear"/>
          </w:tcPr>
          <w:p>
            <w:r>
              <w:rPr>
                <w:sz w:val="17"/>
                <w:szCs w:val="17"/>
              </w:rPr>
              <w:t xml:space="preserve">Biometric authentication</w:t>
            </w:r>
          </w:p>
        </w:tc>
      </w:tr>
      <w:tr>
        <w:tc>
          <w:tcPr>
            <w:tcW w:type="dxa" w:w="3000"/>
          </w:tcPr>
          <w:p>
            <w:r>
              <w:rPr>
                <w:sz w:val="17"/>
                <w:szCs w:val="17"/>
              </w:rPr>
              <w:t xml:space="preserve">Ngullie (2025)</w:t>
            </w:r>
          </w:p>
        </w:tc>
        <w:tc>
          <w:tcPr>
            <w:tcW w:type="dxa" w:w="2600"/>
          </w:tcPr>
          <w:p>
            <w:r>
              <w:rPr>
                <w:sz w:val="17"/>
                <w:szCs w:val="17"/>
              </w:rPr>
              <w:t xml:space="preserve">Policy-ethics analysis</w:t>
            </w:r>
          </w:p>
        </w:tc>
        <w:tc>
          <w:tcPr>
            <w:tcW w:type="dxa" w:w="2400"/>
          </w:tcPr>
          <w:p>
            <w:r>
              <w:rPr>
                <w:sz w:val="17"/>
                <w:szCs w:val="17"/>
              </w:rPr>
              <w:t xml:space="preserve">Nagaland — PDS</w:t>
            </w:r>
          </w:p>
        </w:tc>
        <w:tc>
          <w:tcPr>
            <w:tcW w:type="dxa" w:w="1400"/>
          </w:tcPr>
          <w:p>
            <w:r>
              <w:rPr>
                <w:sz w:val="17"/>
                <w:szCs w:val="17"/>
              </w:rPr>
              <w:t xml:space="preserve">Biometric authentication</w:t>
            </w:r>
          </w:p>
        </w:tc>
      </w:tr>
      <w:tr>
        <w:tc>
          <w:tcPr>
            <w:tcW w:type="dxa" w:w="3000"/>
            <w:shd w:fill="F2F2F2" w:val="clear"/>
          </w:tcPr>
          <w:p>
            <w:r>
              <w:rPr>
                <w:sz w:val="17"/>
                <w:szCs w:val="17"/>
              </w:rPr>
              <w:t xml:space="preserve">Bheemarasetti et al. (2025)</w:t>
            </w:r>
          </w:p>
        </w:tc>
        <w:tc>
          <w:tcPr>
            <w:tcW w:type="dxa" w:w="2600"/>
            <w:shd w:fill="F2F2F2" w:val="clear"/>
          </w:tcPr>
          <w:p>
            <w:r>
              <w:rPr>
                <w:sz w:val="17"/>
                <w:szCs w:val="17"/>
              </w:rPr>
              <w:t xml:space="preserve">Large-scale transaction data analysis</w:t>
            </w:r>
          </w:p>
        </w:tc>
        <w:tc>
          <w:tcPr>
            <w:tcW w:type="dxa" w:w="2400"/>
            <w:shd w:fill="F2F2F2" w:val="clear"/>
          </w:tcPr>
          <w:p>
            <w:r>
              <w:rPr>
                <w:sz w:val="17"/>
                <w:szCs w:val="17"/>
              </w:rPr>
              <w:t xml:space="preserve">10 states — MGNREGA (ABPS)</w:t>
            </w:r>
          </w:p>
        </w:tc>
        <w:tc>
          <w:tcPr>
            <w:tcW w:type="dxa" w:w="1400"/>
            <w:shd w:fill="F2F2F2" w:val="clear"/>
          </w:tcPr>
          <w:p>
            <w:r>
              <w:rPr>
                <w:sz w:val="17"/>
                <w:szCs w:val="17"/>
              </w:rPr>
              <w:t xml:space="preserve">Digital wage payments</w:t>
            </w:r>
          </w:p>
        </w:tc>
      </w:tr>
      <w:tr>
        <w:tc>
          <w:tcPr>
            <w:tcW w:type="dxa" w:w="3000"/>
          </w:tcPr>
          <w:p>
            <w:r>
              <w:rPr>
                <w:sz w:val="17"/>
                <w:szCs w:val="17"/>
              </w:rPr>
              <w:t xml:space="preserve">Basu, Raj &amp; Sen (2024)</w:t>
            </w:r>
          </w:p>
        </w:tc>
        <w:tc>
          <w:tcPr>
            <w:tcW w:type="dxa" w:w="2600"/>
          </w:tcPr>
          <w:p>
            <w:r>
              <w:rPr>
                <w:sz w:val="17"/>
                <w:szCs w:val="17"/>
              </w:rPr>
              <w:t xml:space="preserve">Theoretical model + empirical evidence</w:t>
            </w:r>
          </w:p>
        </w:tc>
        <w:tc>
          <w:tcPr>
            <w:tcW w:type="dxa" w:w="2400"/>
          </w:tcPr>
          <w:p>
            <w:r>
              <w:rPr>
                <w:sz w:val="17"/>
                <w:szCs w:val="17"/>
              </w:rPr>
              <w:t xml:space="preserve">India — MGNREGA</w:t>
            </w:r>
          </w:p>
        </w:tc>
        <w:tc>
          <w:tcPr>
            <w:tcW w:type="dxa" w:w="1400"/>
          </w:tcPr>
          <w:p>
            <w:r>
              <w:rPr>
                <w:sz w:val="17"/>
                <w:szCs w:val="17"/>
              </w:rPr>
              <w:t xml:space="preserve">Digital wage payments</w:t>
            </w:r>
          </w:p>
        </w:tc>
      </w:tr>
      <w:tr>
        <w:tc>
          <w:tcPr>
            <w:tcW w:type="dxa" w:w="3000"/>
            <w:shd w:fill="F2F2F2" w:val="clear"/>
          </w:tcPr>
          <w:p>
            <w:r>
              <w:rPr>
                <w:sz w:val="17"/>
                <w:szCs w:val="17"/>
              </w:rPr>
              <w:t xml:space="preserve">Das, Paul &amp; Sharma (2023)</w:t>
            </w:r>
          </w:p>
        </w:tc>
        <w:tc>
          <w:tcPr>
            <w:tcW w:type="dxa" w:w="2600"/>
            <w:shd w:fill="F2F2F2" w:val="clear"/>
          </w:tcPr>
          <w:p>
            <w:r>
              <w:rPr>
                <w:sz w:val="17"/>
                <w:szCs w:val="17"/>
              </w:rPr>
              <w:t xml:space="preserve">Randomised controlled trial</w:t>
            </w:r>
          </w:p>
        </w:tc>
        <w:tc>
          <w:tcPr>
            <w:tcW w:type="dxa" w:w="2400"/>
            <w:shd w:fill="F2F2F2" w:val="clear"/>
          </w:tcPr>
          <w:p>
            <w:r>
              <w:rPr>
                <w:sz w:val="17"/>
                <w:szCs w:val="17"/>
              </w:rPr>
              <w:t xml:space="preserve">India — rural public works</w:t>
            </w:r>
          </w:p>
        </w:tc>
        <w:tc>
          <w:tcPr>
            <w:tcW w:type="dxa" w:w="1400"/>
            <w:shd w:fill="F2F2F2" w:val="clear"/>
          </w:tcPr>
          <w:p>
            <w:r>
              <w:rPr>
                <w:sz w:val="17"/>
                <w:szCs w:val="17"/>
              </w:rPr>
              <w:t xml:space="preserve">Digital wage payments</w:t>
            </w:r>
          </w:p>
        </w:tc>
      </w:tr>
      <w:tr>
        <w:tc>
          <w:tcPr>
            <w:tcW w:type="dxa" w:w="3000"/>
          </w:tcPr>
          <w:p>
            <w:r>
              <w:rPr>
                <w:sz w:val="17"/>
                <w:szCs w:val="17"/>
              </w:rPr>
              <w:t xml:space="preserve">Ghosh (2017)</w:t>
            </w:r>
          </w:p>
        </w:tc>
        <w:tc>
          <w:tcPr>
            <w:tcW w:type="dxa" w:w="2600"/>
          </w:tcPr>
          <w:p>
            <w:r>
              <w:rPr>
                <w:sz w:val="17"/>
                <w:szCs w:val="17"/>
              </w:rPr>
              <w:t xml:space="preserve">3-stage least squares, household data</w:t>
            </w:r>
          </w:p>
        </w:tc>
        <w:tc>
          <w:tcPr>
            <w:tcW w:type="dxa" w:w="2400"/>
          </w:tcPr>
          <w:p>
            <w:r>
              <w:rPr>
                <w:sz w:val="17"/>
                <w:szCs w:val="17"/>
              </w:rPr>
              <w:t xml:space="preserve">India — JAM trinity</w:t>
            </w:r>
          </w:p>
        </w:tc>
        <w:tc>
          <w:tcPr>
            <w:tcW w:type="dxa" w:w="1400"/>
          </w:tcPr>
          <w:p>
            <w:r>
              <w:rPr>
                <w:sz w:val="17"/>
                <w:szCs w:val="17"/>
              </w:rPr>
              <w:t xml:space="preserve">Digital financial inclusion</w:t>
            </w:r>
          </w:p>
        </w:tc>
      </w:tr>
      <w:tr>
        <w:tc>
          <w:tcPr>
            <w:tcW w:type="dxa" w:w="3000"/>
            <w:shd w:fill="F2F2F2" w:val="clear"/>
          </w:tcPr>
          <w:p>
            <w:r>
              <w:rPr>
                <w:sz w:val="17"/>
                <w:szCs w:val="17"/>
              </w:rPr>
              <w:t xml:space="preserve">Chopra, Prabhala &amp; Tantri (2023, WP)</w:t>
            </w:r>
          </w:p>
        </w:tc>
        <w:tc>
          <w:tcPr>
            <w:tcW w:type="dxa" w:w="2600"/>
            <w:shd w:fill="F2F2F2" w:val="clear"/>
          </w:tcPr>
          <w:p>
            <w:r>
              <w:rPr>
                <w:sz w:val="17"/>
                <w:szCs w:val="17"/>
              </w:rPr>
              <w:t xml:space="preserve">Natural experiment, bank account data</w:t>
            </w:r>
          </w:p>
        </w:tc>
        <w:tc>
          <w:tcPr>
            <w:tcW w:type="dxa" w:w="2400"/>
            <w:shd w:fill="F2F2F2" w:val="clear"/>
          </w:tcPr>
          <w:p>
            <w:r>
              <w:rPr>
                <w:sz w:val="17"/>
                <w:szCs w:val="17"/>
              </w:rPr>
              <w:t xml:space="preserve">India — PMJDY</w:t>
            </w:r>
          </w:p>
        </w:tc>
        <w:tc>
          <w:tcPr>
            <w:tcW w:type="dxa" w:w="1400"/>
            <w:shd w:fill="F2F2F2" w:val="clear"/>
          </w:tcPr>
          <w:p>
            <w:r>
              <w:rPr>
                <w:sz w:val="17"/>
                <w:szCs w:val="17"/>
              </w:rPr>
              <w:t xml:space="preserve">Digital financial inclusion</w:t>
            </w:r>
          </w:p>
        </w:tc>
      </w:tr>
      <w:tr>
        <w:tc>
          <w:tcPr>
            <w:tcW w:type="dxa" w:w="3000"/>
          </w:tcPr>
          <w:p>
            <w:r>
              <w:rPr>
                <w:sz w:val="17"/>
                <w:szCs w:val="17"/>
              </w:rPr>
              <w:t xml:space="preserve">Mahajan (2023)</w:t>
            </w:r>
          </w:p>
        </w:tc>
        <w:tc>
          <w:tcPr>
            <w:tcW w:type="dxa" w:w="2600"/>
          </w:tcPr>
          <w:p>
            <w:r>
              <w:rPr>
                <w:sz w:val="17"/>
                <w:szCs w:val="17"/>
              </w:rPr>
              <w:t xml:space="preserve">Descriptive analysis of national data</w:t>
            </w:r>
          </w:p>
        </w:tc>
        <w:tc>
          <w:tcPr>
            <w:tcW w:type="dxa" w:w="2400"/>
          </w:tcPr>
          <w:p>
            <w:r>
              <w:rPr>
                <w:sz w:val="17"/>
                <w:szCs w:val="17"/>
              </w:rPr>
              <w:t xml:space="preserve">India — PMJDY</w:t>
            </w:r>
          </w:p>
        </w:tc>
        <w:tc>
          <w:tcPr>
            <w:tcW w:type="dxa" w:w="1400"/>
          </w:tcPr>
          <w:p>
            <w:r>
              <w:rPr>
                <w:sz w:val="17"/>
                <w:szCs w:val="17"/>
              </w:rPr>
              <w:t xml:space="preserve">Digital financial inclusion</w:t>
            </w:r>
          </w:p>
        </w:tc>
      </w:tr>
      <w:tr>
        <w:tc>
          <w:tcPr>
            <w:tcW w:type="dxa" w:w="3000"/>
            <w:shd w:fill="F2F2F2" w:val="clear"/>
          </w:tcPr>
          <w:p>
            <w:r>
              <w:rPr>
                <w:sz w:val="17"/>
                <w:szCs w:val="17"/>
              </w:rPr>
              <w:t xml:space="preserve">Duvendack, Sonne &amp; Garikipati (2023)</w:t>
            </w:r>
          </w:p>
        </w:tc>
        <w:tc>
          <w:tcPr>
            <w:tcW w:type="dxa" w:w="2600"/>
            <w:shd w:fill="F2F2F2" w:val="clear"/>
          </w:tcPr>
          <w:p>
            <w:r>
              <w:rPr>
                <w:sz w:val="17"/>
                <w:szCs w:val="17"/>
              </w:rPr>
              <w:t xml:space="preserve">Mixed methods, macro + micro</w:t>
            </w:r>
          </w:p>
        </w:tc>
        <w:tc>
          <w:tcPr>
            <w:tcW w:type="dxa" w:w="2400"/>
            <w:shd w:fill="F2F2F2" w:val="clear"/>
          </w:tcPr>
          <w:p>
            <w:r>
              <w:rPr>
                <w:sz w:val="17"/>
                <w:szCs w:val="17"/>
              </w:rPr>
              <w:t xml:space="preserve">India — digital financial services</w:t>
            </w:r>
          </w:p>
        </w:tc>
        <w:tc>
          <w:tcPr>
            <w:tcW w:type="dxa" w:w="1400"/>
            <w:shd w:fill="F2F2F2" w:val="clear"/>
          </w:tcPr>
          <w:p>
            <w:r>
              <w:rPr>
                <w:sz w:val="17"/>
                <w:szCs w:val="17"/>
              </w:rPr>
              <w:t xml:space="preserve">Gender &amp; financial inclusion</w:t>
            </w:r>
          </w:p>
        </w:tc>
      </w:tr>
      <w:tr>
        <w:tc>
          <w:tcPr>
            <w:tcW w:type="dxa" w:w="3000"/>
          </w:tcPr>
          <w:p>
            <w:r>
              <w:rPr>
                <w:sz w:val="17"/>
                <w:szCs w:val="17"/>
              </w:rPr>
              <w:t xml:space="preserve">Sonne (2025)</w:t>
            </w:r>
          </w:p>
        </w:tc>
        <w:tc>
          <w:tcPr>
            <w:tcW w:type="dxa" w:w="2600"/>
          </w:tcPr>
          <w:p>
            <w:r>
              <w:rPr>
                <w:sz w:val="17"/>
                <w:szCs w:val="17"/>
              </w:rPr>
              <w:t xml:space="preserve">Qualitative interviews (n=60)</w:t>
            </w:r>
          </w:p>
        </w:tc>
        <w:tc>
          <w:tcPr>
            <w:tcW w:type="dxa" w:w="2400"/>
          </w:tcPr>
          <w:p>
            <w:r>
              <w:rPr>
                <w:sz w:val="17"/>
                <w:szCs w:val="17"/>
              </w:rPr>
              <w:t xml:space="preserve">6 Indian states — mobile phone use</w:t>
            </w:r>
          </w:p>
        </w:tc>
        <w:tc>
          <w:tcPr>
            <w:tcW w:type="dxa" w:w="1400"/>
          </w:tcPr>
          <w:p>
            <w:r>
              <w:rPr>
                <w:sz w:val="17"/>
                <w:szCs w:val="17"/>
              </w:rPr>
              <w:t xml:space="preserve">Gender digital divide</w:t>
            </w:r>
          </w:p>
        </w:tc>
      </w:tr>
      <w:tr>
        <w:tc>
          <w:tcPr>
            <w:tcW w:type="dxa" w:w="3000"/>
            <w:shd w:fill="F2F2F2" w:val="clear"/>
          </w:tcPr>
          <w:p>
            <w:r>
              <w:rPr>
                <w:sz w:val="17"/>
                <w:szCs w:val="17"/>
              </w:rPr>
              <w:t xml:space="preserve">Arora &amp; Sapre (2026)</w:t>
            </w:r>
          </w:p>
        </w:tc>
        <w:tc>
          <w:tcPr>
            <w:tcW w:type="dxa" w:w="2600"/>
            <w:shd w:fill="F2F2F2" w:val="clear"/>
          </w:tcPr>
          <w:p>
            <w:r>
              <w:rPr>
                <w:sz w:val="17"/>
                <w:szCs w:val="17"/>
              </w:rPr>
              <w:t xml:space="preserve">Index construction, state-level data</w:t>
            </w:r>
          </w:p>
        </w:tc>
        <w:tc>
          <w:tcPr>
            <w:tcW w:type="dxa" w:w="2400"/>
            <w:shd w:fill="F2F2F2" w:val="clear"/>
          </w:tcPr>
          <w:p>
            <w:r>
              <w:rPr>
                <w:sz w:val="17"/>
                <w:szCs w:val="17"/>
              </w:rPr>
              <w:t xml:space="preserve">18 Indian states</w:t>
            </w:r>
          </w:p>
        </w:tc>
        <w:tc>
          <w:tcPr>
            <w:tcW w:type="dxa" w:w="1400"/>
            <w:shd w:fill="F2F2F2" w:val="clear"/>
          </w:tcPr>
          <w:p>
            <w:r>
              <w:rPr>
                <w:sz w:val="17"/>
                <w:szCs w:val="17"/>
              </w:rPr>
              <w:t xml:space="preserve">Rural-urban digital divide</w:t>
            </w:r>
          </w:p>
        </w:tc>
      </w:tr>
      <w:tr>
        <w:tc>
          <w:tcPr>
            <w:tcW w:type="dxa" w:w="3000"/>
          </w:tcPr>
          <w:p>
            <w:r>
              <w:rPr>
                <w:sz w:val="17"/>
                <w:szCs w:val="17"/>
              </w:rPr>
              <w:t xml:space="preserve">Biradar, Deo &amp; Kaur (2026)</w:t>
            </w:r>
          </w:p>
        </w:tc>
        <w:tc>
          <w:tcPr>
            <w:tcW w:type="dxa" w:w="2600"/>
          </w:tcPr>
          <w:p>
            <w:r>
              <w:rPr>
                <w:sz w:val="17"/>
                <w:szCs w:val="17"/>
              </w:rPr>
              <w:t xml:space="preserve">Decomposition analysis, NSS 78th round</w:t>
            </w:r>
          </w:p>
        </w:tc>
        <w:tc>
          <w:tcPr>
            <w:tcW w:type="dxa" w:w="2400"/>
          </w:tcPr>
          <w:p>
            <w:r>
              <w:rPr>
                <w:sz w:val="17"/>
                <w:szCs w:val="17"/>
              </w:rPr>
              <w:t xml:space="preserve">India, rural vs. urban</w:t>
            </w:r>
          </w:p>
        </w:tc>
        <w:tc>
          <w:tcPr>
            <w:tcW w:type="dxa" w:w="1400"/>
          </w:tcPr>
          <w:p>
            <w:r>
              <w:rPr>
                <w:sz w:val="17"/>
                <w:szCs w:val="17"/>
              </w:rPr>
              <w:t xml:space="preserve">Rural-urban digital divide</w:t>
            </w:r>
          </w:p>
        </w:tc>
      </w:tr>
      <w:tr>
        <w:tc>
          <w:tcPr>
            <w:tcW w:type="dxa" w:w="3000"/>
            <w:shd w:fill="F2F2F2" w:val="clear"/>
          </w:tcPr>
          <w:p>
            <w:r>
              <w:rPr>
                <w:sz w:val="17"/>
                <w:szCs w:val="17"/>
              </w:rPr>
              <w:t xml:space="preserve">Nanda (2022)</w:t>
            </w:r>
          </w:p>
        </w:tc>
        <w:tc>
          <w:tcPr>
            <w:tcW w:type="dxa" w:w="2600"/>
            <w:shd w:fill="F2F2F2" w:val="clear"/>
          </w:tcPr>
          <w:p>
            <w:r>
              <w:rPr>
                <w:sz w:val="17"/>
                <w:szCs w:val="17"/>
              </w:rPr>
              <w:t xml:space="preserve">Practitioner/policy analysis</w:t>
            </w:r>
          </w:p>
        </w:tc>
        <w:tc>
          <w:tcPr>
            <w:tcW w:type="dxa" w:w="2400"/>
            <w:shd w:fill="F2F2F2" w:val="clear"/>
          </w:tcPr>
          <w:p>
            <w:r>
              <w:rPr>
                <w:sz w:val="17"/>
                <w:szCs w:val="17"/>
              </w:rPr>
              <w:t xml:space="preserve">India — Common Service Centres</w:t>
            </w:r>
          </w:p>
        </w:tc>
        <w:tc>
          <w:tcPr>
            <w:tcW w:type="dxa" w:w="1400"/>
            <w:shd w:fill="F2F2F2" w:val="clear"/>
          </w:tcPr>
          <w:p>
            <w:r>
              <w:rPr>
                <w:sz w:val="17"/>
                <w:szCs w:val="17"/>
              </w:rPr>
              <w:t xml:space="preserve">E-governance delivery</w:t>
            </w:r>
          </w:p>
        </w:tc>
      </w:tr>
      <w:tr>
        <w:tc>
          <w:tcPr>
            <w:tcW w:type="dxa" w:w="3000"/>
          </w:tcPr>
          <w:p>
            <w:r>
              <w:rPr>
                <w:sz w:val="17"/>
                <w:szCs w:val="17"/>
              </w:rPr>
              <w:t xml:space="preserve">Sinha, Gallien &amp; van den Boogaard (2026)</w:t>
            </w:r>
          </w:p>
        </w:tc>
        <w:tc>
          <w:tcPr>
            <w:tcW w:type="dxa" w:w="2600"/>
          </w:tcPr>
          <w:p>
            <w:r>
              <w:rPr>
                <w:sz w:val="17"/>
                <w:szCs w:val="17"/>
              </w:rPr>
              <w:t xml:space="preserve">Qualitative/policy analysis</w:t>
            </w:r>
          </w:p>
        </w:tc>
        <w:tc>
          <w:tcPr>
            <w:tcW w:type="dxa" w:w="2400"/>
          </w:tcPr>
          <w:p>
            <w:r>
              <w:rPr>
                <w:sz w:val="17"/>
                <w:szCs w:val="17"/>
              </w:rPr>
              <w:t xml:space="preserve">India — e-Shram</w:t>
            </w:r>
          </w:p>
        </w:tc>
        <w:tc>
          <w:tcPr>
            <w:tcW w:type="dxa" w:w="1400"/>
          </w:tcPr>
          <w:p>
            <w:r>
              <w:rPr>
                <w:sz w:val="17"/>
                <w:szCs w:val="17"/>
              </w:rPr>
              <w:t xml:space="preserve">Informal-worker registration</w:t>
            </w:r>
          </w:p>
        </w:tc>
      </w:tr>
      <w:tr>
        <w:tc>
          <w:tcPr>
            <w:tcW w:type="dxa" w:w="3000"/>
            <w:shd w:fill="F2F2F2" w:val="clear"/>
          </w:tcPr>
          <w:p>
            <w:r>
              <w:rPr>
                <w:sz w:val="17"/>
                <w:szCs w:val="17"/>
              </w:rPr>
              <w:t xml:space="preserve">Melhem (2014)</w:t>
            </w:r>
          </w:p>
        </w:tc>
        <w:tc>
          <w:tcPr>
            <w:tcW w:type="dxa" w:w="2600"/>
            <w:shd w:fill="F2F2F2" w:val="clear"/>
          </w:tcPr>
          <w:p>
            <w:r>
              <w:rPr>
                <w:sz w:val="17"/>
                <w:szCs w:val="17"/>
              </w:rPr>
              <w:t xml:space="preserve">Institutional overview (World Bank)</w:t>
            </w:r>
          </w:p>
        </w:tc>
        <w:tc>
          <w:tcPr>
            <w:tcW w:type="dxa" w:w="2400"/>
            <w:shd w:fill="F2F2F2" w:val="clear"/>
          </w:tcPr>
          <w:p>
            <w:r>
              <w:rPr>
                <w:sz w:val="17"/>
                <w:szCs w:val="17"/>
              </w:rPr>
              <w:t xml:space="preserve">India — Aadhaar</w:t>
            </w:r>
          </w:p>
        </w:tc>
        <w:tc>
          <w:tcPr>
            <w:tcW w:type="dxa" w:w="1400"/>
            <w:shd w:fill="F2F2F2" w:val="clear"/>
          </w:tcPr>
          <w:p>
            <w:r>
              <w:rPr>
                <w:sz w:val="17"/>
                <w:szCs w:val="17"/>
              </w:rPr>
              <w:t xml:space="preserve">Digital identity (baseline view)</w:t>
            </w:r>
          </w:p>
        </w:tc>
      </w:tr>
    </w:tbl>
    <w:p>
      <w:pPr>
        <w:pStyle w:val="Heading1"/>
        <w:spacing w:after="160" w:before="360"/>
      </w:pPr>
      <w:r>
        <w:t xml:space="preserve">4. Thematic Synthesis</w:t>
      </w:r>
    </w:p>
    <w:p>
      <w:pPr>
        <w:pStyle w:val="Heading2"/>
        <w:spacing w:after="120" w:before="260"/>
      </w:pPr>
      <w:r>
        <w:t xml:space="preserve">4.1 Digital identity, biometric authentication and welfare exclusion</w:t>
      </w:r>
    </w:p>
    <w:p>
      <w:pPr>
        <w:spacing w:after="160"/>
      </w:pPr>
      <w:r>
        <w:rPr>
          <w:sz w:val="22"/>
          <w:szCs w:val="22"/>
        </w:rPr>
        <w:t xml:space="preserve">This is the most contested theme in the literature, and it is contested largely within the work of a single research team, which makes the disagreement unusually easy to interpret. Muralidharan, Niehaus and Sukhtankar evaluated two different biometric-authentication interventions and reached two different conclusions. In Andhra Pradesh, where biometric smartcards were introduced to verify identity at the point of disbursing NREGS wages and Social Security Pensions, they found the technology produced "faster, more predictable, and less corrupt" payments, reduced leakage in both programmes, and did so without reducing beneficiaries' access — participants strongly preferred the new system (Muralidharan et al., 2016). In Jharkhand, evaluating mandatory Aadhaar-based biometric authentication as a precondition for receiving Public Distribution System rations, the same three researchers found the opposite trade-off: authentication did reduce fraud, but it also caused an estimated 1.5 to 2 million genuine beneficiaries to lose access, at least temporarily — and the paper's own conclusion is that this harm was "driven primarily by decisions about the way the transition was managed," not an inherent property of biometric verification itself (Muralidharan et al., 2020/2025).</w:t>
      </w:r>
    </w:p>
    <w:p>
      <w:pPr>
        <w:spacing w:after="160"/>
      </w:pPr>
      <w:r>
        <w:rPr>
          <w:sz w:val="22"/>
          <w:szCs w:val="22"/>
        </w:rPr>
        <w:t xml:space="preserve">Independent field research on the same Jharkhand PDS rollout, using survey methodology rather than the administrative-data approach above, reached a still more critical assessment. Drèze, Khalid, Khera and Somanchi (2017) titled their study "Pain without Gain" and documented widespread authentication failures translating directly into denied rations, without evidence of a corresponding gain in food security for the population studied. Khera (2017), reviewing the early Aadhaar-linked welfare literature more broadly, reaches a similarly critical position. Writing nearly a decade later, Ngullie (2025) finds the same underlying mechanism — exclusion produced by "the interplay of census and identity politics, coupled with a technological determinism" — still shaping PDS access in Nagaland, arguing that welfare-eligibility policy has allowed biometric technology to substitute for accurate population data rather than support it.</w:t>
      </w:r>
    </w:p>
    <w:p>
      <w:pPr>
        <w:spacing w:after="160"/>
      </w:pPr>
      <w:r>
        <w:rPr>
          <w:sz w:val="22"/>
          <w:szCs w:val="22"/>
        </w:rPr>
        <w:t xml:space="preserve">Read together, these five studies do not simply disagree about facts; they largely agree on the mechanism (biometric or Aadhaar-authentication failure denies genuine beneficiaries a benefit they are entitled to) and disagree about how large and how tractable the resulting harm is, and under what conditions it can be avoided. The Andhra Pradesh smartcard result (Muralidharan et al., 2016) and the Jharkhand PDS result from the same authors (Muralidharan et al., 2020/2025) point to program design and implementation quality — where in the payment chain authentication sits, and how carefully a transition is managed — as the decisive variable, not the presence of biometric technology as such. The qualitative fieldwork literature (Drèze et al., 2017; Khera, 2017; Ngullie, 2025) is more skeptical that this distinction is reliably achievable in practice at national scale, and each of these three later studies documents the same failure mode recurring years apart in different states.</w:t>
      </w:r>
    </w:p>
    <w:p>
      <w:pPr>
        <w:pStyle w:val="Heading2"/>
        <w:spacing w:after="120" w:before="260"/>
      </w:pPr>
      <w:r>
        <w:t xml:space="preserve">4.2 Digital wage payments in MGNREGA</w:t>
      </w:r>
    </w:p>
    <w:p>
      <w:pPr>
        <w:spacing w:after="160"/>
      </w:pPr>
      <w:r>
        <w:rPr>
          <w:sz w:val="22"/>
          <w:szCs w:val="22"/>
        </w:rPr>
        <w:t xml:space="preserve">A closely related but distinct sub-literature examines MGNREGA's shift to the Aadhaar-Based Payment System (ABPS) specifically for wage disbursal, and it shows the same tension resolving somewhat more one-sidedly against the digital intervention. Analysing over 31 million wage transactions across ten states in 2021-22, Bheemarasetti, De, Narayanan, Saboo and Tamang (2025) report what they describe as the first large-scale, data-based evidence "debunking officially stated claims of timely payments" attributed to ABPS, and additionally find a statistically significant disparity in payment-processing time by caste category — a dimension of exclusion not present in the earlier Andhra Pradesh smartcard literature. Basu, Raj and Sen (2024) approach the same underlying phenomenon theoretically and empirically, modelling payment delay as an implicit consumption tax on already-poor households, and report the counter-intuitive finding that higher MGNREGA participation is positively associated with payment delay — read not as evidence the programme is working, but as evidence that the poorest households have no real alternative to tolerating delay.</w:t>
      </w:r>
    </w:p>
    <w:p>
      <w:pPr>
        <w:spacing w:after="160"/>
      </w:pPr>
      <w:r>
        <w:rPr>
          <w:sz w:val="22"/>
          <w:szCs w:val="22"/>
        </w:rPr>
        <w:t xml:space="preserve">Against this largely critical picture, Das, Paul and Sharma (2023) offer a genuinely positive digital-intervention result from the same programme space: a randomised evaluation of a low-cost information-dissemination intervention — simply notifying workers when their wages had been deposited — found it substantially reduced payment delay, reduced the number of trips workers needed to make to access their pay, and improved workers' awareness of their entitlements, with effects persisting after the intervention itself ended. Read alongside Bheemarasetti et al. (2025) and Basu et al. (2024), this suggests a specific and useful distinction supported across independent studies: a digital layer that adds information without gating eligibility (Das et al., 2023) shows a clearly positive effect in this literature, while a digital layer that gates eligibility or payment on successful biometric authentication (ABPS, per Bheemarasetti et al., 2025) does not show a comparable benefit and introduces a new, caste-correlated disparity.</w:t>
      </w:r>
    </w:p>
    <w:p>
      <w:pPr>
        <w:pStyle w:val="Heading2"/>
        <w:spacing w:after="120" w:before="260"/>
      </w:pPr>
      <w:r>
        <w:t xml:space="preserve">4.3 The JAM trinity and digital financial inclusion</w:t>
      </w:r>
    </w:p>
    <w:p>
      <w:pPr>
        <w:spacing w:after="160"/>
      </w:pPr>
      <w:r>
        <w:rPr>
          <w:sz w:val="22"/>
          <w:szCs w:val="22"/>
        </w:rPr>
        <w:t xml:space="preserve">The literature on India's Jan Dhan-Aadhaar-Mobile (JAM) stack presents a similar pattern of technically-compatible but substantively-divergent findings. Ghosh (2017), using three-stage least squares analysis of household-level data, finds that Jan Dhan accounts, Aadhaar and mobile telephony are statistically complementary — each reinforces take-up of the others — with the strongest linkage between PMJDY and Aadhaar, a weaker one involving mobile telephony, and complementarity effects that grow stronger over the longer run. Using proprietary bank account-level data around PMJDY's launch, Chopra, Prabhala and Tantri (2023, working paper) similarly report a positive account-level story: "significant uptake, usage, and balance accumulation," with accounts appearing to help households hedge local economic shocks — evidence, the authors argue, that financial exclusion in India reflected a supply-side gap rather than an absence of underlying demand.</w:t>
      </w:r>
    </w:p>
    <w:p>
      <w:pPr>
        <w:spacing w:after="160"/>
      </w:pPr>
      <w:r>
        <w:rPr>
          <w:sz w:val="22"/>
          <w:szCs w:val="22"/>
        </w:rPr>
        <w:t xml:space="preserve">Mahajan (2023), working from more comprehensive national administrative data through March 2021, complicates this positive account-level picture considerably. While confirming PMJDY's scale (42.20 crore accounts, 65.55% growth since 2015), Mahajan finds that 83.7% of accountholders register a low "financial inclusion quotient," 67.6% show low account activeness, only 21% actively use their issued RuPay card, and only 7.5% access any credit facility through their account — leading to the conclusion that PMJDY solved financial inclusion's supply-side accessibility problem while leaving its demand-side, meaningful-engagement problem largely unresolved. This is not necessarily a direct contradiction of Chopra et al. (2023) or Ghosh (2017) — both of those studies examine account-level uptake and complementarity rather than a comprehensive activeness measure — but the combination illustrates a recurring pattern in this literature: studies that measure account opening and short-run usage tend to find success, while studies that measure sustained active engagement tend to find a much larger unresolved gap.</w:t>
      </w:r>
    </w:p>
    <w:p>
      <w:pPr>
        <w:spacing w:after="160"/>
      </w:pPr>
      <w:r>
        <w:rPr>
          <w:sz w:val="22"/>
          <w:szCs w:val="22"/>
        </w:rPr>
        <w:t xml:space="preserve">Duvendack, Sonne and Garikipati (2023) add a gender-specific dimension to this picture that neither the Ghosh nor the Chopra et al. nor the Mahajan studies isolate. They document a genuinely large macro-level gain — women's bank account ownership in India rose from 43% in 2014 to 78% in 2021, driven substantially by PMJDY — but argue this headline number masks a persistent "central paradox": gender parity has not been achieved even within finance-focused programmes specifically designed to close it, many women's accounts remain dormant, and a meaningful share of nominally female-held accounts are in practice operated by male family members as proxies rather than by the women account-holders themselves. Their study also highlights a specific, evidence-backed policy mechanism shown to work against this pattern: female Bank Sakhi business correspondents, who provide doorstep banking and are willing to process the smaller transaction volumes that male agents often decline to handle.</w:t>
      </w:r>
    </w:p>
    <w:p>
      <w:pPr>
        <w:pStyle w:val="Heading2"/>
        <w:spacing w:after="120" w:before="260"/>
      </w:pPr>
      <w:r>
        <w:t xml:space="preserve">4.4 Digital and gender divides in access</w:t>
      </w:r>
    </w:p>
    <w:p>
      <w:pPr>
        <w:spacing w:after="160"/>
      </w:pPr>
      <w:r>
        <w:rPr>
          <w:sz w:val="22"/>
          <w:szCs w:val="22"/>
        </w:rPr>
        <w:t xml:space="preserve">A separate strand of the literature examines who is offline or under-connected in the first place, rather than what happens once someone is nominally included in a digital system. Arora and Sapre (2026) construct parallel Digital Infrastructure and Digital Skills indices across 18 Indian states, separately for rural and urban populations, and conclude that "the 'Digital India' growth story is far from equitable," with poorer and more rural states lagging on both dimensions even as national aggregate connectivity has grown. Biradar, Deo and Kaur (2026), using a Fairlie decomposition analysis of National Sample Survey 78th-round (2020-21) microdata, go a step further methodologically: rather than simply describing a rural-urban gap, they decompose it into contributing factors and find that education access, infrastructure availability (broadband and mobile connectivity specifically), gender, age, and social-group membership each independently and measurably contribute to the gap in intermediate and advanced digital skills — meaning the rural-urban divide documented by Arora and Sapre is, at least in part, a composite of several other, more specific divides rather than a single undifferentiated geographic effect.</w:t>
      </w:r>
    </w:p>
    <w:p>
      <w:pPr>
        <w:spacing w:after="160"/>
      </w:pPr>
      <w:r>
        <w:rPr>
          <w:sz w:val="22"/>
          <w:szCs w:val="22"/>
        </w:rPr>
        <w:t xml:space="preserve">Sonne (2025) approaches the same broad question with a different method and finds a mechanism the index- and decomposition-based studies above cannot directly observe. Based on 60 structured interviews across six Indian states, Sonne's three-level framework finds that women's constrained mobile phone access and use in India is driven not only by cost or infrastructure but by individual-level digital confidence, family-level permission-seeking and monitoring of phone use, and community-level "socio-cultural norms around appropriate type and place of use." This qualitative finding is consistent with, and helps explain, the scale of the gap documented in institutional statistics reviewed alongside the academic literature in this project: national government survey data shows a 28-percentage-point gap in mobile-phone ownership between men and women (NSO Comprehensive Modular Survey — Telecom, 2025), and GSMA's Mobile Gender Gap Report 2025 places the South Asia regional mobile-internet gender gap at 32%, among the widest of any world region. Read together, the quantitative infrastructure literature (Arora &amp; Sapre, 2026; Biradar et al., 2026) and institutional statistics establish the size of the access gap, while Sonne's (2025) qualitative fieldwork is one of the few sources in this literature that explains a specific causal mechanism — intra-household control over women's technology use — rather than only its downstream size.</w:t>
      </w:r>
    </w:p>
    <w:p>
      <w:pPr>
        <w:pStyle w:val="Heading2"/>
        <w:spacing w:after="120" w:before="260"/>
      </w:pPr>
      <w:r>
        <w:t xml:space="preserve">4.5 E-governance intermediaries and informal-worker registration</w:t>
      </w:r>
    </w:p>
    <w:p>
      <w:pPr>
        <w:spacing w:after="160"/>
      </w:pPr>
      <w:r>
        <w:rPr>
          <w:sz w:val="22"/>
          <w:szCs w:val="22"/>
        </w:rPr>
        <w:t xml:space="preserve">The final theme concerns how digital public services actually reach people who lack personal devices, reliable connectivity, or digital literacy, and what happens when a digital registration system is the primary channel for a welfare programme. An early, largely institutional account of India's Aadhaar programme frames the technology optimistically: writing for the World Bank in 2014, when Aadhaar enrolment had reached 600 million people, Melhem (2014) emphasises Aadhaar's potential to identify populations previously excluded by caste- or gender-linked documentation barriers and estimates that reduced welfare-programme leakage could save on the order of $100 billion annually. This 2014 institutional framing predates nearly all of the critical academic literature reviewed in Section 4.1 above, and read against it, that later literature (Drèze et al., 2017; Muralidharan et al., 2020/2025; Ngullie, 2025) functions as roughly a decade of empirical correction to an initially optimistic institutional expectation — the inclusion potential Melhem (2014) describes was real in principle, but the exclusion risk that the later studies document in practice was not part of the original institutional framing.</w:t>
      </w:r>
    </w:p>
    <w:p>
      <w:pPr>
        <w:spacing w:after="160"/>
      </w:pPr>
      <w:r>
        <w:rPr>
          <w:sz w:val="22"/>
          <w:szCs w:val="22"/>
        </w:rPr>
        <w:t xml:space="preserve">Nanda (2022) evaluates a different part of India's digital-governance stack — Common Service Centres (CSCs), the physical, assisted access points through which many citizens without personal devices or connectivity reach digital government services, including Aadhaar updates, pension processing, legal aid (Tele-Law) and integration with the UMANG services app. Nanda's assessment is comparatively positive, positioning CSCs as a genuinely effective bridging institution, while still naming the underlying digital divide as e-governance's "most significant obstacle." The most recent study in this theme, Sinha, Gallien and van den Boogaard (2026), examines e-Shram, India's digital registration platform for informal workers, and reaches a considerably more critical assessment using the concept of "narrow formalisation": e-Shram succeeded at building a genuinely massive registration database — over 302 million workers, citing WIEGO's tracking of the platform — but the authors argue this achievement enhanced government legibility over the informal workforce without translating into substantive new welfare benefits for most of those registered, and that the platform reproduces pandemic-era exclusions of migrant workers (whose benefits do not portably follow them across states), women (limited sector-specific protections), older workers (those above 60 are excluded from registration entirely), and gig or platform workers (who lack a clear legal-recognition framework), compounded by fragmented, duplicative registration requirements across India's decentralised welfare-delivery system.</w:t>
      </w:r>
    </w:p>
    <w:p>
      <w:pPr>
        <w:spacing w:after="160"/>
      </w:pPr>
      <w:r>
        <w:rPr>
          <w:sz w:val="22"/>
          <w:szCs w:val="22"/>
        </w:rPr>
        <w:t xml:space="preserve">Read together, Nanda's (2022) relatively positive account of CSCs and Sinha et al.'s (2026) critical account of e-Shram are not actually in tension — they describe two different layers of the same digital-governance stack. Nanda's subject is a physical, human-assisted intermediation layer; Sinha et al.'s subject is a purely digital registration and eligibility layer sitting behind it. Read this way, the literature in this theme suggests that assisted, physical intermediation may be doing more of the genuine inclusion work in India's digital-governance architecture than the underlying digital registration systems themselves, echoing the Section 4.1 finding that where in the service-delivery chain a digital layer sits, and whether it is purely additive (information, physical assistance) or eligibility-gating (biometric authentication, centralised registration), is a better predictor of that layer's effect on inclusion than its presence or absence as "digital" per se.</w:t>
      </w:r>
    </w:p>
    <w:p>
      <w:pPr>
        <w:pStyle w:val="Heading1"/>
        <w:spacing w:after="160" w:before="360"/>
      </w:pPr>
      <w:r>
        <w:t xml:space="preserve">5. Cross-Study Comparison: Agreement and Disagreement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2100"/>
        <w:gridCol w:w="2600"/>
      </w:tblGrid>
      <w:tr>
        <w:trPr>
          <w:tblHeader/>
        </w:trPr>
        <w:tc>
          <w:tcPr>
            <w:tcW w:type="dxa" w:w="2400"/>
            <w:shd w:fill="1F3864" w:val="clear"/>
          </w:tcPr>
          <w:p>
            <w:r>
              <w:rPr>
                <w:b/>
                <w:bCs/>
                <w:color w:val="FFFFFF"/>
                <w:sz w:val="17"/>
                <w:szCs w:val="17"/>
              </w:rPr>
              <w:t xml:space="preserve">Question</w:t>
            </w:r>
          </w:p>
        </w:tc>
        <w:tc>
          <w:tcPr>
            <w:tcW w:type="dxa" w:w="2100"/>
            <w:shd w:fill="1F3864" w:val="clear"/>
          </w:tcPr>
          <w:p>
            <w:r>
              <w:rPr>
                <w:b/>
                <w:bCs/>
                <w:color w:val="FFFFFF"/>
                <w:sz w:val="17"/>
                <w:szCs w:val="17"/>
              </w:rPr>
              <w:t xml:space="preserve">Studies finding a positive/inclusive effect</w:t>
            </w:r>
          </w:p>
        </w:tc>
        <w:tc>
          <w:tcPr>
            <w:tcW w:type="dxa" w:w="2100"/>
            <w:shd w:fill="1F3864" w:val="clear"/>
          </w:tcPr>
          <w:p>
            <w:r>
              <w:rPr>
                <w:b/>
                <w:bCs/>
                <w:color w:val="FFFFFF"/>
                <w:sz w:val="17"/>
                <w:szCs w:val="17"/>
              </w:rPr>
              <w:t xml:space="preserve">Studies finding a negative/exclusionary effect</w:t>
            </w:r>
          </w:p>
        </w:tc>
        <w:tc>
          <w:tcPr>
            <w:tcW w:type="dxa" w:w="2600"/>
            <w:shd w:fill="1F3864" w:val="clear"/>
          </w:tcPr>
          <w:p>
            <w:r>
              <w:rPr>
                <w:b/>
                <w:bCs/>
                <w:color w:val="FFFFFF"/>
                <w:sz w:val="17"/>
                <w:szCs w:val="17"/>
              </w:rPr>
              <w:t xml:space="preserve">How the disagreement resolves</w:t>
            </w:r>
          </w:p>
        </w:tc>
      </w:tr>
      <w:tr>
        <w:tc>
          <w:tcPr>
            <w:tcW w:type="dxa" w:w="2400"/>
          </w:tcPr>
          <w:p>
            <w:r>
              <w:rPr>
                <w:sz w:val="16"/>
                <w:szCs w:val="16"/>
              </w:rPr>
              <w:t xml:space="preserve">Does biometric authentication for welfare payment improve delivery?</w:t>
            </w:r>
          </w:p>
        </w:tc>
        <w:tc>
          <w:tcPr>
            <w:tcW w:type="dxa" w:w="2100"/>
          </w:tcPr>
          <w:p>
            <w:r>
              <w:rPr>
                <w:sz w:val="16"/>
                <w:szCs w:val="16"/>
              </w:rPr>
              <w:t xml:space="preserve">Muralidharan et al. (2016) — AP smartcards, NREGS/pensions</w:t>
            </w:r>
          </w:p>
        </w:tc>
        <w:tc>
          <w:tcPr>
            <w:tcW w:type="dxa" w:w="2100"/>
          </w:tcPr>
          <w:p>
            <w:r>
              <w:rPr>
                <w:sz w:val="16"/>
                <w:szCs w:val="16"/>
              </w:rPr>
              <w:t xml:space="preserve">Drèze et al. (2017); Khera (2017); Ngullie (2025); Muralidharan et al. (2020/2025) — PDS exclusion</w:t>
            </w:r>
          </w:p>
        </w:tc>
        <w:tc>
          <w:tcPr>
            <w:tcW w:type="dxa" w:w="2600"/>
          </w:tcPr>
          <w:p>
            <w:r>
              <w:rPr>
                <w:sz w:val="16"/>
                <w:szCs w:val="16"/>
              </w:rPr>
              <w:t xml:space="preserve">Depends on whether authentication sits at disbursal (positive) or eligibility-gating (negative), and on implementation quality</w:t>
            </w:r>
          </w:p>
        </w:tc>
      </w:tr>
      <w:tr>
        <w:tc>
          <w:tcPr>
            <w:tcW w:type="dxa" w:w="2400"/>
            <w:shd w:fill="F2F2F2" w:val="clear"/>
          </w:tcPr>
          <w:p>
            <w:r>
              <w:rPr>
                <w:sz w:val="16"/>
                <w:szCs w:val="16"/>
              </w:rPr>
              <w:t xml:space="preserve">Does ABPS improve MGNREGA wage-payment timeliness?</w:t>
            </w:r>
          </w:p>
        </w:tc>
        <w:tc>
          <w:tcPr>
            <w:tcW w:type="dxa" w:w="2100"/>
            <w:shd w:fill="F2F2F2" w:val="clear"/>
          </w:tcPr>
          <w:p>
            <w:r>
              <w:rPr>
                <w:sz w:val="16"/>
                <w:szCs w:val="16"/>
              </w:rPr>
              <w:t xml:space="preserve">Official government claims, per Bheemarasetti et al. (2025)</w:t>
            </w:r>
          </w:p>
        </w:tc>
        <w:tc>
          <w:tcPr>
            <w:tcW w:type="dxa" w:w="2100"/>
            <w:shd w:fill="F2F2F2" w:val="clear"/>
          </w:tcPr>
          <w:p>
            <w:r>
              <w:rPr>
                <w:sz w:val="16"/>
                <w:szCs w:val="16"/>
              </w:rPr>
              <w:t xml:space="preserve">Bheemarasetti et al. (2025); Basu et al. (2024) — both find delay persists/worsens for poorest</w:t>
            </w:r>
          </w:p>
        </w:tc>
        <w:tc>
          <w:tcPr>
            <w:tcW w:type="dxa" w:w="2600"/>
            <w:shd w:fill="F2F2F2" w:val="clear"/>
          </w:tcPr>
          <w:p>
            <w:r>
              <w:rPr>
                <w:sz w:val="16"/>
                <w:szCs w:val="16"/>
              </w:rPr>
              <w:t xml:space="preserve">Independent data-based studies do not support the official timeliness claim</w:t>
            </w:r>
          </w:p>
        </w:tc>
      </w:tr>
      <w:tr>
        <w:tc>
          <w:tcPr>
            <w:tcW w:type="dxa" w:w="2400"/>
          </w:tcPr>
          <w:p>
            <w:r>
              <w:rPr>
                <w:sz w:val="16"/>
                <w:szCs w:val="16"/>
              </w:rPr>
              <w:t xml:space="preserve">Does a digital/information layer (not eligibility-gating) help MGNREGA workers?</w:t>
            </w:r>
          </w:p>
        </w:tc>
        <w:tc>
          <w:tcPr>
            <w:tcW w:type="dxa" w:w="2100"/>
          </w:tcPr>
          <w:p>
            <w:r>
              <w:rPr>
                <w:sz w:val="16"/>
                <w:szCs w:val="16"/>
              </w:rPr>
              <w:t xml:space="preserve">Das, Paul &amp; Sharma (2023) — RCT, payment-notification SMS</w:t>
            </w:r>
          </w:p>
        </w:tc>
        <w:tc>
          <w:tcPr>
            <w:tcW w:type="dxa" w:w="2100"/>
          </w:tcPr>
          <w:p>
            <w:r>
              <w:rPr>
                <w:sz w:val="16"/>
                <w:szCs w:val="16"/>
              </w:rPr>
              <w:t xml:space="preserve">—</w:t>
            </w:r>
          </w:p>
        </w:tc>
        <w:tc>
          <w:tcPr>
            <w:tcW w:type="dxa" w:w="2600"/>
          </w:tcPr>
          <w:p>
            <w:r>
              <w:rPr>
                <w:sz w:val="16"/>
                <w:szCs w:val="16"/>
              </w:rPr>
              <w:t xml:space="preserve">Consistent positive finding; contrasts directly with ABPS findings above</w:t>
            </w:r>
          </w:p>
        </w:tc>
      </w:tr>
      <w:tr>
        <w:tc>
          <w:tcPr>
            <w:tcW w:type="dxa" w:w="2400"/>
            <w:shd w:fill="F2F2F2" w:val="clear"/>
          </w:tcPr>
          <w:p>
            <w:r>
              <w:rPr>
                <w:sz w:val="16"/>
                <w:szCs w:val="16"/>
              </w:rPr>
              <w:t xml:space="preserve">Has PMJDY delivered meaningful financial inclusion?</w:t>
            </w:r>
          </w:p>
        </w:tc>
        <w:tc>
          <w:tcPr>
            <w:tcW w:type="dxa" w:w="2100"/>
            <w:shd w:fill="F2F2F2" w:val="clear"/>
          </w:tcPr>
          <w:p>
            <w:r>
              <w:rPr>
                <w:sz w:val="16"/>
                <w:szCs w:val="16"/>
              </w:rPr>
              <w:t xml:space="preserve">Chopra et al. (2023, WP); Ghosh (2017) — account-level uptake, complementarity</w:t>
            </w:r>
          </w:p>
        </w:tc>
        <w:tc>
          <w:tcPr>
            <w:tcW w:type="dxa" w:w="2100"/>
            <w:shd w:fill="F2F2F2" w:val="clear"/>
          </w:tcPr>
          <w:p>
            <w:r>
              <w:rPr>
                <w:sz w:val="16"/>
                <w:szCs w:val="16"/>
              </w:rPr>
              <w:t xml:space="preserve">Mahajan (2023) — low activeness/usage at national scale; Duvendack et al. (2023) — gendered proxy-account problem</w:t>
            </w:r>
          </w:p>
        </w:tc>
        <w:tc>
          <w:tcPr>
            <w:tcW w:type="dxa" w:w="2600"/>
            <w:shd w:fill="F2F2F2" w:val="clear"/>
          </w:tcPr>
          <w:p>
            <w:r>
              <w:rPr>
                <w:sz w:val="16"/>
                <w:szCs w:val="16"/>
              </w:rPr>
              <w:t xml:space="preserve">Account-opening success is well supported; sustained active/equitable use is not</w:t>
            </w:r>
          </w:p>
        </w:tc>
      </w:tr>
      <w:tr>
        <w:tc>
          <w:tcPr>
            <w:tcW w:type="dxa" w:w="2400"/>
          </w:tcPr>
          <w:p>
            <w:r>
              <w:rPr>
                <w:sz w:val="16"/>
                <w:szCs w:val="16"/>
              </w:rPr>
              <w:t xml:space="preserve">Is India's rural-urban digital divide closing?</w:t>
            </w:r>
          </w:p>
        </w:tc>
        <w:tc>
          <w:tcPr>
            <w:tcW w:type="dxa" w:w="2100"/>
          </w:tcPr>
          <w:p>
            <w:r>
              <w:rPr>
                <w:sz w:val="16"/>
                <w:szCs w:val="16"/>
              </w:rPr>
              <w:t xml:space="preserve">—</w:t>
            </w:r>
          </w:p>
        </w:tc>
        <w:tc>
          <w:tcPr>
            <w:tcW w:type="dxa" w:w="2100"/>
          </w:tcPr>
          <w:p>
            <w:r>
              <w:rPr>
                <w:sz w:val="16"/>
                <w:szCs w:val="16"/>
              </w:rPr>
              <w:t xml:space="preserve">Arora &amp; Sapre (2026); Biradar et al. (2026) — both find a persistent, structural gap</w:t>
            </w:r>
          </w:p>
        </w:tc>
        <w:tc>
          <w:tcPr>
            <w:tcW w:type="dxa" w:w="2600"/>
          </w:tcPr>
          <w:p>
            <w:r>
              <w:rPr>
                <w:sz w:val="16"/>
                <w:szCs w:val="16"/>
              </w:rPr>
              <w:t xml:space="preserve">Consistent finding across two independent 2026 studies using different methods</w:t>
            </w:r>
          </w:p>
        </w:tc>
      </w:tr>
      <w:tr>
        <w:tc>
          <w:tcPr>
            <w:tcW w:type="dxa" w:w="2400"/>
            <w:shd w:fill="F2F2F2" w:val="clear"/>
          </w:tcPr>
          <w:p>
            <w:r>
              <w:rPr>
                <w:sz w:val="16"/>
                <w:szCs w:val="16"/>
              </w:rPr>
              <w:t xml:space="preserve">Does e-Shram deliver welfare benefits proportional to its registration scale?</w:t>
            </w:r>
          </w:p>
        </w:tc>
        <w:tc>
          <w:tcPr>
            <w:tcW w:type="dxa" w:w="2100"/>
            <w:shd w:fill="F2F2F2" w:val="clear"/>
          </w:tcPr>
          <w:p>
            <w:r>
              <w:rPr>
                <w:sz w:val="16"/>
                <w:szCs w:val="16"/>
              </w:rPr>
              <w:t xml:space="preserve">Melhem (2014)-style institutional optimism about digital ID generally</w:t>
            </w:r>
          </w:p>
        </w:tc>
        <w:tc>
          <w:tcPr>
            <w:tcW w:type="dxa" w:w="2100"/>
            <w:shd w:fill="F2F2F2" w:val="clear"/>
          </w:tcPr>
          <w:p>
            <w:r>
              <w:rPr>
                <w:sz w:val="16"/>
                <w:szCs w:val="16"/>
              </w:rPr>
              <w:t xml:space="preserve">Sinha et al. (2026) — "narrow formalisation," registration without proportionate benefit</w:t>
            </w:r>
          </w:p>
        </w:tc>
        <w:tc>
          <w:tcPr>
            <w:tcW w:type="dxa" w:w="2600"/>
            <w:shd w:fill="F2F2F2" w:val="clear"/>
          </w:tcPr>
          <w:p>
            <w:r>
              <w:rPr>
                <w:sz w:val="16"/>
                <w:szCs w:val="16"/>
              </w:rPr>
              <w:t xml:space="preserve">The one directly relevant peer-reviewed study is critical; institutional optimism here is dated and pre-dates e-Shram itself</w:t>
            </w:r>
          </w:p>
        </w:tc>
      </w:tr>
    </w:tbl>
    <w:p>
      <w:pPr>
        <w:pStyle w:val="Heading1"/>
        <w:spacing w:after="160" w:before="360"/>
      </w:pPr>
      <w:r>
        <w:t xml:space="preserve">6. Common Themes Across the Literature</w:t>
      </w:r>
    </w:p>
    <w:p>
      <w:pPr>
        <w:pStyle w:val="ListParagraph"/>
        <w:numPr>
          <w:ilvl w:val="0"/>
          <w:numId w:val="3"/>
        </w:numPr>
        <w:spacing w:after="120"/>
      </w:pPr>
      <w:r>
        <w:rPr>
          <w:sz w:val="22"/>
          <w:szCs w:val="22"/>
        </w:rPr>
        <w:t xml:space="preserve">A recurring distinction between eligibility-gating and disbursal/information-layer digitisation. Across three independent themes (PDS authentication, MGNREGA payments, and the JAM trinity), studies that examine a digital layer used to verify or gate eligibility (biometric PDS authentication, ABPS) tend to find exclusion effects, while studies examining a digital layer used to disburse, notify, or add information without gating eligibility (AP smartcards at disbursal, SMS payment notifications, PMJDY account-opening itself) tend to find more consistently positive effects.</w:t>
      </w:r>
    </w:p>
    <w:p>
      <w:pPr>
        <w:pStyle w:val="ListParagraph"/>
        <w:numPr>
          <w:ilvl w:val="0"/>
          <w:numId w:val="3"/>
        </w:numPr>
        <w:spacing w:after="120"/>
      </w:pPr>
      <w:r>
        <w:rPr>
          <w:sz w:val="22"/>
          <w:szCs w:val="22"/>
        </w:rPr>
        <w:t xml:space="preserve">A consistent "registration/access versus sustained use" gap. In PMJDY (Mahajan, 2023; Duvendack et al., 2023) and in e-Shram (Sinha et al., 2026), the literature repeatedly finds that reaching a large registration or account-opening number is measurably easier than converting that registration into active, equitable, ongoing benefit — a pattern that recurs across studies using entirely different methods and datasets.</w:t>
      </w:r>
    </w:p>
    <w:p>
      <w:pPr>
        <w:pStyle w:val="ListParagraph"/>
        <w:numPr>
          <w:ilvl w:val="0"/>
          <w:numId w:val="3"/>
        </w:numPr>
        <w:spacing w:after="120"/>
      </w:pPr>
      <w:r>
        <w:rPr>
          <w:sz w:val="22"/>
          <w:szCs w:val="22"/>
        </w:rPr>
        <w:t xml:space="preserve">Exclusion falls disproportionately on already-disadvantaged groups. Where studies examine who specifically is excluded, the same groups recur: the poorest (Basu et al., 2024), particular castes (Bheemarasetti et al., 2025), women (Sonne, 2025; Duvendack et al., 2023), migrant and older workers (Sinha et al., 2026), and residents of poorer/more rural states (Arora &amp; Sapre, 2026; Biradar et al., 2026).</w:t>
      </w:r>
    </w:p>
    <w:p>
      <w:pPr>
        <w:pStyle w:val="ListParagraph"/>
        <w:numPr>
          <w:ilvl w:val="0"/>
          <w:numId w:val="3"/>
        </w:numPr>
        <w:spacing w:after="120"/>
      </w:pPr>
      <w:r>
        <w:rPr>
          <w:sz w:val="22"/>
          <w:szCs w:val="22"/>
        </w:rPr>
        <w:t xml:space="preserve">Implementation quality, not technology choice alone, repeatedly emerges as the decisive variable. This is most explicit in Muralidharan et al.'s (2020/2025) own conclusion about their Jharkhand PDS study, but the same theme — that a well-managed transition or a well-designed digital layer performs differently from a poorly-managed one — recurs implicitly across the MGNREGA and e-governance themes.</w:t>
      </w:r>
    </w:p>
    <w:p>
      <w:pPr>
        <w:pStyle w:val="Heading1"/>
        <w:spacing w:after="160" w:before="360"/>
      </w:pPr>
      <w:r>
        <w:t xml:space="preserve">7. Points of Disagreement and Contested Findings</w:t>
      </w:r>
    </w:p>
    <w:p>
      <w:pPr>
        <w:spacing w:after="160"/>
      </w:pPr>
      <w:r>
        <w:rPr>
          <w:sz w:val="22"/>
          <w:szCs w:val="22"/>
        </w:rPr>
        <w:t xml:space="preserve">Not every tension in this literature resolves as neatly as Section 6 suggests. Three genuine disagreements are worth stating plainly rather than synthesising away:</w:t>
      </w:r>
    </w:p>
    <w:p>
      <w:pPr>
        <w:pStyle w:val="ListParagraph"/>
        <w:numPr>
          <w:ilvl w:val="0"/>
          <w:numId w:val="2"/>
        </w:numPr>
        <w:spacing w:after="80"/>
      </w:pPr>
      <w:r>
        <w:rPr>
          <w:sz w:val="22"/>
          <w:szCs w:val="22"/>
        </w:rPr>
        <w:t xml:space="preserve">Muralidharan et al.'s own two studies (2016; 2020/2025) reach different conclusions about biometric authentication using comparably rigorous methods, in different states, for different welfare programmes, a few years apart. This project treats this as evidence that biometric authentication's effect is genuinely context-dependent rather than resolving it toward either study's conclusion as more "correct."</w:t>
      </w:r>
    </w:p>
    <w:p>
      <w:pPr>
        <w:pStyle w:val="ListParagraph"/>
        <w:numPr>
          <w:ilvl w:val="0"/>
          <w:numId w:val="2"/>
        </w:numPr>
        <w:spacing w:after="80"/>
      </w:pPr>
      <w:r>
        <w:rPr>
          <w:sz w:val="22"/>
          <w:szCs w:val="22"/>
        </w:rPr>
        <w:t xml:space="preserve">Chopra, Prabhala and Tantri's (2023) positive account-level PMJDY findings and Mahajan's (2023) critical national-activeness findings are not strictly measuring the same outcome (uptake/shock-hedging versus a composite financial-inclusion quotient), and this project did not find a single study that reconciles both outcome measures on the same sample — so whether these two studies actually disagree, or are simply answering different questions, cannot be fully resolved from the literature located here.</w:t>
      </w:r>
    </w:p>
    <w:p>
      <w:pPr>
        <w:pStyle w:val="ListParagraph"/>
        <w:numPr>
          <w:ilvl w:val="0"/>
          <w:numId w:val="2"/>
        </w:numPr>
        <w:spacing w:after="80"/>
      </w:pPr>
      <w:r>
        <w:rPr>
          <w:sz w:val="22"/>
          <w:szCs w:val="22"/>
        </w:rPr>
        <w:t xml:space="preserve">The Chopra, Prabhala and Tantri (2023) study is, as of this writing, a working paper (posted on SSRN, most recently revised October 2023) rather than a peer-reviewed published article, unlike every other economics/finance study in this synthesis. Its findings are reported here with that caveat attached, since working-paper findings have not been through the same review process as the published studies it is compared against.</w:t>
      </w:r>
    </w:p>
    <w:p>
      <w:pPr>
        <w:pStyle w:val="Heading1"/>
        <w:spacing w:after="160" w:before="360"/>
      </w:pPr>
      <w:r>
        <w:t xml:space="preserve">8. Evidence Gaps</w:t>
      </w:r>
    </w:p>
    <w:p>
      <w:pPr>
        <w:spacing w:after="160"/>
      </w:pPr>
      <w:r>
        <w:rPr>
          <w:sz w:val="22"/>
          <w:szCs w:val="22"/>
        </w:rPr>
        <w:t xml:space="preserve">Several questions this project set out to answer turned out not to have a clear peer-reviewed academic answer, and are recorded here as gaps rather than filled with lower-quality sources presented as equivalent:</w:t>
      </w:r>
    </w:p>
    <w:p>
      <w:pPr>
        <w:pStyle w:val="ListParagraph"/>
        <w:numPr>
          <w:ilvl w:val="0"/>
          <w:numId w:val="2"/>
        </w:numPr>
        <w:spacing w:after="80"/>
      </w:pPr>
      <w:r>
        <w:rPr>
          <w:sz w:val="22"/>
          <w:szCs w:val="22"/>
        </w:rPr>
        <w:t xml:space="preserve">No peer-reviewed academic evaluation of CoWIN's digital-first design and its exclusion effects during India's COVID-19 vaccination campaign was located. What is publicly known about CoWIN's urban skew and its shift toward offline registration rests on institutional/journalistic reporting, not the peer-reviewed literature that covers every other theme in this project.</w:t>
      </w:r>
    </w:p>
    <w:p>
      <w:pPr>
        <w:pStyle w:val="ListParagraph"/>
        <w:numPr>
          <w:ilvl w:val="0"/>
          <w:numId w:val="2"/>
        </w:numPr>
        <w:spacing w:after="80"/>
      </w:pPr>
      <w:r>
        <w:rPr>
          <w:sz w:val="22"/>
          <w:szCs w:val="22"/>
        </w:rPr>
        <w:t xml:space="preserve">No peer-reviewed academic evaluation of BHASHINI (India's government multilingual-access initiative) was located; it is a newer initiative and appears only in government/policy sources at the time of writing.</w:t>
      </w:r>
    </w:p>
    <w:p>
      <w:pPr>
        <w:pStyle w:val="ListParagraph"/>
        <w:numPr>
          <w:ilvl w:val="0"/>
          <w:numId w:val="2"/>
        </w:numPr>
        <w:spacing w:after="80"/>
      </w:pPr>
      <w:r>
        <w:rPr>
          <w:sz w:val="22"/>
          <w:szCs w:val="22"/>
        </w:rPr>
        <w:t xml:space="preserve">Longitudinal evidence is thin. Most studies in this literature — including the most rigorous ones — are single-round snapshots (a single survey wave, a single year of transaction data, a single set of interviews) rather than evidence tracking the same beneficiaries' digital-inclusion experience over multiple years.</w:t>
      </w:r>
    </w:p>
    <w:p>
      <w:pPr>
        <w:pStyle w:val="ListParagraph"/>
        <w:numPr>
          <w:ilvl w:val="0"/>
          <w:numId w:val="2"/>
        </w:numPr>
        <w:spacing w:after="80"/>
      </w:pPr>
      <w:r>
        <w:rPr>
          <w:sz w:val="22"/>
          <w:szCs w:val="22"/>
        </w:rPr>
        <w:t xml:space="preserve">Very few studies causally isolate gender from correlated factors (age, caste, income, geography) in explaining digital exclusion. Biradar et al.'s (2026) decomposition analysis is the closest exception located here, but it is descriptive/decompositional rather than causal, and Sonne's (2025) qualitative work, while mechanistic, is not designed to produce a causal effect size.</w:t>
      </w:r>
    </w:p>
    <w:p>
      <w:pPr>
        <w:pStyle w:val="ListParagraph"/>
        <w:numPr>
          <w:ilvl w:val="0"/>
          <w:numId w:val="2"/>
        </w:numPr>
        <w:spacing w:after="80"/>
      </w:pPr>
      <w:r>
        <w:rPr>
          <w:sz w:val="22"/>
          <w:szCs w:val="22"/>
        </w:rPr>
        <w:t xml:space="preserve">e-Shram-specific peer-reviewed literature is sparse — Sinha, Gallien and van den Boogaard (2026) is, as far as this search located, one of very few academic treatments of the platform to date, meaning much of what is publicly claimed about e-Shram's outcomes still rests on advocacy-sector reporting (e.g. WIEGO) rather than a developed peer-reviewed literature.</w:t>
      </w:r>
    </w:p>
    <w:p>
      <w:pPr>
        <w:pStyle w:val="ListParagraph"/>
        <w:numPr>
          <w:ilvl w:val="0"/>
          <w:numId w:val="2"/>
        </w:numPr>
        <w:spacing w:after="80"/>
      </w:pPr>
      <w:r>
        <w:rPr>
          <w:sz w:val="22"/>
          <w:szCs w:val="22"/>
        </w:rPr>
        <w:t xml:space="preserve">No study located here directly compares outcome measures across the PMJDY papers on a common definition of "active use" — Section 7 records this as an unresolved measurement-comparability gap rather than a resolved disagreement.</w:t>
      </w:r>
    </w:p>
    <w:p>
      <w:pPr>
        <w:pStyle w:val="Heading1"/>
        <w:spacing w:after="160" w:before="360"/>
      </w:pPr>
      <w:r>
        <w:t xml:space="preserve">9. Synthesis: What Does the Literature Show?</w:t>
      </w:r>
    </w:p>
    <w:p>
      <w:pPr>
        <w:spacing w:after="160"/>
      </w:pPr>
      <w:r>
        <w:rPr>
          <w:sz w:val="22"/>
          <w:szCs w:val="22"/>
        </w:rPr>
        <w:t xml:space="preserve">The literature reviewed here does not support a single, simple verdict that digitisation of public services in India has straightforwardly "reduced" or "widened" access gaps — and the more striking finding of this synthesis is that this ambiguity is not a failure of the literature to agree, but a genuinely consistent pattern running through it. Across every theme examined — PDS authentication (Section 4.1), MGNREGA payments (Section 4.2), the JAM trinity (Section 4.3), access and gender divides (Section 4.4), and e-governance intermediaries (Section 4.5) — the same distinction recurs: digitisation that adds information, assistance, or disbursal efficiency without gating eligibility tends, across independent studies using different methods, to show positive or neutral effects on inclusion (Muralidharan et al., 2016; Das et al., 2023; Nanda, 2022; Ghosh, 2017), while digitisation that gates eligibility or benefit receipt behind a biometric, app-based, or centralised-registration step tends, across an equally independent set of studies, to produce measurable exclusion of genuine beneficiaries, concentrated among groups already disadvantaged on other grounds (Drèze et al., 2017; Muralidharan et al., 2020/2025; Bheemarasetti et al., 2025; Sinha et al., 2026; Ngullie, 2025).</w:t>
      </w:r>
    </w:p>
    <w:p>
      <w:pPr>
        <w:spacing w:after="160"/>
      </w:pPr>
      <w:r>
        <w:rPr>
          <w:sz w:val="22"/>
          <w:szCs w:val="22"/>
        </w:rPr>
        <w:t xml:space="preserve">A second consistent finding, cutting across the financial-inclusion and worker-registration themes specifically, is that the literature repeatedly documents success at the "first mile" of digital public services — accounts opened, workers registered, identities issued — alongside a much less resolved "last mile" of sustained, active, equitable benefit (Mahajan, 2023; Duvendack et al., 2023; Sinha et al., 2026). Where studies measure registration or account-opening, they tend to report success; where studies measure ongoing active use or benefit receipt, they tend to report a substantially less complete picture. Neither finding is wrong — they are measuring different stages of the same delivery chain — but a synthesis that only cited the registration-stage literature, or only the benefit-delivery-stage literature, would materially misrepresent what the evidence as a whole shows.</w:t>
      </w:r>
    </w:p>
    <w:p>
      <w:pPr>
        <w:spacing w:after="160"/>
      </w:pPr>
      <w:r>
        <w:rPr>
          <w:sz w:val="22"/>
          <w:szCs w:val="22"/>
        </w:rPr>
        <w:t xml:space="preserve">Taken together, the literature supports treating "has digitisation helped or hurt access" as the wrong level of question. The more precise question the evidence actually answers is: at which point in a service's delivery chain does the digital layer sit, and is it eligibility-gating or purely additive? On that more precise question, this literature gives a genuinely consistent answer.</w:t>
      </w:r>
    </w:p>
    <w:p>
      <w:pPr>
        <w:pStyle w:val="Heading1"/>
        <w:spacing w:after="160" w:before="360"/>
      </w:pPr>
      <w:r>
        <w:t xml:space="preserve">10. Policy Implications Drawn from the Literature</w:t>
      </w:r>
    </w:p>
    <w:p>
      <w:pPr>
        <w:spacing w:after="160"/>
      </w:pPr>
      <w:r>
        <w:rPr>
          <w:sz w:val="22"/>
          <w:szCs w:val="22"/>
        </w:rPr>
        <w:t xml:space="preserve">The recommendations below are drawn directly from what the cited studies themselves argue or imply, not proposed independently of the evidence base:</w:t>
      </w:r>
    </w:p>
    <w:p>
      <w:pPr>
        <w:pStyle w:val="ListParagraph"/>
        <w:numPr>
          <w:ilvl w:val="0"/>
          <w:numId w:val="4"/>
        </w:numPr>
        <w:spacing w:after="120"/>
      </w:pPr>
      <w:r>
        <w:rPr>
          <w:sz w:val="22"/>
          <w:szCs w:val="22"/>
        </w:rPr>
        <w:t xml:space="preserve">Separate authentication/eligibility-gating from disbursal wherever possible. This follows directly from Muralidharan et al.'s (2016; 2020/2025) own contrast between their two studies, and from the Das et al. (2023) versus Bheemarasetti et al. (2025) contrast in the MGNREGA literature: digital layers that assist disbursal perform better in this literature than digital layers that gate eligibility.</w:t>
      </w:r>
    </w:p>
    <w:p>
      <w:pPr>
        <w:pStyle w:val="ListParagraph"/>
        <w:numPr>
          <w:ilvl w:val="0"/>
          <w:numId w:val="4"/>
        </w:numPr>
        <w:spacing w:after="120"/>
      </w:pPr>
      <w:r>
        <w:rPr>
          <w:sz w:val="22"/>
          <w:szCs w:val="22"/>
        </w:rPr>
        <w:t xml:space="preserve">Treat implementation-transition management as a first-order design variable, not an afterthought. Muralidharan et al. (2020/2025) explicitly attribute their study's exclusion finding to how the transition was managed, not to biometric technology as such — implying transition design is itself a policy lever.</w:t>
      </w:r>
    </w:p>
    <w:p>
      <w:pPr>
        <w:pStyle w:val="ListParagraph"/>
        <w:numPr>
          <w:ilvl w:val="0"/>
          <w:numId w:val="4"/>
        </w:numPr>
        <w:spacing w:after="120"/>
      </w:pPr>
      <w:r>
        <w:rPr>
          <w:sz w:val="22"/>
          <w:szCs w:val="22"/>
        </w:rPr>
        <w:t xml:space="preserve">Measure and publish active-use and benefit-delivery rates, not only registration or account-opening counts. Mahajan (2023), Duvendack et al. (2023), and Sinha et al. (2026) each independently show that registration-stage metrics conceal a much less complete benefit-delivery-stage picture; official reporting that stops at registration numbers, per this literature, systematically overstates programme success.</w:t>
      </w:r>
    </w:p>
    <w:p>
      <w:pPr>
        <w:pStyle w:val="ListParagraph"/>
        <w:numPr>
          <w:ilvl w:val="0"/>
          <w:numId w:val="4"/>
        </w:numPr>
        <w:spacing w:after="120"/>
      </w:pPr>
      <w:r>
        <w:rPr>
          <w:sz w:val="22"/>
          <w:szCs w:val="22"/>
        </w:rPr>
        <w:t xml:space="preserve">Invest specifically in gender-targeted interventions that address intra-household control, not only device/data affordability. Sonne's (2025) finding that family permission-seeking and monitoring — not only cost — constrain women's phone use implies that supply-side affordability programmes alone, per this literature, are addressing only part of the mechanism.</w:t>
      </w:r>
    </w:p>
    <w:p>
      <w:pPr>
        <w:pStyle w:val="ListParagraph"/>
        <w:numPr>
          <w:ilvl w:val="0"/>
          <w:numId w:val="4"/>
        </w:numPr>
        <w:spacing w:after="120"/>
      </w:pPr>
      <w:r>
        <w:rPr>
          <w:sz w:val="22"/>
          <w:szCs w:val="22"/>
        </w:rPr>
        <w:t xml:space="preserve">Preserve and invest in physical, assisted intermediation (Common Service Centres) rather than treating it as a transitional stopgap. Nanda (2022) frames CSCs as a genuinely effective bridging institution, and the contrast with Sinha et al.'s (2026) more critical e-Shram findings suggests assisted intermediation may be doing more inclusion work than purely digital registration layers.</w:t>
      </w:r>
    </w:p>
    <w:p>
      <w:pPr>
        <w:pStyle w:val="ListParagraph"/>
        <w:numPr>
          <w:ilvl w:val="0"/>
          <w:numId w:val="4"/>
        </w:numPr>
        <w:spacing w:after="120"/>
      </w:pPr>
      <w:r>
        <w:rPr>
          <w:sz w:val="22"/>
          <w:szCs w:val="22"/>
        </w:rPr>
        <w:t xml:space="preserve">Commission dedicated peer-reviewed evaluation of CoWIN and BHASHINI. Section 8 identifies both as significant gaps in the current peer-reviewed literature relative to their policy salience; the pattern found elsewhere in this literature (eligibility-gating tends to exclude; purely additive digital layers tend to help) cannot currently be tested against either programme with academic-quality evidence.</w:t>
      </w:r>
    </w:p>
    <w:p>
      <w:pPr>
        <w:pStyle w:val="Heading1"/>
        <w:spacing w:after="160" w:before="360"/>
      </w:pPr>
      <w:r>
        <w:t xml:space="preserve">11. Limitations of This Review</w:t>
      </w:r>
    </w:p>
    <w:p>
      <w:pPr>
        <w:pStyle w:val="ListParagraph"/>
        <w:numPr>
          <w:ilvl w:val="0"/>
          <w:numId w:val="2"/>
        </w:numPr>
        <w:spacing w:after="80"/>
      </w:pPr>
      <w:r>
        <w:rPr>
          <w:sz w:val="22"/>
          <w:szCs w:val="22"/>
        </w:rPr>
        <w:t xml:space="preserve">This is a literature synthesis, not new primary research; every finding reported here is only as reliable as the underlying study it is drawn from, and this project did not independently re-analyse any dataset.</w:t>
      </w:r>
    </w:p>
    <w:p>
      <w:pPr>
        <w:pStyle w:val="ListParagraph"/>
        <w:numPr>
          <w:ilvl w:val="0"/>
          <w:numId w:val="2"/>
        </w:numPr>
        <w:spacing w:after="80"/>
      </w:pPr>
      <w:r>
        <w:rPr>
          <w:sz w:val="22"/>
          <w:szCs w:val="22"/>
        </w:rPr>
        <w:t xml:space="preserve">Search-based literature discovery, even carefully verified, is not equivalent to a systematic review with defined database coverage; some relevant peer-reviewed studies almost certainly exist that this process did not locate.</w:t>
      </w:r>
    </w:p>
    <w:p>
      <w:pPr>
        <w:pStyle w:val="ListParagraph"/>
        <w:numPr>
          <w:ilvl w:val="0"/>
          <w:numId w:val="2"/>
        </w:numPr>
        <w:spacing w:after="80"/>
      </w:pPr>
      <w:r>
        <w:rPr>
          <w:sz w:val="22"/>
          <w:szCs w:val="22"/>
        </w:rPr>
        <w:t xml:space="preserve">Several sources were read via their DOI-page or repository-mirror abstract/summary rather than the complete full text (noted in data/ACADEMIC_SOURCES.md for each affected source), which may miss nuances in a paper's discussion, robustness checks, or stated limitations.</w:t>
      </w:r>
    </w:p>
    <w:p>
      <w:pPr>
        <w:pStyle w:val="ListParagraph"/>
        <w:numPr>
          <w:ilvl w:val="0"/>
          <w:numId w:val="2"/>
        </w:numPr>
        <w:spacing w:after="80"/>
      </w:pPr>
      <w:r>
        <w:rPr>
          <w:sz w:val="22"/>
          <w:szCs w:val="22"/>
        </w:rPr>
        <w:t xml:space="preserve">One source (Chopra, Prabhala &amp; Tantri) is a working paper rather than a peer-reviewed publication and is flagged as such wherever it is cited; its findings carry correspondingly less certainty than the published studies alongside it.</w:t>
      </w:r>
    </w:p>
    <w:p>
      <w:pPr>
        <w:pStyle w:val="ListParagraph"/>
        <w:numPr>
          <w:ilvl w:val="0"/>
          <w:numId w:val="2"/>
        </w:numPr>
        <w:spacing w:after="80"/>
      </w:pPr>
      <w:r>
        <w:rPr>
          <w:sz w:val="22"/>
          <w:szCs w:val="22"/>
        </w:rPr>
        <w:t xml:space="preserve">This synthesis focuses on English-language sources retrievable through general web search; literature published only in Indian regional languages, or held only in subscription databases this project's tools do not access, is not represented here.</w:t>
      </w:r>
    </w:p>
    <w:p>
      <w:pPr>
        <w:pStyle w:val="Heading1"/>
        <w:spacing w:after="160" w:before="360"/>
      </w:pPr>
      <w:r>
        <w:t xml:space="preserve">12. References</w:t>
      </w:r>
    </w:p>
    <w:p>
      <w:pPr>
        <w:pStyle w:val="Heading2"/>
        <w:spacing w:after="120" w:before="260"/>
      </w:pPr>
      <w:r>
        <w:t xml:space="preserve">Academic and working papers</w:t>
      </w:r>
    </w:p>
    <w:p>
      <w:pPr>
        <w:spacing w:after="160"/>
      </w:pPr>
      <w:r>
        <w:rPr>
          <w:sz w:val="20"/>
          <w:szCs w:val="20"/>
        </w:rPr>
        <w:t xml:space="preserve">Arora, R., &amp; Sapre, N. (2026). Rural–urban digital divide: Evidence from Indian states. International Journal of Finance &amp; Economics, 31(2), 2912–2932. https://doi.org/10.1002/ijfe.70045</w:t>
      </w:r>
    </w:p>
    <w:p>
      <w:pPr>
        <w:spacing w:after="160"/>
      </w:pPr>
      <w:r>
        <w:rPr>
          <w:sz w:val="20"/>
          <w:szCs w:val="20"/>
        </w:rPr>
        <w:t xml:space="preserve">Basu, P., Raj, R. S. N., &amp; Sen, K. (2024). Payment delay in workfare programmes and household welfare: Theory and some evidence from India. Manchester School, 92(2), 93–121. https://doi.org/10.1111/manc.12460</w:t>
      </w:r>
    </w:p>
    <w:p>
      <w:pPr>
        <w:spacing w:after="160"/>
      </w:pPr>
      <w:r>
        <w:rPr>
          <w:sz w:val="20"/>
          <w:szCs w:val="20"/>
        </w:rPr>
        <w:t xml:space="preserve">Bheemarasetti, S., De, A., Narayanan, R., Saboo, P., &amp; Tamang, L. (2025). MGNREGA as a technological laboratory: Analysing wage payment delays as a result of two digital interventions. Indian Journal of Labour Economics, 68(2), 681–706. https://doi.org/10.1007/s41027-024-00539-9</w:t>
      </w:r>
    </w:p>
    <w:p>
      <w:pPr>
        <w:spacing w:after="160"/>
      </w:pPr>
      <w:r>
        <w:rPr>
          <w:sz w:val="20"/>
          <w:szCs w:val="20"/>
        </w:rPr>
        <w:t xml:space="preserve">Biradar, J., Deo, S., &amp; Kaur, S. (2026). Rural–urban digital divide in India: A decomposition analysis. Journal of Social and Economic Development. https://doi.org/10.1007/s40847-026-00500-0</w:t>
      </w:r>
    </w:p>
    <w:p>
      <w:pPr>
        <w:spacing w:after="160"/>
      </w:pPr>
      <w:r>
        <w:rPr>
          <w:sz w:val="20"/>
          <w:szCs w:val="20"/>
        </w:rPr>
        <w:t xml:space="preserve">Chopra, Y., Prabhala, N., &amp; Tantri, P. L. (2023). Bank accounts for the unbanked: Evidence from a big bang experiment (Working paper, first posted 2017, revised October 2023). SSRN. https://papers.ssrn.com/sol3/papers.cfm?abstract_id=2919091</w:t>
      </w:r>
    </w:p>
    <w:p>
      <w:pPr>
        <w:spacing w:after="160"/>
      </w:pPr>
      <w:r>
        <w:rPr>
          <w:sz w:val="20"/>
          <w:szCs w:val="20"/>
        </w:rPr>
        <w:t xml:space="preserve">Das, U., Paul, A., &amp; Sharma, M. (2023). Reducing delay in payments in welfare programs: Experimental evidence from an information dissemination intervention. World Bank Economic Review, 37(3), 494–517. https://doi.org/10.1093/wber/lhad011</w:t>
      </w:r>
    </w:p>
    <w:p>
      <w:pPr>
        <w:spacing w:after="160"/>
      </w:pPr>
      <w:r>
        <w:rPr>
          <w:sz w:val="20"/>
          <w:szCs w:val="20"/>
        </w:rPr>
        <w:t xml:space="preserve">Drèze, J., Khalid, N., Khera, R., &amp; Somanchi, A. (2017). Aadhaar and food security in Jharkhand: Pain without gain? Economic and Political Weekly, 52(50). https://www.epw.in/journal/2017/50/special-articles/aadhaar-and-food-security-jharkhand.html</w:t>
      </w:r>
    </w:p>
    <w:p>
      <w:pPr>
        <w:spacing w:after="160"/>
      </w:pPr>
      <w:r>
        <w:rPr>
          <w:sz w:val="20"/>
          <w:szCs w:val="20"/>
        </w:rPr>
        <w:t xml:space="preserve">Duvendack, M., Sonne, L., &amp; Garikipati, S. (2023). Gender inclusivity of India's digital financial revolution for attainment of SDGs: Macro achievements and the micro experiences of targeted initiatives. European Journal of Development Research, 35(6), 1369–1391. https://doi.org/10.1057/s41287-023-00585-x</w:t>
      </w:r>
    </w:p>
    <w:p>
      <w:pPr>
        <w:spacing w:after="160"/>
      </w:pPr>
      <w:r>
        <w:rPr>
          <w:sz w:val="20"/>
          <w:szCs w:val="20"/>
        </w:rPr>
        <w:t xml:space="preserve">Ghosh, S. (2017). Financial inclusion, biometric identification and mobile: Unlocking the JAM trinity. International Journal of Development Issues, 16(2), 190–213. https://doi.org/10.1108/IJDI-02-2017-0012</w:t>
      </w:r>
    </w:p>
    <w:p>
      <w:pPr>
        <w:spacing w:after="160"/>
      </w:pPr>
      <w:r>
        <w:rPr>
          <w:sz w:val="20"/>
          <w:szCs w:val="20"/>
        </w:rPr>
        <w:t xml:space="preserve">Khera, R. (2017). Impact of Aadhaar on welfare programmes. Economic and Political Weekly, 52(50). https://www.epw.in/journal/2017/50/special-articles/impact-aadhaar-welfare-programmes.html</w:t>
      </w:r>
    </w:p>
    <w:p>
      <w:pPr>
        <w:spacing w:after="160"/>
      </w:pPr>
      <w:r>
        <w:rPr>
          <w:sz w:val="20"/>
          <w:szCs w:val="20"/>
        </w:rPr>
        <w:t xml:space="preserve">Mahajan, S. (2023). Financial inclusion in India: Achieving quantity, but waiting for quality. Economic and Political Weekly, 58(3). https://www.epw.in/engage/article/financial-inclusion-india-achieving-quantity</w:t>
      </w:r>
    </w:p>
    <w:p>
      <w:pPr>
        <w:spacing w:after="160"/>
      </w:pPr>
      <w:r>
        <w:rPr>
          <w:sz w:val="20"/>
          <w:szCs w:val="20"/>
        </w:rPr>
        <w:t xml:space="preserve">Melhem, S. (2014, April 25). Creating 1.2 billion unique eIDs: Lessons from India. World Bank Blogs — Digital Development. https://blogs.worldbank.org/en/digital-development/creating-12-billion-unique-eids-lessons-india</w:t>
      </w:r>
    </w:p>
    <w:p>
      <w:pPr>
        <w:spacing w:after="160"/>
      </w:pPr>
      <w:r>
        <w:rPr>
          <w:sz w:val="20"/>
          <w:szCs w:val="20"/>
        </w:rPr>
        <w:t xml:space="preserve">Muralidharan, K., Niehaus, P., &amp; Sukhtankar, S. (2016). Building state capacity: Evidence from biometric smartcards in India. American Economic Review, 106(10), 2895–2929. https://doi.org/10.1257/aer.20141346</w:t>
      </w:r>
    </w:p>
    <w:p>
      <w:pPr>
        <w:spacing w:after="160"/>
      </w:pPr>
      <w:r>
        <w:rPr>
          <w:sz w:val="20"/>
          <w:szCs w:val="20"/>
        </w:rPr>
        <w:t xml:space="preserve">Muralidharan, K., Niehaus, P., &amp; Sukhtankar, S. (2025). Identity verification standards in welfare programs: Experimental evidence from India. Review of Economics and Statistics, 107(2), 372–392. (Originally circulated as NBER Working Paper No. 26744, 2020.) https://www.nber.org/papers/w26744</w:t>
      </w:r>
    </w:p>
    <w:p>
      <w:pPr>
        <w:spacing w:after="160"/>
      </w:pPr>
      <w:r>
        <w:rPr>
          <w:sz w:val="20"/>
          <w:szCs w:val="20"/>
        </w:rPr>
        <w:t xml:space="preserve">Nanda, S. (2022). India's e-governance journey: Looking through Common Service Centres. Indian Journal of Public Administration, 68(4), 599–609. https://doi.org/10.1177/00195561221098108</w:t>
      </w:r>
    </w:p>
    <w:p>
      <w:pPr>
        <w:spacing w:after="160"/>
      </w:pPr>
      <w:r>
        <w:rPr>
          <w:sz w:val="20"/>
          <w:szCs w:val="20"/>
        </w:rPr>
        <w:t xml:space="preserve">Ngullie, O. G. (2025). Examining exclusions in the Public Distribution System: A policy ethics perspective on ensuring the right to food. Indian Public Policy Review, 6(1), 123–141. https://doi.org/10.55763/ippr.2025.06.01.004</w:t>
      </w:r>
    </w:p>
    <w:p>
      <w:pPr>
        <w:spacing w:after="160"/>
      </w:pPr>
      <w:r>
        <w:rPr>
          <w:sz w:val="20"/>
          <w:szCs w:val="20"/>
        </w:rPr>
        <w:t xml:space="preserve">Sinha, H., Gallien, M., &amp; van den Boogaard, V. (2026). Narrow formalisation: Informal workers, social protection and digital registration in India. Global Social Policy, 26(2). https://doi.org/10.1177/14680181261416392</w:t>
      </w:r>
    </w:p>
    <w:p>
      <w:pPr>
        <w:spacing w:after="160"/>
      </w:pPr>
      <w:r>
        <w:rPr>
          <w:sz w:val="20"/>
          <w:szCs w:val="20"/>
        </w:rPr>
        <w:t xml:space="preserve">Sonne, L. (2025). Digital revolution and the gender divide: Factors affecting mobile phone use in India. Information, Communication &amp; Society, 28(3), 471–491. https://doi.org/10.1080/1369118X.2024.2420034</w:t>
      </w:r>
    </w:p>
    <w:p>
      <w:pPr>
        <w:pStyle w:val="Heading2"/>
        <w:spacing w:after="120" w:before="260"/>
      </w:pPr>
      <w:r>
        <w:t xml:space="preserve">Government and institutional reports</w:t>
      </w:r>
    </w:p>
    <w:p>
      <w:pPr>
        <w:spacing w:after="160"/>
      </w:pPr>
      <w:r>
        <w:rPr>
          <w:sz w:val="20"/>
          <w:szCs w:val="20"/>
        </w:rPr>
        <w:t xml:space="preserve">Global System for Mobile Communications Association (GSMA). (2025, May 14). The Mobile Gender Gap Report 2025. https://www.gsma.com/newsroom/press-release/progress-closing-the-mobile-internet-gender-gap-stalls-in-lmics-gsma-mobile-gender-gap-report-2025/</w:t>
      </w:r>
    </w:p>
    <w:p>
      <w:pPr>
        <w:spacing w:after="160"/>
      </w:pPr>
      <w:r>
        <w:rPr>
          <w:sz w:val="20"/>
          <w:szCs w:val="20"/>
        </w:rPr>
        <w:t xml:space="preserve">LibTech India. (2024). MGNREGA implementation in India: Insights and trends, April–September 2024. As reported in Down To Earth (25 October 2024). https://www.downtoearth.org.in/governance/mgnregs-millions-affected-as-aadhar-linking-woes-result-in-rural-workers-account-deletion-payment-delays</w:t>
      </w:r>
    </w:p>
    <w:p>
      <w:pPr>
        <w:spacing w:after="160"/>
      </w:pPr>
      <w:r>
        <w:rPr>
          <w:sz w:val="20"/>
          <w:szCs w:val="20"/>
        </w:rPr>
        <w:t xml:space="preserve">National Statistical Office (NSO), Ministry of Statistics and Programme Implementation. (2025). Comprehensive Modular Survey — Telecom, 2025 (80th round, NSS). As reported in Business Standard (29 May 2025) and Newslaundry (30 June 2025). https://www.business-standard.com/india-news/digital-india-divide-nso-rural-women-mobile-phone-ownership-gap-125052901804_1.html</w:t>
      </w:r>
    </w:p>
    <w:p>
      <w:pPr>
        <w:spacing w:after="160"/>
      </w:pPr>
      <w:r>
        <w:rPr>
          <w:sz w:val="20"/>
          <w:szCs w:val="20"/>
        </w:rPr>
        <w:t xml:space="preserve">Press Information Bureau (PIB), Ministry of Finance, Government of India. (2025, August 27). 11 years of PM Jan Dhan Yojana: Banking the unbanked. https://www.pib.gov.in/PressNoteDetails.aspx?NoteId=155102&amp;ModuleId=3&amp;reg=3&amp;lang=2</w:t>
      </w:r>
    </w:p>
    <w:p>
      <w:pPr>
        <w:spacing w:after="160"/>
      </w:pPr>
      <w:r>
        <w:rPr>
          <w:sz w:val="20"/>
          <w:szCs w:val="20"/>
        </w:rPr>
        <w:t xml:space="preserve">Telecom Regulatory Authority of India (TRAI). (2025). The Indian telecom services performance indicator report, quarter ending December 2024. https://www.trai.gov.in/sites/default/files/2025-01/QPIR_01012025_0.pdf</w:t>
      </w:r>
    </w:p>
    <w:p>
      <w:pPr>
        <w:spacing w:after="160"/>
      </w:pPr>
      <w:r>
        <w:rPr>
          <w:sz w:val="20"/>
          <w:szCs w:val="20"/>
        </w:rPr>
        <w:t xml:space="preserve">World Bank. (2025). The Global Findex Database 2025: Connectivity and financial inclusion in the digital economy — India. https://microdata.worldbank.org/index.php/catalog/7916</w:t>
      </w:r>
    </w:p>
    <w:p>
      <w:pPr>
        <w:pBdr>
          <w:left w:val="single" w:color="C0504D" w:sz="12" w:space="8"/>
        </w:pBdr>
        <w:spacing w:after="200"/>
        <w:ind w:left="200"/>
      </w:pPr>
      <w:r>
        <w:rPr>
          <w:i/>
          <w:iCs/>
          <w:color w:val="595959"/>
          <w:sz w:val="20"/>
          <w:szCs w:val="20"/>
        </w:rPr>
        <w:t xml:space="preserve">A source-by-source verification log — how each citation above was located and confirmed to be a real publication — is in data/ACADEMIC_SOURCES.md. Verification date: 27 August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abstractNum w:abstractNumId="3" w15:restartNumberingAfterBreak="0">
    <w:multiLevelType w:val="hybridMultilevel"/>
    <w:lvl w:ilvl="0" w15:tentative="1">
      <w:start w:val="1"/>
      <w:numFmt w:val="decimal"/>
      <w:lvlText w:val="%1."/>
      <w:lvlJc w:val="left"/>
      <w:pPr>
        <w:ind w:left="420" w:hanging="300"/>
      </w:pPr>
    </w:lvl>
  </w:abstractNum>
  <w:abstractNum w:abstractNumId="4" w15:restartNumberingAfterBreak="0">
    <w:multiLevelType w:val="hybridMultilevel"/>
    <w:lvl w:ilvl="0" w15:tentative="1">
      <w:start w:val="1"/>
      <w:numFmt w:val="decimal"/>
      <w:lvlText w:val="%1."/>
      <w:lvlJc w:val="left"/>
      <w:pPr>
        <w:ind w:left="420" w:hanging="300"/>
      </w:pPr>
    </w:lvl>
  </w:abstractNum>
  <w:abstractNum w:abstractNumId="5"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2026-08-27T23:09:14.145Z</dcterms:created>
  <dcterms:modified xsi:type="dcterms:W3CDTF">2026-08-27T23:09:14.145Z</dcterms:modified>
</cp:coreProperties>
</file>

<file path=docProps/custom.xml><?xml version="1.0" encoding="utf-8"?>
<Properties xmlns="http://schemas.openxmlformats.org/officeDocument/2006/custom-properties" xmlns:vt="http://schemas.openxmlformats.org/officeDocument/2006/docPropsVTypes"/>
</file>