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1F3864"/>
          <w:sz w:val="40"/>
          <w:szCs w:val="40"/>
        </w:rPr>
        <w:t xml:space="preserve">Digital Public Services and Inclusion in India</w:t>
      </w:r>
    </w:p>
    <w:p>
      <w:pPr>
        <w:spacing w:after="100"/>
        <w:jc w:val="center"/>
      </w:pPr>
      <w:r>
        <w:rPr>
          <w:rFonts w:ascii="Georgia" w:cs="Georgia" w:eastAsia="Georgia" w:hAnsi="Georgia"/>
          <w:i/>
          <w:iCs/>
          <w:color w:val="595959"/>
          <w:sz w:val="24"/>
          <w:szCs w:val="24"/>
        </w:rPr>
        <w:t xml:space="preserve">A Literature Synthesis: What Peer-Reviewed Research Shows About Digital Exclusion and Inclusion</w:t>
      </w:r>
    </w:p>
    <w:p>
      <w:pPr>
        <w:spacing w:after="400"/>
        <w:jc w:val="center"/>
      </w:pPr>
      <w:r>
        <w:rPr>
          <w:rFonts w:ascii="Georgia" w:cs="Georgia" w:eastAsia="Georgia" w:hAnsi="Georgia"/>
          <w:i/>
          <w:iCs/>
          <w:color w:val="808080"/>
          <w:sz w:val="20"/>
          <w:szCs w:val="20"/>
        </w:rPr>
        <w:t xml:space="preserve">Prepared by Ruhi</w:t>
      </w:r>
    </w:p>
    <w:p>
      <w:pPr>
        <w:pStyle w:val="Heading1"/>
        <w:spacing w:after="200" w:before="360"/>
      </w:pPr>
      <w:r>
        <w:rPr>
          <w:rFonts w:ascii="Georgia" w:cs="Georgia" w:eastAsia="Georgia" w:hAnsi="Georgia"/>
          <w:b/>
          <w:bCs/>
          <w:color w:val="2E74B5"/>
          <w:sz w:val="32"/>
          <w:szCs w:val="32"/>
        </w:rPr>
        <w:t xml:space="preserve">1. Research Question and Approach</w:t>
      </w:r>
    </w:p>
    <w:p>
      <w:pPr>
        <w:spacing w:after="200"/>
        <w:jc w:val="left"/>
      </w:pPr>
      <w:r>
        <w:rPr>
          <w:rFonts w:ascii="Georgia" w:cs="Georgia" w:eastAsia="Georgia" w:hAnsi="Georgia"/>
          <w:sz w:val="22"/>
          <w:szCs w:val="22"/>
        </w:rPr>
        <w:t xml:space="preserve">Research question: What does the peer-reviewed and institutional literature show about whether India's digitisation of public services (identity verification, welfare payments, financial inclusion, and worker registration) has reduced or widened gaps in who can access and benefit from these services?</w:t>
      </w:r>
    </w:p>
    <w:p>
      <w:pPr>
        <w:spacing w:after="200"/>
        <w:jc w:val="left"/>
      </w:pPr>
      <w:r>
        <w:rPr>
          <w:rFonts w:ascii="Georgia" w:cs="Georgia" w:eastAsia="Georgia" w:hAnsi="Georgia"/>
          <w:sz w:val="22"/>
          <w:szCs w:val="22"/>
        </w:rPr>
        <w:t xml:space="preserve">This project is a literature synthesis rather than new primary research. It locates, verifies, and compares what existing academic studies and credible institutional reports have found, points out where independent studies agree and where they genuinely disagree, and says plainly where the literature simply doesn't have an answer yet. Eighteen peer-reviewed or working-paper studies and six government or institutional reports are used, spanning economics (American Economic Review, Review of Economics and Statistics, Manchester School, World Bank Economic Review), development studies (European Journal of Development Research, International Journal of Development Issues, International Journal of Finance &amp; Economics), Indian policy journals (Economic and Political Weekly, Indian Journal of Labour Economics, Indian Journal of Public Administration, Indian Public Policy Review), sociology and social policy (Information, Communication &amp; Society, Global Social Policy, Journal of Social and Economic Development), and national and international statistical agencies (TRAI, NSO, World Bank, GSMA).</w:t>
      </w:r>
    </w:p>
    <w:p>
      <w:pPr>
        <w:pStyle w:val="Heading1"/>
        <w:spacing w:after="200" w:before="360"/>
      </w:pPr>
      <w:r>
        <w:rPr>
          <w:rFonts w:ascii="Georgia" w:cs="Georgia" w:eastAsia="Georgia" w:hAnsi="Georgia"/>
          <w:b/>
          <w:bCs/>
          <w:color w:val="2E74B5"/>
          <w:sz w:val="32"/>
          <w:szCs w:val="32"/>
        </w:rPr>
        <w:t xml:space="preserve">2. Methodology</w:t>
      </w:r>
    </w:p>
    <w:p>
      <w:pPr>
        <w:spacing w:after="200"/>
        <w:jc w:val="left"/>
      </w:pPr>
      <w:r>
        <w:rPr>
          <w:rFonts w:ascii="Georgia" w:cs="Georgia" w:eastAsia="Georgia" w:hAnsi="Georgia"/>
          <w:sz w:val="22"/>
          <w:szCs w:val="22"/>
        </w:rPr>
        <w:t xml:space="preserve">This is a structured rapid synthesis rather than a formal systematic review. It was not run against a fixed protocol or a subscription database such as Scopus or Web of Science, and it does not claim to be exhaustive. The method followed four steps: first, run targeted searches combining programme names (Aadhaar, MGNREGA, PMJDY, JAM trinity, e-Shram, Common Service Centres) with methodological and disciplinary keywords (“exclusion,” “biometric,” “digital divide,” “financial inclusion,” “payment delay,” “gender”); second, for every candidate result, open the paper's own landing page (a journal's DOI page, an NBER or SSRN working-paper page, or a RePEc/IDEAS/EconPapers bibliographic record) to confirm real author names, an exact title, a real venue, and, where applicable, a real DOI, before treating it as citable; third, read the abstract and, where accessible, the findings summary on that page to pull out only the claims the source itself makes; and fourth, drop a claim rather than approximate it whenever the source didn't clearly support it.</w:t>
      </w:r>
    </w:p>
    <w:p>
      <w:pPr>
        <w:pStyle w:val="Heading2"/>
        <w:spacing w:after="160" w:before="280"/>
      </w:pPr>
      <w:r>
        <w:rPr>
          <w:rFonts w:ascii="Georgia" w:cs="Georgia" w:eastAsia="Georgia" w:hAnsi="Georgia"/>
          <w:b/>
          <w:bCs/>
          <w:color w:val="2E74B5"/>
          <w:sz w:val="26"/>
          <w:szCs w:val="26"/>
        </w:rPr>
        <w:t xml:space="preserve">2.1 Inclusion approach</w:t>
      </w:r>
    </w:p>
    <w:p>
      <w:pPr>
        <w:pStyle w:val="ListParagraph"/>
        <w:numPr>
          <w:ilvl w:val="0"/>
          <w:numId w:val="1"/>
        </w:numPr>
        <w:spacing w:after="160"/>
      </w:pPr>
      <w:r>
        <w:rPr>
          <w:rFonts w:ascii="Georgia" w:cs="Georgia" w:eastAsia="Georgia" w:hAnsi="Georgia"/>
          <w:sz w:val="22"/>
          <w:szCs w:val="22"/>
        </w:rPr>
        <w:t xml:space="preserve">Priority was given to peer-reviewed journal articles and working papers from established series (NBER, SSRN-hosted institutional papers). Government and international-organisation reports (TRAI, NSO, PIB, World Bank, GSMA, and LibTech India's own policy report) were included alongside the academic literature, but are labelled throughout as institutional sources rather than peer-reviewed studies, since their claims have not been through academic peer review.</w:t>
      </w:r>
    </w:p>
    <w:p>
      <w:pPr>
        <w:pStyle w:val="ListParagraph"/>
        <w:numPr>
          <w:ilvl w:val="0"/>
          <w:numId w:val="1"/>
        </w:numPr>
        <w:spacing w:after="160"/>
      </w:pPr>
      <w:r>
        <w:rPr>
          <w:rFonts w:ascii="Georgia" w:cs="Georgia" w:eastAsia="Georgia" w:hAnsi="Georgia"/>
          <w:sz w:val="22"/>
          <w:szCs w:val="22"/>
        </w:rPr>
        <w:t xml:space="preserve">Several additional PMJDY/JAM-related papers surfaced in search results from journals whose peer-review rigor could not be confirmed within this project's verification standard; these were deliberately excluded rather than cited on the strength of a plausible-sounding title alone.</w:t>
      </w:r>
    </w:p>
    <w:p>
      <w:pPr>
        <w:pStyle w:val="ListParagraph"/>
        <w:numPr>
          <w:ilvl w:val="0"/>
          <w:numId w:val="1"/>
        </w:numPr>
        <w:spacing w:after="160"/>
      </w:pPr>
      <w:r>
        <w:rPr>
          <w:rFonts w:ascii="Georgia" w:cs="Georgia" w:eastAsia="Georgia" w:hAnsi="Georgia"/>
          <w:sz w:val="22"/>
          <w:szCs w:val="22"/>
        </w:rPr>
        <w:t xml:space="preserve">Where a publisher's full-text page blocked automated retrieval (this happened with MIT Press and Taylor &amp; Francis pages in this project), a RePEc/IDEAS, EconPapers, or Ingenta bibliographic-record mirror of the same publication was used instead to confirm identical author, title, venue, and DOI details, never to substitute different or unverified content.</w:t>
      </w:r>
    </w:p>
    <w:p>
      <w:pPr>
        <w:pStyle w:val="Heading2"/>
        <w:spacing w:after="160" w:before="280"/>
      </w:pPr>
      <w:r>
        <w:rPr>
          <w:rFonts w:ascii="Georgia" w:cs="Georgia" w:eastAsia="Georgia" w:hAnsi="Georgia"/>
          <w:b/>
          <w:bCs/>
          <w:color w:val="2E74B5"/>
          <w:sz w:val="26"/>
          <w:szCs w:val="26"/>
        </w:rPr>
        <w:t xml:space="preserve">2.2 Limitations of this approach</w:t>
      </w:r>
    </w:p>
    <w:p>
      <w:pPr>
        <w:pStyle w:val="ListParagraph"/>
        <w:numPr>
          <w:ilvl w:val="0"/>
          <w:numId w:val="1"/>
        </w:numPr>
        <w:spacing w:after="160"/>
      </w:pPr>
      <w:r>
        <w:rPr>
          <w:rFonts w:ascii="Georgia" w:cs="Georgia" w:eastAsia="Georgia" w:hAnsi="Georgia"/>
          <w:sz w:val="22"/>
          <w:szCs w:val="22"/>
        </w:rPr>
        <w:t xml:space="preserve">Coverage is necessarily partial. A search-engine-based literature discovery process, however carefully verified, is not equivalent to a full systematic review with defined database coverage, and it is likely that other relevant peer-reviewed studies exist that this process did not surface.</w:t>
      </w:r>
    </w:p>
    <w:p>
      <w:pPr>
        <w:pStyle w:val="ListParagraph"/>
        <w:numPr>
          <w:ilvl w:val="0"/>
          <w:numId w:val="1"/>
        </w:numPr>
        <w:spacing w:after="160"/>
      </w:pPr>
      <w:r>
        <w:rPr>
          <w:rFonts w:ascii="Georgia" w:cs="Georgia" w:eastAsia="Georgia" w:hAnsi="Georgia"/>
          <w:sz w:val="22"/>
          <w:szCs w:val="22"/>
        </w:rPr>
        <w:t xml:space="preserve">Full-text access was not available for every source; several summaries here rely on the abstract, DOI-page summary, or a verified secondary description of findings rather than a complete read of the paper. Where this is the case it does not change the attributed claim, but it does mean nuances in a paper's discussion or limitations sections may not be captured.</w:t>
      </w:r>
    </w:p>
    <w:p>
      <w:pPr>
        <w:pStyle w:val="ListParagraph"/>
        <w:numPr>
          <w:ilvl w:val="0"/>
          <w:numId w:val="1"/>
        </w:numPr>
        <w:spacing w:after="160"/>
      </w:pPr>
      <w:r>
        <w:rPr>
          <w:rFonts w:ascii="Georgia" w:cs="Georgia" w:eastAsia="Georgia" w:hAnsi="Georgia"/>
          <w:sz w:val="22"/>
          <w:szCs w:val="22"/>
        </w:rPr>
        <w:t xml:space="preserve">This synthesis does not attempt to formally appraise study quality (e.g., no formal risk-of-bias scoring), though methodological differences between studies (randomised or quasi-experimental design versus qualitative fieldwork versus descriptive decomposition analysis) are noted explicitly wherever they matter to interpreting a disagreement between studies.</w:t>
      </w:r>
    </w:p>
    <w:p>
      <w:pPr>
        <w:spacing w:after="200"/>
        <w:jc w:val="left"/>
      </w:pPr>
      <w:r>
        <w:rPr>
          <w:rFonts w:ascii="Georgia" w:cs="Georgia" w:eastAsia="Georgia" w:hAnsi="Georgia"/>
          <w:sz w:val="22"/>
          <w:szCs w:val="22"/>
        </w:rPr>
        <w:t xml:space="preserve">A complete, verifiable log of how each source was found and confirmed is in data/ACADEMIC_SOURCES.md alongside this report.</w:t>
      </w:r>
    </w:p>
    <w:p>
      <w:pPr>
        <w:pStyle w:val="Heading1"/>
        <w:spacing w:after="200" w:before="360"/>
      </w:pPr>
      <w:r>
        <w:rPr>
          <w:rFonts w:ascii="Georgia" w:cs="Georgia" w:eastAsia="Georgia" w:hAnsi="Georgia"/>
          <w:b/>
          <w:bCs/>
          <w:color w:val="2E74B5"/>
          <w:sz w:val="32"/>
          <w:szCs w:val="32"/>
        </w:rPr>
        <w:t xml:space="preserve">3. Overview of the Literature Base</w:t>
      </w:r>
    </w:p>
    <w:p>
      <w:pPr>
        <w:spacing w:after="200"/>
        <w:jc w:val="left"/>
      </w:pPr>
      <w:r>
        <w:rPr>
          <w:rFonts w:ascii="Georgia" w:cs="Georgia" w:eastAsia="Georgia" w:hAnsi="Georgia"/>
          <w:sz w:val="22"/>
          <w:szCs w:val="22"/>
        </w:rPr>
        <w:t xml:space="preserve">The table below lists every academic study used in this synthesis, its method and setting, and the theme it speaks to. Full citations are in Section 12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Study</w:t>
            </w:r>
          </w:p>
        </w:tc>
        <w:tc>
          <w:tcPr>
            <w:tcW w:type="dxa" w:w="26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Method</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Setting / programme</w:t>
            </w:r>
          </w:p>
        </w:tc>
        <w:tc>
          <w:tcPr>
            <w:tcW w:type="dxa" w:w="196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Theme</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Muralidharan et al. (2016)</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Randomised rollout, admin + survey data</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AP, NREGS wages and pensions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Biometric authentication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Drèze et al. (2017)</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Field survey</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Jharkhand, PDS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Biometric authentication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Khera (2017)</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Literature review</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Multiple welfare schemes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Biometric authentication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Muralidharan et al. (2020/2025)</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Randomised evaluation</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Jharkhand, PDS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Biometric authentication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Ngullie (2025)</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Policy-ethics analysis</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Nagaland, PDS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Biometric authentication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Bheemarasetti et al. (2025)</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Large-scale transaction data analysis</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10 states, MGNREGA (ABPS)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Digital wage payments</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Basu, Raj &amp; Sen (2024)</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Theoretical model + empirical evidence</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MGNREGA</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Digital wage payments</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Das, Paul &amp; Sharma (2023)</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Randomised controlled trial</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rural public works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Digital wage payments</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Ghosh (2017)</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3-stage least squares, household data</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JAM trinity</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Digital financial inclusion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Chopra, Prabhala &amp; Tantri (2023, WP)</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Natural experiment, bank account data</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PMJDY</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Digital financial inclusion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Mahajan (2023)</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Descriptive analysis of national data</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PMJDY</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Digital financial inclusion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Duvendack, Sonne &amp; Garikipati (2023)</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Mixed methods, macro + micro</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digital financial services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Gender &amp; financial inclusion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Sonne (2025)</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Qualitative interviews (n=60)</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6 Indian states, mobile phone use</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Gender digital divide</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Arora &amp; Sapre (2026)</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Index construction, state-level data</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18 Indian states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Rural-urban digital divide</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Biradar, Deo &amp; Kaur (2026)</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Decomposition analysis, NSS 78th round</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rural vs. urban</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Rural-urban digital divide</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Nanda (2022)</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Practitioner/policy analysis</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Common Service Centres</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E-governance delivery</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Sinha, Gallien &amp; van den Boogaard (2026)</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Qualitative/policy analysis</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e-Shram</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Informal-worker registration</w:t>
            </w:r>
          </w:p>
        </w:tc>
      </w:tr>
      <w:tr>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Melhem (2014)</w:t>
            </w:r>
          </w:p>
        </w:tc>
        <w:tc>
          <w:tcPr>
            <w:tcW w:type="dxa" w:w="26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Institutional overview (World Bank)</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India, Aadhaar</w:t>
            </w:r>
          </w:p>
        </w:tc>
        <w:tc>
          <w:tcPr>
            <w:tcW w:type="dxa" w:w="19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Digital identity (baseline view)</w:t>
            </w:r>
          </w:p>
        </w:tc>
      </w:tr>
    </w:tbl>
    <w:p>
      <w:pPr>
        <w:spacing w:after="200"/>
      </w:pPr>
    </w:p>
    <w:p>
      <w:pPr>
        <w:pStyle w:val="Heading1"/>
        <w:spacing w:after="200" w:before="360"/>
      </w:pPr>
      <w:r>
        <w:rPr>
          <w:rFonts w:ascii="Georgia" w:cs="Georgia" w:eastAsia="Georgia" w:hAnsi="Georgia"/>
          <w:b/>
          <w:bCs/>
          <w:color w:val="2E74B5"/>
          <w:sz w:val="32"/>
          <w:szCs w:val="32"/>
        </w:rPr>
        <w:t xml:space="preserve">4. Thematic Synthesis</w:t>
      </w:r>
    </w:p>
    <w:p>
      <w:pPr>
        <w:pStyle w:val="Heading2"/>
        <w:spacing w:after="160" w:before="280"/>
      </w:pPr>
      <w:r>
        <w:rPr>
          <w:rFonts w:ascii="Georgia" w:cs="Georgia" w:eastAsia="Georgia" w:hAnsi="Georgia"/>
          <w:b/>
          <w:bCs/>
          <w:color w:val="2E74B5"/>
          <w:sz w:val="26"/>
          <w:szCs w:val="26"/>
        </w:rPr>
        <w:t xml:space="preserve">4.1 Digital identity, biometric authentication and welfare exclusion</w:t>
      </w:r>
    </w:p>
    <w:p>
      <w:pPr>
        <w:spacing w:after="200"/>
        <w:jc w:val="left"/>
      </w:pPr>
      <w:r>
        <w:rPr>
          <w:rFonts w:ascii="Georgia" w:cs="Georgia" w:eastAsia="Georgia" w:hAnsi="Georgia"/>
          <w:sz w:val="22"/>
          <w:szCs w:val="22"/>
        </w:rPr>
        <w:t xml:space="preserve">This is the most contested theme in the literature, and interestingly, much of that contest plays out within the work of a single research team, which makes the disagreement unusually easy to interpret. Muralidharan, Niehaus and Sukhtankar evaluated two different biometric-authentication interventions and reached two different conclusions. In Andhra Pradesh, where biometric smartcards were introduced to verify identity when NREGS wages and Social Security Pensions were paid out, they found the technology produced “faster, more predictable, and less corrupt” payments and reduced leakage in both programmes, without reducing beneficiaries' access. Participants actually preferred the new system (Muralidharan et al., 2016). In Jharkhand, evaluating mandatory Aadhaar-based biometric authentication as a precondition for receiving Public Distribution System rations, the same three researchers found the opposite trade-off. Authentication did reduce fraud, but it also caused an estimated 1.5 to 2 million genuine beneficiaries to lose access, at least temporarily. The paper's own conclusion is that this harm was “driven primarily by decisions about the way the transition was managed,” not an inherent property of biometric verification itself (Muralidharan et al., 2020/2025).</w:t>
      </w:r>
    </w:p>
    <w:p>
      <w:pPr>
        <w:spacing w:after="200"/>
        <w:jc w:val="left"/>
      </w:pPr>
      <w:r>
        <w:rPr>
          <w:rFonts w:ascii="Georgia" w:cs="Georgia" w:eastAsia="Georgia" w:hAnsi="Georgia"/>
          <w:sz w:val="22"/>
          <w:szCs w:val="22"/>
        </w:rPr>
        <w:t xml:space="preserve">Independent field research on the same Jharkhand PDS rollout, using survey methodology rather than the administrative-data approach above, reached a still more critical assessment. Drèze, Khalid, Khera and Somanchi (2017) titled their study “Pain without Gain” and documented widespread authentication failures translating directly into denied rations, without evidence of a corresponding gain in food security for the population studied. Khera (2017), reviewing the early Aadhaar-linked welfare literature more broadly, reaches a similarly critical position. Writing nearly a decade later, Ngullie (2025) finds the same underlying mechanism, exclusion produced by “the interplay of census and identity politics, coupled with a technological determinism,” still shaping PDS access in Nagaland, and argues that welfare-eligibility policy has let biometric technology substitute for accurate population data rather than support it.</w:t>
      </w:r>
    </w:p>
    <w:p>
      <w:pPr>
        <w:spacing w:after="200"/>
        <w:jc w:val="left"/>
      </w:pPr>
      <w:r>
        <w:rPr>
          <w:rFonts w:ascii="Georgia" w:cs="Georgia" w:eastAsia="Georgia" w:hAnsi="Georgia"/>
          <w:sz w:val="22"/>
          <w:szCs w:val="22"/>
        </w:rPr>
        <w:t xml:space="preserve">Taken together, these five studies don't simply disagree about the facts. They largely agree on the mechanism (biometric or Aadhaar-authentication failure denies genuine beneficiaries a benefit they're entitled to) and disagree about how large and how tractable the resulting harm is, and under what conditions it can be avoided. The Andhra Pradesh smartcard result (Muralidharan et al., 2016) and the Jharkhand PDS result from the same authors (Muralidharan et al., 2020/2025) both point to program design and implementation quality, that is, where in the payment chain authentication sits and how carefully a transition is managed, as the decisive variable rather than the presence of biometric technology itself. The qualitative fieldwork literature (Drèze et al., 2017; Khera, 2017; Ngullie, 2025) is more skeptical that this distinction can reliably be achieved in practice at national scale, and each of these three later studies documents the same failure mode recurring years apart in different states.</w:t>
      </w:r>
    </w:p>
    <w:p>
      <w:pPr>
        <w:pStyle w:val="Heading2"/>
        <w:spacing w:after="160" w:before="280"/>
      </w:pPr>
      <w:r>
        <w:rPr>
          <w:rFonts w:ascii="Georgia" w:cs="Georgia" w:eastAsia="Georgia" w:hAnsi="Georgia"/>
          <w:b/>
          <w:bCs/>
          <w:color w:val="2E74B5"/>
          <w:sz w:val="26"/>
          <w:szCs w:val="26"/>
        </w:rPr>
        <w:t xml:space="preserve">4.2 Digital wage payments in MGNREGA</w:t>
      </w:r>
    </w:p>
    <w:p>
      <w:pPr>
        <w:spacing w:after="200"/>
        <w:jc w:val="left"/>
      </w:pPr>
      <w:r>
        <w:rPr>
          <w:rFonts w:ascii="Georgia" w:cs="Georgia" w:eastAsia="Georgia" w:hAnsi="Georgia"/>
          <w:sz w:val="22"/>
          <w:szCs w:val="22"/>
        </w:rPr>
        <w:t xml:space="preserve">A closely related but distinct sub-literature examines MGNREGA's shift to the Aadhaar-Based Payment System (ABPS) specifically for wage disbursal, and it shows the same tension resolving somewhat more one-sidedly against the digital intervention. Analysing over 31 million wage transactions across ten states in 2021-22, Bheemarasetti, De, Narayanan, Saboo and Tamang (2025) report what they describe as the first large-scale, data-based evidence “debunking officially stated claims of timely payments” attributed to ABPS. They also find a statistically significant disparity in payment-processing time by caste category, a dimension of exclusion that doesn't appear in the earlier Andhra Pradesh smartcard literature. Basu, Raj and Sen (2024) approach the same underlying phenomenon theoretically and empirically, modelling payment delay as an implicit consumption tax on already-poor households, and report the counter-intuitive finding that higher MGNREGA participation is positively associated with payment delay. That's read not as evidence the programme is working, but as evidence that the poorest households have no real alternative to tolerating delay.</w:t>
      </w:r>
    </w:p>
    <w:p>
      <w:pPr>
        <w:spacing w:after="200"/>
        <w:jc w:val="left"/>
      </w:pPr>
      <w:r>
        <w:rPr>
          <w:rFonts w:ascii="Georgia" w:cs="Georgia" w:eastAsia="Georgia" w:hAnsi="Georgia"/>
          <w:sz w:val="22"/>
          <w:szCs w:val="22"/>
        </w:rPr>
        <w:t xml:space="preserve">Against this largely critical picture, Das, Paul and Sharma (2023) offer a genuinely positive digital-intervention result from the same programme space. A randomised evaluation of a low-cost information-dissemination intervention, simply notifying workers when their wages had been deposited, found it substantially reduced payment delay, cut the number of trips workers needed to make to access their pay, and improved workers' awareness of their entitlements, with effects persisting after the intervention itself ended. Read alongside Bheemarasetti et al. (2025) and Basu et al. (2024), this points to a specific and useful distinction supported across independent studies: a digital layer that adds information without gating eligibility (Das et al., 2023) shows a clearly positive effect in this literature, while a digital layer that gates eligibility or payment on successful biometric authentication (ABPS, per Bheemarasetti et al., 2025) doesn't show a comparable benefit and introduces a new, caste-correlated disparity.</w:t>
      </w:r>
    </w:p>
    <w:p>
      <w:pPr>
        <w:pStyle w:val="Heading2"/>
        <w:spacing w:after="160" w:before="280"/>
      </w:pPr>
      <w:r>
        <w:rPr>
          <w:rFonts w:ascii="Georgia" w:cs="Georgia" w:eastAsia="Georgia" w:hAnsi="Georgia"/>
          <w:b/>
          <w:bCs/>
          <w:color w:val="2E74B5"/>
          <w:sz w:val="26"/>
          <w:szCs w:val="26"/>
        </w:rPr>
        <w:t xml:space="preserve">4.3 The JAM trinity and digital financial inclusion</w:t>
      </w:r>
    </w:p>
    <w:p>
      <w:pPr>
        <w:spacing w:after="200"/>
        <w:jc w:val="left"/>
      </w:pPr>
      <w:r>
        <w:rPr>
          <w:rFonts w:ascii="Georgia" w:cs="Georgia" w:eastAsia="Georgia" w:hAnsi="Georgia"/>
          <w:sz w:val="22"/>
          <w:szCs w:val="22"/>
        </w:rPr>
        <w:t xml:space="preserve">The literature on India's Jan Dhan-Aadhaar-Mobile (JAM) stack presents a similar pattern of technically compatible but substantively divergent findings. Ghosh (2017), using three-stage least squares analysis of household-level data, finds that Jan Dhan accounts, Aadhaar and mobile telephony are statistically complementary: each reinforces take-up of the others. The strongest linkage is between PMJDY and Aadhaar, with a weaker one involving mobile telephony, and complementarity effects grow stronger over the longer run. Using proprietary bank account-level data around PMJDY's launch, Chopra, Prabhala and Tantri (2023, working paper) similarly report a positive account-level story of “significant uptake, usage, and balance accumulation,” with accounts appearing to help households hedge local economic shocks. The authors argue this is evidence that financial exclusion in India reflected a supply-side gap rather than an absence of underlying demand.</w:t>
      </w:r>
    </w:p>
    <w:p>
      <w:pPr>
        <w:spacing w:after="200"/>
        <w:jc w:val="left"/>
      </w:pPr>
      <w:r>
        <w:rPr>
          <w:rFonts w:ascii="Georgia" w:cs="Georgia" w:eastAsia="Georgia" w:hAnsi="Georgia"/>
          <w:sz w:val="22"/>
          <w:szCs w:val="22"/>
        </w:rPr>
        <w:t xml:space="preserve">Mahajan (2023), working from more comprehensive national administrative data through March 2021, complicates this positive account-level picture considerably. While confirming PMJDY's scale (42.20 crore accounts, 65.55% growth since 2015), Mahajan finds that 83.7% of accountholders register a low “financial inclusion quotient,” 67.6% show low account activeness, only 21% actively use their issued RuPay card, and only 7.5% access any credit facility through their account. Mahajan concludes that PMJDY solved financial inclusion's supply-side accessibility problem while leaving its demand-side, meaningful-engagement problem largely unresolved. This isn't necessarily a direct contradiction of Chopra et al. (2023) or Ghosh (2017): both of those studies examine account-level uptake and complementarity rather than a comprehensive activeness measure. But the combination illustrates a recurring pattern in this literature. Studies that measure account opening and short-run usage tend to find success, while studies that measure sustained active engagement tend to find a much larger unresolved gap.</w:t>
      </w:r>
    </w:p>
    <w:p>
      <w:pPr>
        <w:spacing w:after="200"/>
        <w:jc w:val="left"/>
      </w:pPr>
      <w:r>
        <w:rPr>
          <w:rFonts w:ascii="Georgia" w:cs="Georgia" w:eastAsia="Georgia" w:hAnsi="Georgia"/>
          <w:sz w:val="22"/>
          <w:szCs w:val="22"/>
        </w:rPr>
        <w:t xml:space="preserve">Duvendack, Sonne and Garikipati (2023) add a gender-specific dimension to this picture that neither the Ghosh, Chopra et al., nor Mahajan studies isolate. They document a genuinely large macro-level gain: women's bank account ownership in India rose from 43% in 2014 to 78% in 2021, driven substantially by PMJDY. But they argue this headline number masks a persistent “central paradox.” Gender parity hasn't been achieved even within finance-focused programmes specifically designed to close it, many women's accounts remain dormant, and a meaningful share of nominally female-held accounts are in practice operated by male family members as proxies rather than by the women account-holders themselves. Their study also highlights a specific, evidence-backed policy mechanism that works against this pattern: female Bank Sakhi business correspondents, who provide doorstep banking and are willing to process the smaller transaction volumes that male agents often decline to handle.</w:t>
      </w:r>
    </w:p>
    <w:p>
      <w:pPr>
        <w:pStyle w:val="Heading2"/>
        <w:spacing w:after="160" w:before="280"/>
      </w:pPr>
      <w:r>
        <w:rPr>
          <w:rFonts w:ascii="Georgia" w:cs="Georgia" w:eastAsia="Georgia" w:hAnsi="Georgia"/>
          <w:b/>
          <w:bCs/>
          <w:color w:val="2E74B5"/>
          <w:sz w:val="26"/>
          <w:szCs w:val="26"/>
        </w:rPr>
        <w:t xml:space="preserve">4.4 Digital and gender divides in access</w:t>
      </w:r>
    </w:p>
    <w:p>
      <w:pPr>
        <w:spacing w:after="200"/>
        <w:jc w:val="left"/>
      </w:pPr>
      <w:r>
        <w:rPr>
          <w:rFonts w:ascii="Georgia" w:cs="Georgia" w:eastAsia="Georgia" w:hAnsi="Georgia"/>
          <w:sz w:val="22"/>
          <w:szCs w:val="22"/>
        </w:rPr>
        <w:t xml:space="preserve">A separate strand of the literature examines who is offline or under-connected in the first place, rather than what happens once someone is nominally included in a digital system. Arora and Sapre (2026) construct parallel Digital Infrastructure and Digital Skills indices across 18 Indian states, separately for rural and urban populations, and conclude that “the ‘Digital India’ growth story is far from equitable,” with poorer and more rural states lagging on both dimensions even as national aggregate connectivity has grown. Biradar, Deo and Kaur (2026), using a Fairlie decomposition analysis of National Sample Survey 78th-round (2020-21) microdata, go a step further methodologically: rather than simply describing a rural-urban gap, they decompose it into contributing factors and find that education access, infrastructure availability (broadband and mobile connectivity specifically), gender, age, and social-group membership each independently and measurably contribute to the gap in intermediate and advanced digital skills. That means the rural-urban divide documented by Arora and Sapre is, at least in part, a composite of several other, more specific divides rather than one single undifferentiated geographic effect.</w:t>
      </w:r>
    </w:p>
    <w:p>
      <w:pPr>
        <w:spacing w:after="200"/>
        <w:jc w:val="left"/>
      </w:pPr>
      <w:r>
        <w:rPr>
          <w:rFonts w:ascii="Georgia" w:cs="Georgia" w:eastAsia="Georgia" w:hAnsi="Georgia"/>
          <w:sz w:val="22"/>
          <w:szCs w:val="22"/>
        </w:rPr>
        <w:t xml:space="preserve">Sonne (2025) approaches the same broad question with a different method and finds a mechanism the index- and decomposition-based studies above cannot directly observe. Based on 60 structured interviews across six Indian states, Sonne's three-level framework finds that women's constrained mobile phone access and use in India is driven not only by cost or infrastructure but by individual-level digital confidence, family-level permission-seeking and monitoring of phone use, and community-level “socio-cultural norms around appropriate type and place of use.” This qualitative finding is consistent with, and helps explain, the scale of the gap documented in institutional statistics reviewed alongside the academic literature in this project. National government survey data shows a 28-percentage-point gap in mobile-phone ownership between men and women (NSO Comprehensive Modular Survey, Telecom, 2025), and GSMA's Mobile Gender Gap Report 2025 places the South Asia regional mobile-internet gender gap at 32%, among the widest of any world region. Taken together, the quantitative infrastructure literature (Arora &amp; Sapre, 2026; Biradar et al., 2026) and institutional statistics establish the size of the access gap, while Sonne's (2025) qualitative fieldwork is one of the few sources in this literature that explains a specific causal mechanism, intra-household control over women's technology use, rather than only its downstream size.</w:t>
      </w:r>
    </w:p>
    <w:p>
      <w:pPr>
        <w:pStyle w:val="Heading2"/>
        <w:spacing w:after="160" w:before="280"/>
      </w:pPr>
      <w:r>
        <w:rPr>
          <w:rFonts w:ascii="Georgia" w:cs="Georgia" w:eastAsia="Georgia" w:hAnsi="Georgia"/>
          <w:b/>
          <w:bCs/>
          <w:color w:val="2E74B5"/>
          <w:sz w:val="26"/>
          <w:szCs w:val="26"/>
        </w:rPr>
        <w:t xml:space="preserve">4.5 E-governance intermediaries and informal-worker registration</w:t>
      </w:r>
    </w:p>
    <w:p>
      <w:pPr>
        <w:spacing w:after="200"/>
        <w:jc w:val="left"/>
      </w:pPr>
      <w:r>
        <w:rPr>
          <w:rFonts w:ascii="Georgia" w:cs="Georgia" w:eastAsia="Georgia" w:hAnsi="Georgia"/>
          <w:sz w:val="22"/>
          <w:szCs w:val="22"/>
        </w:rPr>
        <w:t xml:space="preserve">The final theme concerns how digital public services actually reach people who lack personal devices, reliable connectivity, or digital literacy, and what happens when a digital registration system is the primary channel for a welfare programme. An early, largely institutional account of India's Aadhaar programme frames the technology optimistically. Writing for the World Bank in 2014, when Aadhaar enrolment had reached 600 million people, Melhem (2014) emphasises Aadhaar's potential to identify populations previously excluded by caste- or gender-linked documentation barriers and estimates that reduced welfare-programme leakage could save on the order of $100 billion annually. This 2014 institutional framing predates nearly all of the critical academic literature reviewed in Section 4.1 above. Read against it, that later literature (Drèze et al., 2017; Muralidharan et al., 2020/2025; Ngullie, 2025) functions as roughly a decade of empirical correction to an initially optimistic institutional expectation. The inclusion potential Melhem (2014) describes was real in principle, but the exclusion risk that the later studies document in practice wasn't part of the original institutional framing.</w:t>
      </w:r>
    </w:p>
    <w:p>
      <w:pPr>
        <w:spacing w:after="200"/>
        <w:jc w:val="left"/>
      </w:pPr>
      <w:r>
        <w:rPr>
          <w:rFonts w:ascii="Georgia" w:cs="Georgia" w:eastAsia="Georgia" w:hAnsi="Georgia"/>
          <w:sz w:val="22"/>
          <w:szCs w:val="22"/>
        </w:rPr>
        <w:t xml:space="preserve">Nanda (2022) evaluates a different part of India's digital-governance stack: Common Service Centres (CSCs), the physical, assisted access points through which many citizens without personal devices or connectivity reach digital government services, including Aadhaar updates, pension processing, legal aid (Tele-Law) and integration with the UMANG services app. Nanda's assessment is comparatively positive, positioning CSCs as a genuinely effective bridging institution, while still naming the underlying digital divide as e-governance's “most significant obstacle.” The most recent study in this theme, Sinha, Gallien and van den Boogaard (2026), examines e-Shram, India's digital registration platform for informal workers, and reaches a considerably more critical assessment using the concept of “narrow formalisation.” e-Shram succeeded at building a genuinely massive registration database, over 302 million workers, citing WIEGO's tracking of the platform, but the authors argue this achievement enhanced government legibility over the informal workforce without translating into substantive new welfare benefits for most of those registered. They also find that the platform reproduces pandemic-era exclusions of migrant workers (whose benefits don't portably follow them across states), women (limited sector-specific protections), older workers (those above 60 are excluded from registration entirely), and gig or platform workers (who lack a clear legal-recognition framework), compounded by fragmented, duplicative registration requirements across India's decentralised welfare-delivery system.</w:t>
      </w:r>
    </w:p>
    <w:p>
      <w:pPr>
        <w:spacing w:after="200"/>
        <w:jc w:val="left"/>
      </w:pPr>
      <w:r>
        <w:rPr>
          <w:rFonts w:ascii="Georgia" w:cs="Georgia" w:eastAsia="Georgia" w:hAnsi="Georgia"/>
          <w:sz w:val="22"/>
          <w:szCs w:val="22"/>
        </w:rPr>
        <w:t xml:space="preserve">Read together, Nanda's (2022) relatively positive account of CSCs and Sinha et al.'s (2026) critical account of e-Shram aren't actually in tension. They describe two different layers of the same digital-governance stack: Nanda's subject is a physical, human-assisted intermediation layer, while Sinha et al.'s subject is a purely digital registration and eligibility layer sitting behind it. Read this way, the literature in this theme suggests that assisted, physical intermediation may be doing more of the genuine inclusion work in India's digital-governance architecture than the underlying digital registration systems themselves. That echoes the Section 4.1 finding that where a digital layer sits in the service-delivery chain, and whether it is purely additive (information, physical assistance) or eligibility-gating (biometric authentication, centralised registration), predicts that layer's effect on inclusion better than its presence or absence as “digital” per se.</w:t>
      </w:r>
    </w:p>
    <w:p>
      <w:pPr>
        <w:pStyle w:val="Heading1"/>
        <w:spacing w:after="200" w:before="360"/>
      </w:pPr>
      <w:r>
        <w:rPr>
          <w:rFonts w:ascii="Georgia" w:cs="Georgia" w:eastAsia="Georgia" w:hAnsi="Georgia"/>
          <w:b/>
          <w:bCs/>
          <w:color w:val="2E74B5"/>
          <w:sz w:val="32"/>
          <w:szCs w:val="32"/>
        </w:rPr>
        <w:t xml:space="preserve">5. Cross-Study Comparison: Agreement and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Question</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Studies finding a positive/inclusive effect</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Studies finding a negative/exclusionary effect</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00"/>
              <w:bottom w:type="dxa" w:w="100"/>
              <w:right w:type="dxa" w:w="100"/>
            </w:tcMar>
          </w:tcPr>
          <w:p>
            <w:r>
              <w:rPr>
                <w:rFonts w:ascii="Georgia" w:cs="Georgia" w:eastAsia="Georgia" w:hAnsi="Georgia"/>
                <w:b/>
                <w:bCs/>
                <w:color w:val="FFFFFF"/>
                <w:sz w:val="20"/>
                <w:szCs w:val="20"/>
              </w:rPr>
              <w:t xml:space="preserve">How the disagreement resolves</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Does biometric authentication for welfare payment improve delivery?</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Muralidharan et al. (2016): AP smartcards, NREGS/pensions</w:t>
            </w:r>
          </w:p>
        </w:tc>
        <w:tc>
          <w:tcPr>
            <w:tcW w:type="dxa" w:w="2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Drèze et al. (2017); Khera (2017); Ngullie (2025); Muralidharan et al. (2020/2025): PDS exclusion</w:t>
            </w:r>
          </w:p>
        </w:tc>
        <w:tc>
          <w:tcPr>
            <w:tcW w:type="dxa" w:w="21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Depends on whether authentication sits at disbursal (positive) or eligibility-gating (negative), and on implementation quality</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Does ABPS improve MGNREGA wage-payment timeliness?</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Official government claims, per Bheemarasetti et al. (2025)</w:t>
            </w:r>
          </w:p>
        </w:tc>
        <w:tc>
          <w:tcPr>
            <w:tcW w:type="dxa" w:w="2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Bheemarasetti et al. (2025); Basu et al. (2024): both find delay persists or worsens for the poorest</w:t>
            </w:r>
          </w:p>
        </w:tc>
        <w:tc>
          <w:tcPr>
            <w:tcW w:type="dxa" w:w="21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Independent data-based studies do not support the official timeliness claim</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Does a digital/information layer (not eligibility-gating) help MGNREGA workers?</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Das, Paul &amp; Sharma (2023): RCT, payment-notification SMS</w:t>
            </w:r>
          </w:p>
        </w:tc>
        <w:tc>
          <w:tcPr>
            <w:tcW w:type="dxa" w:w="2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None found</w:t>
            </w:r>
          </w:p>
        </w:tc>
        <w:tc>
          <w:tcPr>
            <w:tcW w:type="dxa" w:w="21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Consistent positive finding; contrasts directly with ABPS findings above</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Has PMJDY delivered meaningful financial inclusion?</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Chopra et al. (2023, WP); Ghosh (2017): account-level uptake, complementarity</w:t>
            </w:r>
          </w:p>
        </w:tc>
        <w:tc>
          <w:tcPr>
            <w:tcW w:type="dxa" w:w="2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Mahajan (2023): low activeness/usage at national scale; Duvendack et al. (2023): gendered proxy-account problem</w:t>
            </w:r>
          </w:p>
        </w:tc>
        <w:tc>
          <w:tcPr>
            <w:tcW w:type="dxa" w:w="21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Account-opening success is well supported; sustained active/equitable use is not</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Is India's rural-urban digital divide closing?</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None found</w:t>
            </w:r>
          </w:p>
        </w:tc>
        <w:tc>
          <w:tcPr>
            <w:tcW w:type="dxa" w:w="2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Arora &amp; Sapre (2026); Biradar et al. (2026): both find a persistent, structural gap</w:t>
            </w:r>
          </w:p>
        </w:tc>
        <w:tc>
          <w:tcPr>
            <w:tcW w:type="dxa" w:w="21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Consistent finding across two independent 2026 studies using different methods</w:t>
            </w:r>
          </w:p>
        </w:tc>
      </w:tr>
      <w:tr>
        <w:tc>
          <w:tcPr>
            <w:tcW w:type="dxa" w:w="2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Does e-Shram deliver welfare benefits proportional to its registration scale?</w:t>
            </w:r>
          </w:p>
        </w:tc>
        <w:tc>
          <w:tcPr>
            <w:tcW w:type="dxa" w:w="24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Melhem (2014)-style institutional optimism about digital ID generally</w:t>
            </w:r>
          </w:p>
        </w:tc>
        <w:tc>
          <w:tcPr>
            <w:tcW w:type="dxa" w:w="2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Sinha et al. (2026): “narrow formalisation,” registration without proportionate benefit</w:t>
            </w:r>
          </w:p>
        </w:tc>
        <w:tc>
          <w:tcPr>
            <w:tcW w:type="dxa" w:w="2160"/>
            <w:tcBorders>
              <w:top w:val="single" w:color="BFBFBF" w:sz="4"/>
              <w:left w:val="single" w:color="BFBFBF" w:sz="4"/>
              <w:bottom w:val="single" w:color="BFBFBF" w:sz="4"/>
              <w:right w:val="single" w:color="BFBFBF" w:sz="4"/>
            </w:tcBorders>
            <w:tcMar>
              <w:top w:type="dxa" w:w="100"/>
              <w:left w:type="dxa" w:w="100"/>
              <w:bottom w:type="dxa" w:w="100"/>
              <w:right w:type="dxa" w:w="100"/>
            </w:tcMar>
          </w:tcPr>
          <w:p>
            <w:r>
              <w:rPr>
                <w:rFonts w:ascii="Georgia" w:cs="Georgia" w:eastAsia="Georgia" w:hAnsi="Georgia"/>
                <w:sz w:val="18"/>
                <w:szCs w:val="18"/>
              </w:rPr>
              <w:t xml:space="preserve">The one directly relevant peer-reviewed study is critical; institutional optimism here is dated and predates e-Shram itself</w:t>
            </w:r>
          </w:p>
        </w:tc>
      </w:tr>
    </w:tbl>
    <w:p>
      <w:pPr>
        <w:spacing w:after="200"/>
      </w:pPr>
    </w:p>
    <w:p>
      <w:pPr>
        <w:pStyle w:val="Heading1"/>
        <w:spacing w:after="200" w:before="360"/>
      </w:pPr>
      <w:r>
        <w:rPr>
          <w:rFonts w:ascii="Georgia" w:cs="Georgia" w:eastAsia="Georgia" w:hAnsi="Georgia"/>
          <w:b/>
          <w:bCs/>
          <w:color w:val="2E74B5"/>
          <w:sz w:val="32"/>
          <w:szCs w:val="32"/>
        </w:rPr>
        <w:t xml:space="preserve">6. Common Themes Across the Literature</w:t>
      </w:r>
    </w:p>
    <w:p>
      <w:pPr>
        <w:pStyle w:val="ListParagraph"/>
        <w:numPr>
          <w:ilvl w:val="0"/>
          <w:numId w:val="2"/>
        </w:numPr>
        <w:spacing w:after="160"/>
      </w:pPr>
      <w:r>
        <w:rPr>
          <w:rFonts w:ascii="Georgia" w:cs="Georgia" w:eastAsia="Georgia" w:hAnsi="Georgia"/>
          <w:sz w:val="22"/>
          <w:szCs w:val="22"/>
        </w:rPr>
        <w:t xml:space="preserve">A recurring distinction between eligibility-gating and disbursal/information-layer digitisation. Across three independent themes (PDS authentication, MGNREGA payments, and the JAM trinity), studies that examine a digital layer used to verify or gate eligibility (biometric PDS authentication, ABPS) tend to find exclusion effects, while studies examining a digital layer used to disburse, notify, or add information without gating eligibility (AP smartcards at disbursal, SMS payment notifications, PMJDY account-opening itself) tend to find more consistently positive effects.</w:t>
      </w:r>
    </w:p>
    <w:p>
      <w:pPr>
        <w:pStyle w:val="ListParagraph"/>
        <w:numPr>
          <w:ilvl w:val="0"/>
          <w:numId w:val="2"/>
        </w:numPr>
        <w:spacing w:after="160"/>
      </w:pPr>
      <w:r>
        <w:rPr>
          <w:rFonts w:ascii="Georgia" w:cs="Georgia" w:eastAsia="Georgia" w:hAnsi="Georgia"/>
          <w:sz w:val="22"/>
          <w:szCs w:val="22"/>
        </w:rPr>
        <w:t xml:space="preserve">A consistent “registration/access versus sustained use” gap. In PMJDY (Mahajan, 2023; Duvendack et al., 2023) and in e-Shram (Sinha et al., 2026), the literature repeatedly finds that reaching a large registration or account-opening number is measurably easier than converting that registration into active, equitable, ongoing benefit. It's a pattern that recurs across studies using entirely different methods and datasets.</w:t>
      </w:r>
    </w:p>
    <w:p>
      <w:pPr>
        <w:pStyle w:val="ListParagraph"/>
        <w:numPr>
          <w:ilvl w:val="0"/>
          <w:numId w:val="2"/>
        </w:numPr>
        <w:spacing w:after="160"/>
      </w:pPr>
      <w:r>
        <w:rPr>
          <w:rFonts w:ascii="Georgia" w:cs="Georgia" w:eastAsia="Georgia" w:hAnsi="Georgia"/>
          <w:sz w:val="22"/>
          <w:szCs w:val="22"/>
        </w:rPr>
        <w:t xml:space="preserve">Exclusion falls disproportionately on already-disadvantaged groups. Where studies examine who specifically is excluded, the same groups recur: the poorest (Basu et al., 2024), particular castes (Bheemarasetti et al., 2025), women (Sonne, 2025; Duvendack et al., 2023), migrant and older workers (Sinha et al., 2026), and residents of poorer or more rural states (Arora &amp; Sapre, 2026; Biradar et al., 2026).</w:t>
      </w:r>
    </w:p>
    <w:p>
      <w:pPr>
        <w:pStyle w:val="ListParagraph"/>
        <w:numPr>
          <w:ilvl w:val="0"/>
          <w:numId w:val="2"/>
        </w:numPr>
        <w:spacing w:after="160"/>
      </w:pPr>
      <w:r>
        <w:rPr>
          <w:rFonts w:ascii="Georgia" w:cs="Georgia" w:eastAsia="Georgia" w:hAnsi="Georgia"/>
          <w:sz w:val="22"/>
          <w:szCs w:val="22"/>
        </w:rPr>
        <w:t xml:space="preserve">Implementation quality, not technology choice alone, repeatedly emerges as the decisive variable. This is most explicit in Muralidharan et al.'s (2020/2025) own conclusion about their Jharkhand PDS study, but the same theme, that a well-managed transition or a well-designed digital layer performs differently from a poorly managed one, recurs implicitly across the MGNREGA and e-governance themes.</w:t>
      </w:r>
    </w:p>
    <w:p>
      <w:pPr>
        <w:pStyle w:val="Heading1"/>
        <w:spacing w:after="200" w:before="360"/>
      </w:pPr>
      <w:r>
        <w:rPr>
          <w:rFonts w:ascii="Georgia" w:cs="Georgia" w:eastAsia="Georgia" w:hAnsi="Georgia"/>
          <w:b/>
          <w:bCs/>
          <w:color w:val="2E74B5"/>
          <w:sz w:val="32"/>
          <w:szCs w:val="32"/>
        </w:rPr>
        <w:t xml:space="preserve">7. Points of Disagreement and Contested Findings</w:t>
      </w:r>
    </w:p>
    <w:p>
      <w:pPr>
        <w:spacing w:after="200"/>
        <w:jc w:val="left"/>
      </w:pPr>
      <w:r>
        <w:rPr>
          <w:rFonts w:ascii="Georgia" w:cs="Georgia" w:eastAsia="Georgia" w:hAnsi="Georgia"/>
          <w:sz w:val="22"/>
          <w:szCs w:val="22"/>
        </w:rPr>
        <w:t xml:space="preserve">Not every tension in this literature resolves as neatly as Section 6 suggests. Three genuine disagreements are worth stating plainly rather than synthesising away:</w:t>
      </w:r>
    </w:p>
    <w:p>
      <w:pPr>
        <w:pStyle w:val="ListParagraph"/>
        <w:numPr>
          <w:ilvl w:val="0"/>
          <w:numId w:val="1"/>
        </w:numPr>
        <w:spacing w:after="160"/>
      </w:pPr>
      <w:r>
        <w:rPr>
          <w:rFonts w:ascii="Georgia" w:cs="Georgia" w:eastAsia="Georgia" w:hAnsi="Georgia"/>
          <w:sz w:val="22"/>
          <w:szCs w:val="22"/>
        </w:rPr>
        <w:t xml:space="preserve">Muralidharan et al.'s own two studies (2016; 2020/2025) reach different conclusions about biometric authentication using comparably rigorous methods, in different states, for different welfare programmes, a few years apart. This project treats this as evidence that biometric authentication's effect is genuinely context-dependent rather than resolving it toward either study's conclusion as more “correct.”</w:t>
      </w:r>
    </w:p>
    <w:p>
      <w:pPr>
        <w:pStyle w:val="ListParagraph"/>
        <w:numPr>
          <w:ilvl w:val="0"/>
          <w:numId w:val="1"/>
        </w:numPr>
        <w:spacing w:after="160"/>
      </w:pPr>
      <w:r>
        <w:rPr>
          <w:rFonts w:ascii="Georgia" w:cs="Georgia" w:eastAsia="Georgia" w:hAnsi="Georgia"/>
          <w:sz w:val="22"/>
          <w:szCs w:val="22"/>
        </w:rPr>
        <w:t xml:space="preserve">Chopra, Prabhala and Tantri's (2023) positive account-level PMJDY findings and Mahajan's (2023) critical national-activeness findings are not strictly measuring the same outcome (uptake/shock-hedging versus a composite financial-inclusion quotient), and this project did not find a single study that reconciles both outcome measures on the same sample, so whether these two studies actually disagree, or are simply answering different questions, cannot be fully resolved from the literature located here.</w:t>
      </w:r>
    </w:p>
    <w:p>
      <w:pPr>
        <w:pStyle w:val="ListParagraph"/>
        <w:numPr>
          <w:ilvl w:val="0"/>
          <w:numId w:val="1"/>
        </w:numPr>
        <w:spacing w:after="160"/>
      </w:pPr>
      <w:r>
        <w:rPr>
          <w:rFonts w:ascii="Georgia" w:cs="Georgia" w:eastAsia="Georgia" w:hAnsi="Georgia"/>
          <w:sz w:val="22"/>
          <w:szCs w:val="22"/>
        </w:rPr>
        <w:t xml:space="preserve">The Chopra, Prabhala and Tantri (2023) study is, as of this writing, a working paper (posted on SSRN, most recently revised October 2023) rather than a peer-reviewed published article, unlike every other economics/finance study in this synthesis. Its findings are reported here with that caveat attached, since working-paper findings have not been through the same review process as the published studies it is compared against.</w:t>
      </w:r>
    </w:p>
    <w:p>
      <w:pPr>
        <w:pStyle w:val="Heading1"/>
        <w:spacing w:after="200" w:before="360"/>
      </w:pPr>
      <w:r>
        <w:rPr>
          <w:rFonts w:ascii="Georgia" w:cs="Georgia" w:eastAsia="Georgia" w:hAnsi="Georgia"/>
          <w:b/>
          <w:bCs/>
          <w:color w:val="2E74B5"/>
          <w:sz w:val="32"/>
          <w:szCs w:val="32"/>
        </w:rPr>
        <w:t xml:space="preserve">8. Evidence Gaps</w:t>
      </w:r>
    </w:p>
    <w:p>
      <w:pPr>
        <w:spacing w:after="200"/>
        <w:jc w:val="left"/>
      </w:pPr>
      <w:r>
        <w:rPr>
          <w:rFonts w:ascii="Georgia" w:cs="Georgia" w:eastAsia="Georgia" w:hAnsi="Georgia"/>
          <w:sz w:val="22"/>
          <w:szCs w:val="22"/>
        </w:rPr>
        <w:t xml:space="preserve">Several questions this project set out to answer turned out not to have a clear peer-reviewed academic answer, and are recorded here as gaps rather than filled with lower-quality sources presented as equivalent:</w:t>
      </w:r>
    </w:p>
    <w:p>
      <w:pPr>
        <w:pStyle w:val="ListParagraph"/>
        <w:numPr>
          <w:ilvl w:val="0"/>
          <w:numId w:val="1"/>
        </w:numPr>
        <w:spacing w:after="160"/>
      </w:pPr>
      <w:r>
        <w:rPr>
          <w:rFonts w:ascii="Georgia" w:cs="Georgia" w:eastAsia="Georgia" w:hAnsi="Georgia"/>
          <w:sz w:val="22"/>
          <w:szCs w:val="22"/>
        </w:rPr>
        <w:t xml:space="preserve">No peer-reviewed academic evaluation of CoWIN's digital-first design and its exclusion effects during India's COVID-19 vaccination campaign was located. What is publicly known about CoWIN's urban skew and its shift toward offline registration rests on institutional/journalistic reporting, not the peer-reviewed literature that covers every other theme in this project.</w:t>
      </w:r>
    </w:p>
    <w:p>
      <w:pPr>
        <w:pStyle w:val="ListParagraph"/>
        <w:numPr>
          <w:ilvl w:val="0"/>
          <w:numId w:val="1"/>
        </w:numPr>
        <w:spacing w:after="160"/>
      </w:pPr>
      <w:r>
        <w:rPr>
          <w:rFonts w:ascii="Georgia" w:cs="Georgia" w:eastAsia="Georgia" w:hAnsi="Georgia"/>
          <w:sz w:val="22"/>
          <w:szCs w:val="22"/>
        </w:rPr>
        <w:t xml:space="preserve">No peer-reviewed academic evaluation of BHASHINI (India's government multilingual-access initiative) was located; it is a newer initiative and appears only in government/policy sources at the time of writing.</w:t>
      </w:r>
    </w:p>
    <w:p>
      <w:pPr>
        <w:pStyle w:val="ListParagraph"/>
        <w:numPr>
          <w:ilvl w:val="0"/>
          <w:numId w:val="1"/>
        </w:numPr>
        <w:spacing w:after="160"/>
      </w:pPr>
      <w:r>
        <w:rPr>
          <w:rFonts w:ascii="Georgia" w:cs="Georgia" w:eastAsia="Georgia" w:hAnsi="Georgia"/>
          <w:sz w:val="22"/>
          <w:szCs w:val="22"/>
        </w:rPr>
        <w:t xml:space="preserve">Longitudinal evidence is thin. Most studies in this literature, including the most rigorous ones, are single-round snapshots (a single survey wave, a single year of transaction data, a single set of interviews) rather than evidence tracking the same beneficiaries' digital-inclusion experience over multiple years.</w:t>
      </w:r>
    </w:p>
    <w:p>
      <w:pPr>
        <w:pStyle w:val="ListParagraph"/>
        <w:numPr>
          <w:ilvl w:val="0"/>
          <w:numId w:val="1"/>
        </w:numPr>
        <w:spacing w:after="160"/>
      </w:pPr>
      <w:r>
        <w:rPr>
          <w:rFonts w:ascii="Georgia" w:cs="Georgia" w:eastAsia="Georgia" w:hAnsi="Georgia"/>
          <w:sz w:val="22"/>
          <w:szCs w:val="22"/>
        </w:rPr>
        <w:t xml:space="preserve">Very few studies causally isolate gender from correlated factors (age, caste, income, geography) in explaining digital exclusion. Biradar et al.'s (2026) decomposition analysis is the closest exception located here, but it is descriptive/decompositional rather than causal, and Sonne's (2025) qualitative work, while mechanistic, is not designed to produce a causal effect size.</w:t>
      </w:r>
    </w:p>
    <w:p>
      <w:pPr>
        <w:pStyle w:val="ListParagraph"/>
        <w:numPr>
          <w:ilvl w:val="0"/>
          <w:numId w:val="1"/>
        </w:numPr>
        <w:spacing w:after="160"/>
      </w:pPr>
      <w:r>
        <w:rPr>
          <w:rFonts w:ascii="Georgia" w:cs="Georgia" w:eastAsia="Georgia" w:hAnsi="Georgia"/>
          <w:sz w:val="22"/>
          <w:szCs w:val="22"/>
        </w:rPr>
        <w:t xml:space="preserve">e-Shram-specific peer-reviewed literature is sparse. Sinha, Gallien and van den Boogaard (2026) is, as far as this search located, one of very few academic treatments of the platform to date, which means much of what is publicly claimed about e-Shram's outcomes still rests on advocacy-sector reporting (e.g. WIEGO) rather than a developed peer-reviewed literature.</w:t>
      </w:r>
    </w:p>
    <w:p>
      <w:pPr>
        <w:pStyle w:val="ListParagraph"/>
        <w:numPr>
          <w:ilvl w:val="0"/>
          <w:numId w:val="1"/>
        </w:numPr>
        <w:spacing w:after="160"/>
      </w:pPr>
      <w:r>
        <w:rPr>
          <w:rFonts w:ascii="Georgia" w:cs="Georgia" w:eastAsia="Georgia" w:hAnsi="Georgia"/>
          <w:sz w:val="22"/>
          <w:szCs w:val="22"/>
        </w:rPr>
        <w:t xml:space="preserve">No study located here directly compares outcome measures across the PMJDY papers on a common definition of “active use”; Section 7 records this as an unresolved measurement-comparability gap rather than a resolved disagreement.</w:t>
      </w:r>
    </w:p>
    <w:p>
      <w:pPr>
        <w:pStyle w:val="Heading1"/>
        <w:spacing w:after="200" w:before="360"/>
      </w:pPr>
      <w:r>
        <w:rPr>
          <w:rFonts w:ascii="Georgia" w:cs="Georgia" w:eastAsia="Georgia" w:hAnsi="Georgia"/>
          <w:b/>
          <w:bCs/>
          <w:color w:val="2E74B5"/>
          <w:sz w:val="32"/>
          <w:szCs w:val="32"/>
        </w:rPr>
        <w:t xml:space="preserve">9. Synthesis: What Does the Literature Show?</w:t>
      </w:r>
    </w:p>
    <w:p>
      <w:pPr>
        <w:spacing w:after="200"/>
        <w:jc w:val="left"/>
      </w:pPr>
      <w:r>
        <w:rPr>
          <w:rFonts w:ascii="Georgia" w:cs="Georgia" w:eastAsia="Georgia" w:hAnsi="Georgia"/>
          <w:sz w:val="22"/>
          <w:szCs w:val="22"/>
        </w:rPr>
        <w:t xml:space="preserve">The literature reviewed here does not support a single, simple verdict that digitisation of public services in India has straightforwardly “reduced” or “widened” access gaps. The more striking finding of this synthesis is that this ambiguity isn't a failure of the literature to agree, but a genuinely consistent pattern running through it. Across every theme examined (PDS authentication in Section 4.1, MGNREGA payments in Section 4.2, the JAM trinity in Section 4.3, access and gender divides in Section 4.4, and e-governance intermediaries in Section 4.5), the same distinction recurs. Digitisation that adds information, assistance, or disbursal efficiency without gating eligibility tends, across independent studies using different methods, to show positive or neutral effects on inclusion (Muralidharan et al., 2016; Das et al., 2023; Nanda, 2022; Ghosh, 2017). Digitisation that gates eligibility or benefit receipt behind a biometric, app-based, or centralised-registration step tends, across an equally independent set of studies, to produce measurable exclusion of genuine beneficiaries, concentrated among groups already disadvantaged on other grounds (Drèze et al., 2017; Muralidharan et al., 2020/2025; Bheemarasetti et al., 2025; Sinha et al., 2026; Ngullie, 2025).</w:t>
      </w:r>
    </w:p>
    <w:p>
      <w:pPr>
        <w:spacing w:after="200"/>
        <w:jc w:val="left"/>
      </w:pPr>
      <w:r>
        <w:rPr>
          <w:rFonts w:ascii="Georgia" w:cs="Georgia" w:eastAsia="Georgia" w:hAnsi="Georgia"/>
          <w:sz w:val="22"/>
          <w:szCs w:val="22"/>
        </w:rPr>
        <w:t xml:space="preserve">A second consistent finding, cutting across the financial-inclusion and worker-registration themes specifically, is that the literature repeatedly documents success at the “first mile” of digital public services (accounts opened, workers registered, identities issued) alongside a much less resolved “last mile” of sustained, active, equitable benefit (Mahajan, 2023; Duvendack et al., 2023; Sinha et al., 2026). Where studies measure registration or account-opening, they tend to report success. Where studies measure ongoing active use or benefit receipt, they tend to report a substantially less complete picture. Neither finding is wrong; they're measuring different stages of the same delivery chain. But a synthesis that only cited the registration-stage literature, or only the benefit-delivery-stage literature, would materially misrepresent what the evidence as a whole shows.</w:t>
      </w:r>
    </w:p>
    <w:p>
      <w:pPr>
        <w:spacing w:after="200"/>
        <w:jc w:val="left"/>
      </w:pPr>
      <w:r>
        <w:rPr>
          <w:rFonts w:ascii="Georgia" w:cs="Georgia" w:eastAsia="Georgia" w:hAnsi="Georgia"/>
          <w:sz w:val="22"/>
          <w:szCs w:val="22"/>
        </w:rPr>
        <w:t xml:space="preserve">Taken together, the literature supports treating “has digitisation helped or hurt access” as the wrong level of question. The more precise question the evidence actually answers is: at which point in a service's delivery chain does the digital layer sit, and is it eligibility-gating or purely additive? On that more precise question, this literature gives a genuinely consistent answer.</w:t>
      </w:r>
    </w:p>
    <w:p>
      <w:pPr>
        <w:pStyle w:val="Heading1"/>
        <w:spacing w:after="200" w:before="360"/>
      </w:pPr>
      <w:r>
        <w:rPr>
          <w:rFonts w:ascii="Georgia" w:cs="Georgia" w:eastAsia="Georgia" w:hAnsi="Georgia"/>
          <w:b/>
          <w:bCs/>
          <w:color w:val="2E74B5"/>
          <w:sz w:val="32"/>
          <w:szCs w:val="32"/>
        </w:rPr>
        <w:t xml:space="preserve">10. Policy Implications Drawn from the Literature</w:t>
      </w:r>
    </w:p>
    <w:p>
      <w:pPr>
        <w:spacing w:after="200"/>
        <w:jc w:val="left"/>
      </w:pPr>
      <w:r>
        <w:rPr>
          <w:rFonts w:ascii="Georgia" w:cs="Georgia" w:eastAsia="Georgia" w:hAnsi="Georgia"/>
          <w:sz w:val="22"/>
          <w:szCs w:val="22"/>
        </w:rPr>
        <w:t xml:space="preserve">The recommendations below are drawn directly from what the cited studies themselves argue or imply, not proposed independently of the evidence base:</w:t>
      </w:r>
    </w:p>
    <w:p>
      <w:pPr>
        <w:pStyle w:val="ListParagraph"/>
        <w:numPr>
          <w:ilvl w:val="0"/>
          <w:numId w:val="2"/>
        </w:numPr>
        <w:spacing w:after="160"/>
      </w:pPr>
      <w:r>
        <w:rPr>
          <w:rFonts w:ascii="Georgia" w:cs="Georgia" w:eastAsia="Georgia" w:hAnsi="Georgia"/>
          <w:sz w:val="22"/>
          <w:szCs w:val="22"/>
        </w:rPr>
        <w:t xml:space="preserve">Separate authentication/eligibility-gating from disbursal wherever possible. This follows directly from Muralidharan et al.'s (2016; 2020/2025) own contrast between their two studies, and from the Das et al. (2023) versus Bheemarasetti et al. (2025) contrast in the MGNREGA literature: digital layers that assist disbursal perform better in this literature than digital layers that gate eligibility.</w:t>
      </w:r>
    </w:p>
    <w:p>
      <w:pPr>
        <w:pStyle w:val="ListParagraph"/>
        <w:numPr>
          <w:ilvl w:val="0"/>
          <w:numId w:val="2"/>
        </w:numPr>
        <w:spacing w:after="160"/>
      </w:pPr>
      <w:r>
        <w:rPr>
          <w:rFonts w:ascii="Georgia" w:cs="Georgia" w:eastAsia="Georgia" w:hAnsi="Georgia"/>
          <w:sz w:val="22"/>
          <w:szCs w:val="22"/>
        </w:rPr>
        <w:t xml:space="preserve">Treat implementation-transition management as a first-order design variable, not an afterthought. Muralidharan et al. (2020/2025) explicitly attribute their study's exclusion finding to how the transition was managed, not to biometric technology as such, which implies that transition design is itself a policy lever.</w:t>
      </w:r>
    </w:p>
    <w:p>
      <w:pPr>
        <w:pStyle w:val="ListParagraph"/>
        <w:numPr>
          <w:ilvl w:val="0"/>
          <w:numId w:val="2"/>
        </w:numPr>
        <w:spacing w:after="160"/>
      </w:pPr>
      <w:r>
        <w:rPr>
          <w:rFonts w:ascii="Georgia" w:cs="Georgia" w:eastAsia="Georgia" w:hAnsi="Georgia"/>
          <w:sz w:val="22"/>
          <w:szCs w:val="22"/>
        </w:rPr>
        <w:t xml:space="preserve">Measure and publish active-use and benefit-delivery rates, not only registration or account-opening counts. Mahajan (2023), Duvendack et al. (2023), and Sinha et al. (2026) each independently show that registration-stage metrics conceal a much less complete benefit-delivery-stage picture; official reporting that stops at registration numbers, per this literature, systematically overstates programme success.</w:t>
      </w:r>
    </w:p>
    <w:p>
      <w:pPr>
        <w:pStyle w:val="ListParagraph"/>
        <w:numPr>
          <w:ilvl w:val="0"/>
          <w:numId w:val="2"/>
        </w:numPr>
        <w:spacing w:after="160"/>
      </w:pPr>
      <w:r>
        <w:rPr>
          <w:rFonts w:ascii="Georgia" w:cs="Georgia" w:eastAsia="Georgia" w:hAnsi="Georgia"/>
          <w:sz w:val="22"/>
          <w:szCs w:val="22"/>
        </w:rPr>
        <w:t xml:space="preserve">Invest specifically in gender-targeted interventions that address intra-household control, not only device/data affordability. Sonne's (2025) finding that family permission-seeking and monitoring, not only cost, constrain women's phone use implies that supply-side affordability programmes alone, per this literature, address only part of the mechanism.</w:t>
      </w:r>
    </w:p>
    <w:p>
      <w:pPr>
        <w:pStyle w:val="ListParagraph"/>
        <w:numPr>
          <w:ilvl w:val="0"/>
          <w:numId w:val="2"/>
        </w:numPr>
        <w:spacing w:after="160"/>
      </w:pPr>
      <w:r>
        <w:rPr>
          <w:rFonts w:ascii="Georgia" w:cs="Georgia" w:eastAsia="Georgia" w:hAnsi="Georgia"/>
          <w:sz w:val="22"/>
          <w:szCs w:val="22"/>
        </w:rPr>
        <w:t xml:space="preserve">Preserve and invest in physical, assisted intermediation (Common Service Centres) rather than treating it as a transitional stopgap. Nanda (2022) frames CSCs as a genuinely effective bridging institution, and the contrast with Sinha et al.'s (2026) more critical e-Shram findings suggests assisted intermediation may be doing more inclusion work than purely digital registration layers.</w:t>
      </w:r>
    </w:p>
    <w:p>
      <w:pPr>
        <w:pStyle w:val="ListParagraph"/>
        <w:numPr>
          <w:ilvl w:val="0"/>
          <w:numId w:val="2"/>
        </w:numPr>
        <w:spacing w:after="160"/>
      </w:pPr>
      <w:r>
        <w:rPr>
          <w:rFonts w:ascii="Georgia" w:cs="Georgia" w:eastAsia="Georgia" w:hAnsi="Georgia"/>
          <w:sz w:val="22"/>
          <w:szCs w:val="22"/>
        </w:rPr>
        <w:t xml:space="preserve">Commission dedicated peer-reviewed evaluation of CoWIN and BHASHINI. Section 8 identifies both as significant gaps in the current peer-reviewed literature relative to their policy salience; the pattern found elsewhere in this literature (eligibility-gating tends to exclude; purely additive digital layers tend to help) cannot currently be tested against either programme with academic-quality evidence.</w:t>
      </w:r>
    </w:p>
    <w:p>
      <w:pPr>
        <w:pStyle w:val="Heading1"/>
        <w:spacing w:after="200" w:before="360"/>
      </w:pPr>
      <w:r>
        <w:rPr>
          <w:rFonts w:ascii="Georgia" w:cs="Georgia" w:eastAsia="Georgia" w:hAnsi="Georgia"/>
          <w:b/>
          <w:bCs/>
          <w:color w:val="2E74B5"/>
          <w:sz w:val="32"/>
          <w:szCs w:val="32"/>
        </w:rPr>
        <w:t xml:space="preserve">11. Limitations of This Review</w:t>
      </w:r>
    </w:p>
    <w:p>
      <w:pPr>
        <w:pStyle w:val="ListParagraph"/>
        <w:numPr>
          <w:ilvl w:val="0"/>
          <w:numId w:val="1"/>
        </w:numPr>
        <w:spacing w:after="160"/>
      </w:pPr>
      <w:r>
        <w:rPr>
          <w:rFonts w:ascii="Georgia" w:cs="Georgia" w:eastAsia="Georgia" w:hAnsi="Georgia"/>
          <w:sz w:val="22"/>
          <w:szCs w:val="22"/>
        </w:rPr>
        <w:t xml:space="preserve">This is a literature synthesis, not new primary research; every finding reported here is only as reliable as the underlying study it is drawn from, and this project did not independently re-analyse any dataset.</w:t>
      </w:r>
    </w:p>
    <w:p>
      <w:pPr>
        <w:pStyle w:val="ListParagraph"/>
        <w:numPr>
          <w:ilvl w:val="0"/>
          <w:numId w:val="1"/>
        </w:numPr>
        <w:spacing w:after="160"/>
      </w:pPr>
      <w:r>
        <w:rPr>
          <w:rFonts w:ascii="Georgia" w:cs="Georgia" w:eastAsia="Georgia" w:hAnsi="Georgia"/>
          <w:sz w:val="22"/>
          <w:szCs w:val="22"/>
        </w:rPr>
        <w:t xml:space="preserve">Search-based literature discovery, even carefully verified, is not equivalent to a systematic review with defined database coverage; some relevant peer-reviewed studies almost certainly exist that this process did not locate.</w:t>
      </w:r>
    </w:p>
    <w:p>
      <w:pPr>
        <w:pStyle w:val="ListParagraph"/>
        <w:numPr>
          <w:ilvl w:val="0"/>
          <w:numId w:val="1"/>
        </w:numPr>
        <w:spacing w:after="160"/>
      </w:pPr>
      <w:r>
        <w:rPr>
          <w:rFonts w:ascii="Georgia" w:cs="Georgia" w:eastAsia="Georgia" w:hAnsi="Georgia"/>
          <w:sz w:val="22"/>
          <w:szCs w:val="22"/>
        </w:rPr>
        <w:t xml:space="preserve">Several sources were read via their DOI-page or repository-mirror abstract/summary rather than the complete full text (noted in data/ACADEMIC_SOURCES.md for each affected source), which may miss nuances in a paper's discussion, robustness checks, or stated limitations.</w:t>
      </w:r>
    </w:p>
    <w:p>
      <w:pPr>
        <w:pStyle w:val="ListParagraph"/>
        <w:numPr>
          <w:ilvl w:val="0"/>
          <w:numId w:val="1"/>
        </w:numPr>
        <w:spacing w:after="160"/>
      </w:pPr>
      <w:r>
        <w:rPr>
          <w:rFonts w:ascii="Georgia" w:cs="Georgia" w:eastAsia="Georgia" w:hAnsi="Georgia"/>
          <w:sz w:val="22"/>
          <w:szCs w:val="22"/>
        </w:rPr>
        <w:t xml:space="preserve">One source (Chopra, Prabhala &amp; Tantri) is a working paper rather than a peer-reviewed publication and is flagged as such wherever it is cited; its findings carry correspondingly less certainty than the published studies alongside it.</w:t>
      </w:r>
    </w:p>
    <w:p>
      <w:pPr>
        <w:pStyle w:val="ListParagraph"/>
        <w:numPr>
          <w:ilvl w:val="0"/>
          <w:numId w:val="1"/>
        </w:numPr>
        <w:spacing w:after="160"/>
      </w:pPr>
      <w:r>
        <w:rPr>
          <w:rFonts w:ascii="Georgia" w:cs="Georgia" w:eastAsia="Georgia" w:hAnsi="Georgia"/>
          <w:sz w:val="22"/>
          <w:szCs w:val="22"/>
        </w:rPr>
        <w:t xml:space="preserve">This synthesis focuses on English-language sources retrievable through general web search; literature published only in Indian regional languages, or held only in subscription databases this project's tools do not access, is not represented here.</w:t>
      </w:r>
    </w:p>
    <w:p>
      <w:pPr>
        <w:pStyle w:val="Heading1"/>
        <w:spacing w:after="200" w:before="360"/>
      </w:pPr>
      <w:r>
        <w:rPr>
          <w:rFonts w:ascii="Georgia" w:cs="Georgia" w:eastAsia="Georgia" w:hAnsi="Georgia"/>
          <w:b/>
          <w:bCs/>
          <w:color w:val="2E74B5"/>
          <w:sz w:val="32"/>
          <w:szCs w:val="32"/>
        </w:rPr>
        <w:t xml:space="preserve">12. References</w:t>
      </w:r>
    </w:p>
    <w:p>
      <w:pPr>
        <w:pStyle w:val="Heading2"/>
        <w:spacing w:after="160" w:before="280"/>
      </w:pPr>
      <w:r>
        <w:rPr>
          <w:rFonts w:ascii="Georgia" w:cs="Georgia" w:eastAsia="Georgia" w:hAnsi="Georgia"/>
          <w:b/>
          <w:bCs/>
          <w:color w:val="2E74B5"/>
          <w:sz w:val="26"/>
          <w:szCs w:val="26"/>
        </w:rPr>
        <w:t xml:space="preserve">Academic and working papers</w:t>
      </w:r>
    </w:p>
    <w:p>
      <w:pPr>
        <w:spacing w:after="200"/>
        <w:ind w:left="431" w:hanging="431"/>
      </w:pPr>
      <w:r>
        <w:rPr>
          <w:rFonts w:ascii="Georgia" w:cs="Georgia" w:eastAsia="Georgia" w:hAnsi="Georgia"/>
          <w:sz w:val="22"/>
          <w:szCs w:val="22"/>
        </w:rPr>
        <w:t xml:space="preserve">Arora, R., &amp; Sapre, N. (2026). Rural-urban digital divide: Evidence from Indian states. International Journal of Finance &amp; Economics, 31(2), 2912-2932. </w:t>
      </w:r>
      <w:hyperlink w:history="1" r:id="rIdrfebnxtbctx73mojrl3vn">
        <w:r>
          <w:rPr>
            <w:rFonts w:ascii="Georgia" w:cs="Georgia" w:eastAsia="Georgia" w:hAnsi="Georgia"/>
            <w:color w:val="0563C1"/>
            <w:sz w:val="22"/>
            <w:szCs w:val="22"/>
            <w:u w:val="single"/>
          </w:rPr>
          <w:t xml:space="preserve">https://doi.org/10.1002/ijfe.70045</w:t>
        </w:r>
      </w:hyperlink>
    </w:p>
    <w:p>
      <w:pPr>
        <w:spacing w:after="200"/>
        <w:ind w:left="431" w:hanging="431"/>
      </w:pPr>
      <w:r>
        <w:rPr>
          <w:rFonts w:ascii="Georgia" w:cs="Georgia" w:eastAsia="Georgia" w:hAnsi="Georgia"/>
          <w:sz w:val="22"/>
          <w:szCs w:val="22"/>
        </w:rPr>
        <w:t xml:space="preserve">Basu, P., Raj, R. S. N., &amp; Sen, K. (2024). Payment delay in workfare programmes and household welfare: Theory and some evidence from India. Manchester School, 92(2), 93-121. </w:t>
      </w:r>
      <w:hyperlink w:history="1" r:id="rIdwqlkouutvk9yjjtkzlyzb">
        <w:r>
          <w:rPr>
            <w:rFonts w:ascii="Georgia" w:cs="Georgia" w:eastAsia="Georgia" w:hAnsi="Georgia"/>
            <w:color w:val="0563C1"/>
            <w:sz w:val="22"/>
            <w:szCs w:val="22"/>
            <w:u w:val="single"/>
          </w:rPr>
          <w:t xml:space="preserve">https://doi.org/10.1111/manc.12460</w:t>
        </w:r>
      </w:hyperlink>
    </w:p>
    <w:p>
      <w:pPr>
        <w:spacing w:after="200"/>
        <w:ind w:left="431" w:hanging="431"/>
      </w:pPr>
      <w:r>
        <w:rPr>
          <w:rFonts w:ascii="Georgia" w:cs="Georgia" w:eastAsia="Georgia" w:hAnsi="Georgia"/>
          <w:sz w:val="22"/>
          <w:szCs w:val="22"/>
        </w:rPr>
        <w:t xml:space="preserve">Bheemarasetti, S., De, A., Narayanan, R., Saboo, P., &amp; Tamang, L. (2025). MGNREGA as a technological laboratory: Analysing wage payment delays as a result of two digital interventions. Indian Journal of Labour Economics, 68(2), 681-706. </w:t>
      </w:r>
      <w:hyperlink w:history="1" r:id="rIdu8gyk753fnqiw21gbzi3n">
        <w:r>
          <w:rPr>
            <w:rFonts w:ascii="Georgia" w:cs="Georgia" w:eastAsia="Georgia" w:hAnsi="Georgia"/>
            <w:color w:val="0563C1"/>
            <w:sz w:val="22"/>
            <w:szCs w:val="22"/>
            <w:u w:val="single"/>
          </w:rPr>
          <w:t xml:space="preserve">https://doi.org/10.1007/s41027-024-00539-9</w:t>
        </w:r>
      </w:hyperlink>
    </w:p>
    <w:p>
      <w:pPr>
        <w:spacing w:after="200"/>
        <w:ind w:left="431" w:hanging="431"/>
      </w:pPr>
      <w:r>
        <w:rPr>
          <w:rFonts w:ascii="Georgia" w:cs="Georgia" w:eastAsia="Georgia" w:hAnsi="Georgia"/>
          <w:sz w:val="22"/>
          <w:szCs w:val="22"/>
        </w:rPr>
        <w:t xml:space="preserve">Biradar, J., Deo, S., &amp; Kaur, S. (2026). Rural-urban digital divide in India: A decomposition analysis. Journal of Social and Economic Development. </w:t>
      </w:r>
      <w:hyperlink w:history="1" r:id="rIdtujuo4ekjbkhpxucasg3x">
        <w:r>
          <w:rPr>
            <w:rFonts w:ascii="Georgia" w:cs="Georgia" w:eastAsia="Georgia" w:hAnsi="Georgia"/>
            <w:color w:val="0563C1"/>
            <w:sz w:val="22"/>
            <w:szCs w:val="22"/>
            <w:u w:val="single"/>
          </w:rPr>
          <w:t xml:space="preserve">https://doi.org/10.1007/s40847-026-00500-0</w:t>
        </w:r>
      </w:hyperlink>
    </w:p>
    <w:p>
      <w:pPr>
        <w:spacing w:after="200"/>
        <w:ind w:left="431" w:hanging="431"/>
      </w:pPr>
      <w:r>
        <w:rPr>
          <w:rFonts w:ascii="Georgia" w:cs="Georgia" w:eastAsia="Georgia" w:hAnsi="Georgia"/>
          <w:sz w:val="22"/>
          <w:szCs w:val="22"/>
        </w:rPr>
        <w:t xml:space="preserve">Chopra, Y., Prabhala, N., &amp; Tantri, P. L. (2023). Bank accounts for the unbanked: Evidence from a big bang experiment (Working paper, first posted 2017, revised October 2023). SSRN. </w:t>
      </w:r>
      <w:hyperlink w:history="1" r:id="rIdmm80ekzvrqhgo0paawpyp">
        <w:r>
          <w:rPr>
            <w:rFonts w:ascii="Georgia" w:cs="Georgia" w:eastAsia="Georgia" w:hAnsi="Georgia"/>
            <w:color w:val="0563C1"/>
            <w:sz w:val="22"/>
            <w:szCs w:val="22"/>
            <w:u w:val="single"/>
          </w:rPr>
          <w:t xml:space="preserve">https://papers.ssrn.com/sol3/papers.cfm?abstract_id=2919091</w:t>
        </w:r>
      </w:hyperlink>
    </w:p>
    <w:p>
      <w:pPr>
        <w:spacing w:after="200"/>
        <w:ind w:left="431" w:hanging="431"/>
      </w:pPr>
      <w:r>
        <w:rPr>
          <w:rFonts w:ascii="Georgia" w:cs="Georgia" w:eastAsia="Georgia" w:hAnsi="Georgia"/>
          <w:sz w:val="22"/>
          <w:szCs w:val="22"/>
        </w:rPr>
        <w:t xml:space="preserve">Das, U., Paul, A., &amp; Sharma, M. (2023). Reducing delay in payments in welfare programs: Experimental evidence from an information dissemination intervention. World Bank Economic Review, 37(3), 494-517. </w:t>
      </w:r>
      <w:hyperlink w:history="1" r:id="rIdbmc0ctkrlywwntao9jxga">
        <w:r>
          <w:rPr>
            <w:rFonts w:ascii="Georgia" w:cs="Georgia" w:eastAsia="Georgia" w:hAnsi="Georgia"/>
            <w:color w:val="0563C1"/>
            <w:sz w:val="22"/>
            <w:szCs w:val="22"/>
            <w:u w:val="single"/>
          </w:rPr>
          <w:t xml:space="preserve">https://doi.org/10.1093/wber/lhad011</w:t>
        </w:r>
      </w:hyperlink>
    </w:p>
    <w:p>
      <w:pPr>
        <w:spacing w:after="200"/>
        <w:ind w:left="431" w:hanging="431"/>
      </w:pPr>
      <w:r>
        <w:rPr>
          <w:rFonts w:ascii="Georgia" w:cs="Georgia" w:eastAsia="Georgia" w:hAnsi="Georgia"/>
          <w:sz w:val="22"/>
          <w:szCs w:val="22"/>
        </w:rPr>
        <w:t xml:space="preserve">Drèze, J., Khalid, N., Khera, R., &amp; Somanchi, A. (2017). Aadhaar and food security in Jharkhand: Pain without gain? Economic and Political Weekly, 52(50). </w:t>
      </w:r>
      <w:hyperlink w:history="1" r:id="rIdkre9rfayvfbxk9hngbnrg">
        <w:r>
          <w:rPr>
            <w:rFonts w:ascii="Georgia" w:cs="Georgia" w:eastAsia="Georgia" w:hAnsi="Georgia"/>
            <w:color w:val="0563C1"/>
            <w:sz w:val="22"/>
            <w:szCs w:val="22"/>
            <w:u w:val="single"/>
          </w:rPr>
          <w:t xml:space="preserve">https://www.epw.in/journal/2017/50/special-articles/aadhaar-and-food-security-jharkhand.html</w:t>
        </w:r>
      </w:hyperlink>
    </w:p>
    <w:p>
      <w:pPr>
        <w:spacing w:after="200"/>
        <w:ind w:left="431" w:hanging="431"/>
      </w:pPr>
      <w:r>
        <w:rPr>
          <w:rFonts w:ascii="Georgia" w:cs="Georgia" w:eastAsia="Georgia" w:hAnsi="Georgia"/>
          <w:sz w:val="22"/>
          <w:szCs w:val="22"/>
        </w:rPr>
        <w:t xml:space="preserve">Duvendack, M., Sonne, L., &amp; Garikipati, S. (2023). Gender inclusivity of India's digital financial revolution for attainment of SDGs: Macro achievements and the micro experiences of targeted initiatives. European Journal of Development Research, 35(6), 1369-1391. </w:t>
      </w:r>
      <w:hyperlink w:history="1" r:id="rId_vvhonqgdvhgqh4raaqi1">
        <w:r>
          <w:rPr>
            <w:rFonts w:ascii="Georgia" w:cs="Georgia" w:eastAsia="Georgia" w:hAnsi="Georgia"/>
            <w:color w:val="0563C1"/>
            <w:sz w:val="22"/>
            <w:szCs w:val="22"/>
            <w:u w:val="single"/>
          </w:rPr>
          <w:t xml:space="preserve">https://doi.org/10.1057/s41287-023-00585-x</w:t>
        </w:r>
      </w:hyperlink>
    </w:p>
    <w:p>
      <w:pPr>
        <w:spacing w:after="200"/>
        <w:ind w:left="431" w:hanging="431"/>
      </w:pPr>
      <w:r>
        <w:rPr>
          <w:rFonts w:ascii="Georgia" w:cs="Georgia" w:eastAsia="Georgia" w:hAnsi="Georgia"/>
          <w:sz w:val="22"/>
          <w:szCs w:val="22"/>
        </w:rPr>
        <w:t xml:space="preserve">Ghosh, S. (2017). Financial inclusion, biometric identification and mobile: Unlocking the JAM trinity. International Journal of Development Issues, 16(2), 190-213. </w:t>
      </w:r>
      <w:hyperlink w:history="1" r:id="rIdm1-mlaxnuf3qlvghzrkpx">
        <w:r>
          <w:rPr>
            <w:rFonts w:ascii="Georgia" w:cs="Georgia" w:eastAsia="Georgia" w:hAnsi="Georgia"/>
            <w:color w:val="0563C1"/>
            <w:sz w:val="22"/>
            <w:szCs w:val="22"/>
            <w:u w:val="single"/>
          </w:rPr>
          <w:t xml:space="preserve">https://doi.org/10.1108/IJDI-02-2017-0012</w:t>
        </w:r>
      </w:hyperlink>
    </w:p>
    <w:p>
      <w:pPr>
        <w:spacing w:after="200"/>
        <w:ind w:left="431" w:hanging="431"/>
      </w:pPr>
      <w:r>
        <w:rPr>
          <w:rFonts w:ascii="Georgia" w:cs="Georgia" w:eastAsia="Georgia" w:hAnsi="Georgia"/>
          <w:sz w:val="22"/>
          <w:szCs w:val="22"/>
        </w:rPr>
        <w:t xml:space="preserve">Khera, R. (2017). Impact of Aadhaar on welfare programmes. Economic and Political Weekly, 52(50). </w:t>
      </w:r>
      <w:hyperlink w:history="1" r:id="rIdtc_fa209l8cxtvfqt7ail">
        <w:r>
          <w:rPr>
            <w:rFonts w:ascii="Georgia" w:cs="Georgia" w:eastAsia="Georgia" w:hAnsi="Georgia"/>
            <w:color w:val="0563C1"/>
            <w:sz w:val="22"/>
            <w:szCs w:val="22"/>
            <w:u w:val="single"/>
          </w:rPr>
          <w:t xml:space="preserve">https://www.epw.in/journal/2017/50/special-articles/impact-aadhaar-welfare-programmes.html</w:t>
        </w:r>
      </w:hyperlink>
    </w:p>
    <w:p>
      <w:pPr>
        <w:spacing w:after="200"/>
        <w:ind w:left="431" w:hanging="431"/>
      </w:pPr>
      <w:r>
        <w:rPr>
          <w:rFonts w:ascii="Georgia" w:cs="Georgia" w:eastAsia="Georgia" w:hAnsi="Georgia"/>
          <w:sz w:val="22"/>
          <w:szCs w:val="22"/>
        </w:rPr>
        <w:t xml:space="preserve">Mahajan, S. (2023). Financial inclusion in India: Achieving quantity, but waiting for quality. Economic and Political Weekly, 58(3). </w:t>
      </w:r>
      <w:hyperlink w:history="1" r:id="rIdkba0vz1gmaxs73mxhm7lp">
        <w:r>
          <w:rPr>
            <w:rFonts w:ascii="Georgia" w:cs="Georgia" w:eastAsia="Georgia" w:hAnsi="Georgia"/>
            <w:color w:val="0563C1"/>
            <w:sz w:val="22"/>
            <w:szCs w:val="22"/>
            <w:u w:val="single"/>
          </w:rPr>
          <w:t xml:space="preserve">https://www.epw.in/engage/article/financial-inclusion-india-achieving-quantity</w:t>
        </w:r>
      </w:hyperlink>
    </w:p>
    <w:p>
      <w:pPr>
        <w:spacing w:after="200"/>
        <w:ind w:left="431" w:hanging="431"/>
      </w:pPr>
      <w:r>
        <w:rPr>
          <w:rFonts w:ascii="Georgia" w:cs="Georgia" w:eastAsia="Georgia" w:hAnsi="Georgia"/>
          <w:sz w:val="22"/>
          <w:szCs w:val="22"/>
        </w:rPr>
        <w:t xml:space="preserve">Melhem, S. (2014, April 25). Creating 1.2 billion unique eIDs: Lessons from India. World Bank Blogs, Digital Development. </w:t>
      </w:r>
      <w:hyperlink w:history="1" r:id="rIdszjjbuyugqwyl2s59ujky">
        <w:r>
          <w:rPr>
            <w:rFonts w:ascii="Georgia" w:cs="Georgia" w:eastAsia="Georgia" w:hAnsi="Georgia"/>
            <w:color w:val="0563C1"/>
            <w:sz w:val="22"/>
            <w:szCs w:val="22"/>
            <w:u w:val="single"/>
          </w:rPr>
          <w:t xml:space="preserve">https://blogs.worldbank.org/en/digital-development/creating-12-billion-unique-eids-lessons-india</w:t>
        </w:r>
      </w:hyperlink>
    </w:p>
    <w:p>
      <w:pPr>
        <w:spacing w:after="200"/>
        <w:ind w:left="431" w:hanging="431"/>
      </w:pPr>
      <w:r>
        <w:rPr>
          <w:rFonts w:ascii="Georgia" w:cs="Georgia" w:eastAsia="Georgia" w:hAnsi="Georgia"/>
          <w:sz w:val="22"/>
          <w:szCs w:val="22"/>
        </w:rPr>
        <w:t xml:space="preserve">Muralidharan, K., Niehaus, P., &amp; Sukhtankar, S. (2016). Building state capacity: Evidence from biometric smartcards in India. American Economic Review, 106(10), 2895-2929. </w:t>
      </w:r>
      <w:hyperlink w:history="1" r:id="rIdbynzwwilqz3j6okssohu7">
        <w:r>
          <w:rPr>
            <w:rFonts w:ascii="Georgia" w:cs="Georgia" w:eastAsia="Georgia" w:hAnsi="Georgia"/>
            <w:color w:val="0563C1"/>
            <w:sz w:val="22"/>
            <w:szCs w:val="22"/>
            <w:u w:val="single"/>
          </w:rPr>
          <w:t xml:space="preserve">https://doi.org/10.1257/aer.20141346</w:t>
        </w:r>
      </w:hyperlink>
    </w:p>
    <w:p>
      <w:pPr>
        <w:spacing w:after="200"/>
        <w:ind w:left="431" w:hanging="431"/>
      </w:pPr>
      <w:r>
        <w:rPr>
          <w:rFonts w:ascii="Georgia" w:cs="Georgia" w:eastAsia="Georgia" w:hAnsi="Georgia"/>
          <w:sz w:val="22"/>
          <w:szCs w:val="22"/>
        </w:rPr>
        <w:t xml:space="preserve">Muralidharan, K., Niehaus, P., &amp; Sukhtankar, S. (2025). Identity verification standards in welfare programs: Experimental evidence from India. Review of Economics and Statistics, 107(2), 372-392. (Originally circulated as NBER Working Paper No. 26744, 2020.) </w:t>
      </w:r>
      <w:hyperlink w:history="1" r:id="rIdke2ujv3e0joqgjim2cuvo">
        <w:r>
          <w:rPr>
            <w:rFonts w:ascii="Georgia" w:cs="Georgia" w:eastAsia="Georgia" w:hAnsi="Georgia"/>
            <w:color w:val="0563C1"/>
            <w:sz w:val="22"/>
            <w:szCs w:val="22"/>
            <w:u w:val="single"/>
          </w:rPr>
          <w:t xml:space="preserve">https://www.nber.org/papers/w26744</w:t>
        </w:r>
      </w:hyperlink>
    </w:p>
    <w:p>
      <w:pPr>
        <w:spacing w:after="200"/>
        <w:ind w:left="431" w:hanging="431"/>
      </w:pPr>
      <w:r>
        <w:rPr>
          <w:rFonts w:ascii="Georgia" w:cs="Georgia" w:eastAsia="Georgia" w:hAnsi="Georgia"/>
          <w:sz w:val="22"/>
          <w:szCs w:val="22"/>
        </w:rPr>
        <w:t xml:space="preserve">Nanda, S. (2022). India's e-governance journey: Looking through Common Service Centres. Indian Journal of Public Administration, 68(4), 599-609. </w:t>
      </w:r>
      <w:hyperlink w:history="1" r:id="rIdcu8j7jzdzdoc8rxxdergs">
        <w:r>
          <w:rPr>
            <w:rFonts w:ascii="Georgia" w:cs="Georgia" w:eastAsia="Georgia" w:hAnsi="Georgia"/>
            <w:color w:val="0563C1"/>
            <w:sz w:val="22"/>
            <w:szCs w:val="22"/>
            <w:u w:val="single"/>
          </w:rPr>
          <w:t xml:space="preserve">https://doi.org/10.1177/00195561221098108</w:t>
        </w:r>
      </w:hyperlink>
    </w:p>
    <w:p>
      <w:pPr>
        <w:spacing w:after="200"/>
        <w:ind w:left="431" w:hanging="431"/>
      </w:pPr>
      <w:r>
        <w:rPr>
          <w:rFonts w:ascii="Georgia" w:cs="Georgia" w:eastAsia="Georgia" w:hAnsi="Georgia"/>
          <w:sz w:val="22"/>
          <w:szCs w:val="22"/>
        </w:rPr>
        <w:t xml:space="preserve">Ngullie, O. G. (2025). Examining exclusions in the Public Distribution System: A policy ethics perspective on ensuring the right to food. Indian Public Policy Review, 6(1), 123-141. </w:t>
      </w:r>
      <w:hyperlink w:history="1" r:id="rIdujx1exsj-lmwj-_h7_51a">
        <w:r>
          <w:rPr>
            <w:rFonts w:ascii="Georgia" w:cs="Georgia" w:eastAsia="Georgia" w:hAnsi="Georgia"/>
            <w:color w:val="0563C1"/>
            <w:sz w:val="22"/>
            <w:szCs w:val="22"/>
            <w:u w:val="single"/>
          </w:rPr>
          <w:t xml:space="preserve">https://doi.org/10.55763/ippr.2025.06.01.004</w:t>
        </w:r>
      </w:hyperlink>
    </w:p>
    <w:p>
      <w:pPr>
        <w:spacing w:after="200"/>
        <w:ind w:left="431" w:hanging="431"/>
      </w:pPr>
      <w:r>
        <w:rPr>
          <w:rFonts w:ascii="Georgia" w:cs="Georgia" w:eastAsia="Georgia" w:hAnsi="Georgia"/>
          <w:sz w:val="22"/>
          <w:szCs w:val="22"/>
        </w:rPr>
        <w:t xml:space="preserve">Sinha, H., Gallien, M., &amp; van den Boogaard, V. (2026). Narrow formalisation: Informal workers, social protection and digital registration in India. Global Social Policy, 26(2). </w:t>
      </w:r>
      <w:hyperlink w:history="1" r:id="rIdvhuhgex_3jjq3mx_e_6d5">
        <w:r>
          <w:rPr>
            <w:rFonts w:ascii="Georgia" w:cs="Georgia" w:eastAsia="Georgia" w:hAnsi="Georgia"/>
            <w:color w:val="0563C1"/>
            <w:sz w:val="22"/>
            <w:szCs w:val="22"/>
            <w:u w:val="single"/>
          </w:rPr>
          <w:t xml:space="preserve">https://doi.org/10.1177/14680181261416392</w:t>
        </w:r>
      </w:hyperlink>
    </w:p>
    <w:p>
      <w:pPr>
        <w:spacing w:after="200"/>
        <w:ind w:left="431" w:hanging="431"/>
      </w:pPr>
      <w:r>
        <w:rPr>
          <w:rFonts w:ascii="Georgia" w:cs="Georgia" w:eastAsia="Georgia" w:hAnsi="Georgia"/>
          <w:sz w:val="22"/>
          <w:szCs w:val="22"/>
        </w:rPr>
        <w:t xml:space="preserve">Sonne, L. (2025). Digital revolution and the gender divide: Factors affecting mobile phone use in India. Information, Communication &amp; Society, 28(3), 471-491. </w:t>
      </w:r>
      <w:hyperlink w:history="1" r:id="rIdxz6elkoex0xtysoja2j7m">
        <w:r>
          <w:rPr>
            <w:rFonts w:ascii="Georgia" w:cs="Georgia" w:eastAsia="Georgia" w:hAnsi="Georgia"/>
            <w:color w:val="0563C1"/>
            <w:sz w:val="22"/>
            <w:szCs w:val="22"/>
            <w:u w:val="single"/>
          </w:rPr>
          <w:t xml:space="preserve">https://doi.org/10.1080/1369118X.2024.2420034</w:t>
        </w:r>
      </w:hyperlink>
    </w:p>
    <w:p>
      <w:pPr>
        <w:pStyle w:val="Heading2"/>
        <w:spacing w:after="160" w:before="280"/>
      </w:pPr>
      <w:r>
        <w:rPr>
          <w:rFonts w:ascii="Georgia" w:cs="Georgia" w:eastAsia="Georgia" w:hAnsi="Georgia"/>
          <w:b/>
          <w:bCs/>
          <w:color w:val="2E74B5"/>
          <w:sz w:val="26"/>
          <w:szCs w:val="26"/>
        </w:rPr>
        <w:t xml:space="preserve">Government and institutional reports</w:t>
      </w:r>
    </w:p>
    <w:p>
      <w:pPr>
        <w:spacing w:after="200"/>
        <w:ind w:left="431" w:hanging="431"/>
      </w:pPr>
      <w:r>
        <w:rPr>
          <w:rFonts w:ascii="Georgia" w:cs="Georgia" w:eastAsia="Georgia" w:hAnsi="Georgia"/>
          <w:sz w:val="22"/>
          <w:szCs w:val="22"/>
        </w:rPr>
        <w:t xml:space="preserve">Global System for Mobile Communications Association (GSMA). (2025, May 14). The Mobile Gender Gap Report 2025. </w:t>
      </w:r>
      <w:hyperlink w:history="1" r:id="rId_-4uhylar1dolrmvcjew8">
        <w:r>
          <w:rPr>
            <w:rFonts w:ascii="Georgia" w:cs="Georgia" w:eastAsia="Georgia" w:hAnsi="Georgia"/>
            <w:color w:val="0563C1"/>
            <w:sz w:val="22"/>
            <w:szCs w:val="22"/>
            <w:u w:val="single"/>
          </w:rPr>
          <w:t xml:space="preserve">https://www.gsma.com/newsroom/press-release/progress-closing-the-mobile-internet-gender-gap-stalls-in-lmics-gsma-mobile-gender-gap-report-2025/</w:t>
        </w:r>
      </w:hyperlink>
    </w:p>
    <w:p>
      <w:pPr>
        <w:spacing w:after="200"/>
        <w:ind w:left="431" w:hanging="431"/>
      </w:pPr>
      <w:r>
        <w:rPr>
          <w:rFonts w:ascii="Georgia" w:cs="Georgia" w:eastAsia="Georgia" w:hAnsi="Georgia"/>
          <w:sz w:val="22"/>
          <w:szCs w:val="22"/>
        </w:rPr>
        <w:t xml:space="preserve">LibTech India. (2024). MGNREGA implementation in India: Insights and trends, April-September 2024. As reported in Down To Earth (25 October 2024). </w:t>
      </w:r>
      <w:hyperlink w:history="1" r:id="rIdq2z3sb7t4ataalrnx-ady">
        <w:r>
          <w:rPr>
            <w:rFonts w:ascii="Georgia" w:cs="Georgia" w:eastAsia="Georgia" w:hAnsi="Georgia"/>
            <w:color w:val="0563C1"/>
            <w:sz w:val="22"/>
            <w:szCs w:val="22"/>
            <w:u w:val="single"/>
          </w:rPr>
          <w:t xml:space="preserve">https://www.downtoearth.org.in/governance/mgnregs-millions-affected-as-aadhar-linking-woes-result-in-rural-workers-account-deletion-payment-delays</w:t>
        </w:r>
      </w:hyperlink>
    </w:p>
    <w:p>
      <w:pPr>
        <w:spacing w:after="200"/>
        <w:ind w:left="431" w:hanging="431"/>
      </w:pPr>
      <w:r>
        <w:rPr>
          <w:rFonts w:ascii="Georgia" w:cs="Georgia" w:eastAsia="Georgia" w:hAnsi="Georgia"/>
          <w:sz w:val="22"/>
          <w:szCs w:val="22"/>
        </w:rPr>
        <w:t xml:space="preserve">National Statistical Office (NSO), Ministry of Statistics and Programme Implementation. (2025). Comprehensive Modular Survey, Telecom, 2025 (80th round, NSS). As reported in Business Standard (29 May 2025) and Newslaundry (30 June 2025). </w:t>
      </w:r>
      <w:hyperlink w:history="1" r:id="rIdqdx33c4zwt169x2kgmep3">
        <w:r>
          <w:rPr>
            <w:rFonts w:ascii="Georgia" w:cs="Georgia" w:eastAsia="Georgia" w:hAnsi="Georgia"/>
            <w:color w:val="0563C1"/>
            <w:sz w:val="22"/>
            <w:szCs w:val="22"/>
            <w:u w:val="single"/>
          </w:rPr>
          <w:t xml:space="preserve">https://www.business-standard.com/india-news/digital-india-divide-nso-rural-women-mobile-phone-ownership-gap-125052901804_1.html</w:t>
        </w:r>
      </w:hyperlink>
    </w:p>
    <w:p>
      <w:pPr>
        <w:spacing w:after="200"/>
        <w:ind w:left="431" w:hanging="431"/>
      </w:pPr>
      <w:r>
        <w:rPr>
          <w:rFonts w:ascii="Georgia" w:cs="Georgia" w:eastAsia="Georgia" w:hAnsi="Georgia"/>
          <w:sz w:val="22"/>
          <w:szCs w:val="22"/>
        </w:rPr>
        <w:t xml:space="preserve">Press Information Bureau (PIB), Ministry of Finance, Government of India. (2025, August 27). 11 years of PM Jan Dhan Yojana: Banking the unbanked. </w:t>
      </w:r>
      <w:hyperlink w:history="1" r:id="rIdsd2j-s8ocxrlrhwz3qhxj">
        <w:r>
          <w:rPr>
            <w:rFonts w:ascii="Georgia" w:cs="Georgia" w:eastAsia="Georgia" w:hAnsi="Georgia"/>
            <w:color w:val="0563C1"/>
            <w:sz w:val="22"/>
            <w:szCs w:val="22"/>
            <w:u w:val="single"/>
          </w:rPr>
          <w:t xml:space="preserve">https://www.pib.gov.in/PressNoteDetails.aspx?NoteId=155102&amp;ModuleId=3&amp;reg=3&amp;lang=2</w:t>
        </w:r>
      </w:hyperlink>
    </w:p>
    <w:p>
      <w:pPr>
        <w:spacing w:after="200"/>
        <w:ind w:left="431" w:hanging="431"/>
      </w:pPr>
      <w:r>
        <w:rPr>
          <w:rFonts w:ascii="Georgia" w:cs="Georgia" w:eastAsia="Georgia" w:hAnsi="Georgia"/>
          <w:sz w:val="22"/>
          <w:szCs w:val="22"/>
        </w:rPr>
        <w:t xml:space="preserve">Telecom Regulatory Authority of India (TRAI). (2025). The Indian telecom services performance indicator report, quarter ending December 2024. </w:t>
      </w:r>
      <w:hyperlink w:history="1" r:id="rIdpglnsg0mqrcdzqh8nvl6_">
        <w:r>
          <w:rPr>
            <w:rFonts w:ascii="Georgia" w:cs="Georgia" w:eastAsia="Georgia" w:hAnsi="Georgia"/>
            <w:color w:val="0563C1"/>
            <w:sz w:val="22"/>
            <w:szCs w:val="22"/>
            <w:u w:val="single"/>
          </w:rPr>
          <w:t xml:space="preserve">https://www.trai.gov.in/sites/default/files/2025-01/QPIR_01012025_0.pdf</w:t>
        </w:r>
      </w:hyperlink>
    </w:p>
    <w:p>
      <w:pPr>
        <w:spacing w:after="200"/>
        <w:ind w:left="431" w:hanging="431"/>
      </w:pPr>
      <w:r>
        <w:rPr>
          <w:rFonts w:ascii="Georgia" w:cs="Georgia" w:eastAsia="Georgia" w:hAnsi="Georgia"/>
          <w:sz w:val="22"/>
          <w:szCs w:val="22"/>
        </w:rPr>
        <w:t xml:space="preserve">World Bank. (2025). The Global Findex Database 2025: Connectivity and financial inclusion in the digital economy, India. </w:t>
      </w:r>
      <w:hyperlink w:history="1" r:id="rIdwdixuxrqnddthzr3w_xbm">
        <w:r>
          <w:rPr>
            <w:rFonts w:ascii="Georgia" w:cs="Georgia" w:eastAsia="Georgia" w:hAnsi="Georgia"/>
            <w:color w:val="0563C1"/>
            <w:sz w:val="22"/>
            <w:szCs w:val="22"/>
            <w:u w:val="single"/>
          </w:rPr>
          <w:t xml:space="preserve">https://microdata.worldbank.org/index.php/catalog/7916</w:t>
        </w:r>
      </w:hyperlink>
    </w:p>
    <w:p>
      <w:pPr>
        <w:spacing w:before="200"/>
      </w:pPr>
      <w:r>
        <w:rPr>
          <w:rFonts w:ascii="Georgia" w:cs="Georgia" w:eastAsia="Georgia" w:hAnsi="Georgia"/>
          <w:i/>
          <w:iCs/>
          <w:color w:val="595959"/>
          <w:sz w:val="20"/>
          <w:szCs w:val="20"/>
        </w:rPr>
        <w:t xml:space="preserve">A source-by-source verification log (how each citation above was located and confirmed to be a real publication) is in data/ACADEMIC_SOURCES.md. Verification date: 27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4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febnxtbctx73mojrl3vn" Type="http://schemas.openxmlformats.org/officeDocument/2006/relationships/hyperlink" Target="https://doi.org/10.1002/ijfe.70045" TargetMode="External"/><Relationship Id="rIdwqlkouutvk9yjjtkzlyzb" Type="http://schemas.openxmlformats.org/officeDocument/2006/relationships/hyperlink" Target="https://doi.org/10.1111/manc.12460" TargetMode="External"/><Relationship Id="rIdu8gyk753fnqiw21gbzi3n" Type="http://schemas.openxmlformats.org/officeDocument/2006/relationships/hyperlink" Target="https://doi.org/10.1007/s41027-024-00539-9" TargetMode="External"/><Relationship Id="rIdtujuo4ekjbkhpxucasg3x" Type="http://schemas.openxmlformats.org/officeDocument/2006/relationships/hyperlink" Target="https://doi.org/10.1007/s40847-026-00500-0" TargetMode="External"/><Relationship Id="rIdmm80ekzvrqhgo0paawpyp" Type="http://schemas.openxmlformats.org/officeDocument/2006/relationships/hyperlink" Target="https://papers.ssrn.com/sol3/papers.cfm?abstract_id=2919091" TargetMode="External"/><Relationship Id="rIdbmc0ctkrlywwntao9jxga" Type="http://schemas.openxmlformats.org/officeDocument/2006/relationships/hyperlink" Target="https://doi.org/10.1093/wber/lhad011" TargetMode="External"/><Relationship Id="rIdkre9rfayvfbxk9hngbnrg" Type="http://schemas.openxmlformats.org/officeDocument/2006/relationships/hyperlink" Target="https://www.epw.in/journal/2017/50/special-articles/aadhaar-and-food-security-jharkhand.html" TargetMode="External"/><Relationship Id="rId_vvhonqgdvhgqh4raaqi1" Type="http://schemas.openxmlformats.org/officeDocument/2006/relationships/hyperlink" Target="https://doi.org/10.1057/s41287-023-00585-x" TargetMode="External"/><Relationship Id="rIdm1-mlaxnuf3qlvghzrkpx" Type="http://schemas.openxmlformats.org/officeDocument/2006/relationships/hyperlink" Target="https://doi.org/10.1108/IJDI-02-2017-0012" TargetMode="External"/><Relationship Id="rIdtc_fa209l8cxtvfqt7ail" Type="http://schemas.openxmlformats.org/officeDocument/2006/relationships/hyperlink" Target="https://www.epw.in/journal/2017/50/special-articles/impact-aadhaar-welfare-programmes.html" TargetMode="External"/><Relationship Id="rIdkba0vz1gmaxs73mxhm7lp" Type="http://schemas.openxmlformats.org/officeDocument/2006/relationships/hyperlink" Target="https://www.epw.in/engage/article/financial-inclusion-india-achieving-quantity" TargetMode="External"/><Relationship Id="rIdszjjbuyugqwyl2s59ujky" Type="http://schemas.openxmlformats.org/officeDocument/2006/relationships/hyperlink" Target="https://blogs.worldbank.org/en/digital-development/creating-12-billion-unique-eids-lessons-india" TargetMode="External"/><Relationship Id="rIdbynzwwilqz3j6okssohu7" Type="http://schemas.openxmlformats.org/officeDocument/2006/relationships/hyperlink" Target="https://doi.org/10.1257/aer.20141346" TargetMode="External"/><Relationship Id="rIdke2ujv3e0joqgjim2cuvo" Type="http://schemas.openxmlformats.org/officeDocument/2006/relationships/hyperlink" Target="https://www.nber.org/papers/w26744" TargetMode="External"/><Relationship Id="rIdcu8j7jzdzdoc8rxxdergs" Type="http://schemas.openxmlformats.org/officeDocument/2006/relationships/hyperlink" Target="https://doi.org/10.1177/00195561221098108" TargetMode="External"/><Relationship Id="rIdujx1exsj-lmwj-_h7_51a" Type="http://schemas.openxmlformats.org/officeDocument/2006/relationships/hyperlink" Target="https://doi.org/10.55763/ippr.2025.06.01.004" TargetMode="External"/><Relationship Id="rIdvhuhgex_3jjq3mx_e_6d5" Type="http://schemas.openxmlformats.org/officeDocument/2006/relationships/hyperlink" Target="https://doi.org/10.1177/14680181261416392" TargetMode="External"/><Relationship Id="rIdxz6elkoex0xtysoja2j7m" Type="http://schemas.openxmlformats.org/officeDocument/2006/relationships/hyperlink" Target="https://doi.org/10.1080/1369118X.2024.2420034" TargetMode="External"/><Relationship Id="rId_-4uhylar1dolrmvcjew8" Type="http://schemas.openxmlformats.org/officeDocument/2006/relationships/hyperlink" Target="https://www.gsma.com/newsroom/press-release/progress-closing-the-mobile-internet-gender-gap-stalls-in-lmics-gsma-mobile-gender-gap-report-2025/" TargetMode="External"/><Relationship Id="rIdq2z3sb7t4ataalrnx-ady" Type="http://schemas.openxmlformats.org/officeDocument/2006/relationships/hyperlink" Target="https://www.downtoearth.org.in/governance/mgnregs-millions-affected-as-aadhar-linking-woes-result-in-rural-workers-account-deletion-payment-delays" TargetMode="External"/><Relationship Id="rIdqdx33c4zwt169x2kgmep3" Type="http://schemas.openxmlformats.org/officeDocument/2006/relationships/hyperlink" Target="https://www.business-standard.com/india-news/digital-india-divide-nso-rural-women-mobile-phone-ownership-gap-125052901804_1.html" TargetMode="External"/><Relationship Id="rIdsd2j-s8ocxrlrhwz3qhxj" Type="http://schemas.openxmlformats.org/officeDocument/2006/relationships/hyperlink" Target="https://www.pib.gov.in/PressNoteDetails.aspx?NoteId=155102&amp;ModuleId=3&amp;reg=3&amp;lang=2" TargetMode="External"/><Relationship Id="rIdpglnsg0mqrcdzqh8nvl6_" Type="http://schemas.openxmlformats.org/officeDocument/2006/relationships/hyperlink" Target="https://www.trai.gov.in/sites/default/files/2025-01/QPIR_01012025_0.pdf" TargetMode="External"/><Relationship Id="rIdwdixuxrqnddthzr3w_xbm" Type="http://schemas.openxmlformats.org/officeDocument/2006/relationships/hyperlink" Target="https://microdata.worldbank.org/index.php/catalog/7916"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2026-09-05T15:25:28.105Z</dcterms:created>
  <dcterms:modified xsi:type="dcterms:W3CDTF">2026-09-05T15:25:28.116Z</dcterms:modified>
</cp:coreProperties>
</file>

<file path=docProps/custom.xml><?xml version="1.0" encoding="utf-8"?>
<Properties xmlns="http://schemas.openxmlformats.org/officeDocument/2006/custom-properties" xmlns:vt="http://schemas.openxmlformats.org/officeDocument/2006/docPropsVTypes"/>
</file>