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Advanced Programming Concepts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Decorators - 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Python,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decorators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functions that modify the behavior of another function or method. They are often used to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wrap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functions to add functionality without changing their code. Decorators are a key feature of Python and help make code more modular and readable.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Decorators are applied to functions or methods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@decorator_name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syntax.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6d30edoaswe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How Do Decorators Work?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decorator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is essentially a higher-order function, meaning it takes a function as an argument and returns a new function. Here’s the step-by-step process: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Define the Decorator Function: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decorator takes a function as input and returns a new function that typically extends or modifies the behavior of the input function.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Wrap the Target Function: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Inside the decorator, you define a wrapper function that is executed instead of the original function. The wrapper can run the original function and add functionality before or after it.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Apply the Decorator: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@decorator_name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syntax, you apply the decorator to a function. Python automatically passes the function to the decorator.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Decorator Chaining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multiple decorators are applied to a single function, the priority or order in which they are applied follows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bottom-up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approach, meaning the decorator closest to the function definition is applied first, and the outer decorators are applied afterward.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dsylqbj6zg9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How Multiple Decorators Work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Decorator Application Order: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decorators are applied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reverse order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they appear, starting from the one closest to the function.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Function Wrapping: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decorator wraps the function it decorates, meaning the innermost decorator wraps the function first, and then the outer decorators wrap the result of the previous wrapping.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MetaClasses 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Python is a class that defines how other classes are constructed. In Python, everything is an object, including classes themselves. A metaclass is the "class of a class," meaning it defines how classes themselves behave. By default, Python uses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as the metaclass for all classes, but you can create your own metaclasses to modify class creation behavior.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you create a new class in Python, it is an instance of a metaclass. The metaclass defines the structure and behavior of the class. You can customize this behavior by defining your own metaclass.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5d73v9iq6w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Key Methods in Metaclasses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__new__(cls, name, bases, dct)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This method is called to create a new class.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We can override this method to control how the objects are created.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receives: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the metaclass.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the name of the class being created.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bases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the base classes of the class.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dct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the dictionary of class attributes and methods.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This method returns the class object.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__init__(cls, name, bases, dct)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This method is called after the class is created, but it is less commonly overridden than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__new__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It's useful if you need to perform some additional initialization in the class.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