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F887C" w14:textId="77777777" w:rsidR="00DA7A34" w:rsidRPr="00714742" w:rsidRDefault="00DA7A34" w:rsidP="00DA7A34">
      <w:pPr>
        <w:spacing w:after="120"/>
        <w:jc w:val="center"/>
      </w:pPr>
      <w:r w:rsidRPr="00714742">
        <w:rPr>
          <w:b/>
          <w:bCs/>
        </w:rPr>
        <w:t>From Space to Society: Settlement Structure and Social Organization in Neolithic China</w:t>
      </w:r>
    </w:p>
    <w:p w14:paraId="4243D709" w14:textId="77777777" w:rsidR="00DA7A34" w:rsidRPr="00714742" w:rsidRDefault="00DA7A34" w:rsidP="00DA7A34">
      <w:pPr>
        <w:spacing w:after="240"/>
        <w:jc w:val="center"/>
      </w:pPr>
      <w:r w:rsidRPr="00714742">
        <w:rPr>
          <w:i/>
          <w:iCs/>
        </w:rPr>
        <w:t>Theoretical Framework Outline (Dissertation Working Document, v5)</w:t>
      </w:r>
    </w:p>
    <w:p w14:paraId="3F9D53E1" w14:textId="77777777" w:rsidR="00DA7A34" w:rsidRPr="00714742" w:rsidRDefault="00DA7A34" w:rsidP="00DA7A34">
      <w:pPr>
        <w:spacing w:after="360"/>
        <w:ind w:left="360" w:right="360"/>
      </w:pPr>
      <w:r w:rsidRPr="00714742">
        <w:rPr>
          <w:i/>
          <w:iCs/>
        </w:rPr>
        <w:t>This outline presents the argument of the theoretical framework chapter in near-prose form. Subsection annotations are written so that they can be converted directly into manuscript sentences; short italic transitions state the reasoning that carries each subsection to the next. The operational core of the framework is the hypothesis table (Table 1, v3), which translates the ten material tendencies of dual-processual theory into integrated Space Syntax and Activity Zone Analysis expectations.</w:t>
      </w:r>
    </w:p>
    <w:p w14:paraId="11A7AFE4" w14:textId="77777777" w:rsidR="00DA7A34" w:rsidRPr="00714742" w:rsidRDefault="00DA7A34" w:rsidP="00DA7A34">
      <w:pPr>
        <w:pStyle w:val="Heading1"/>
        <w:spacing w:before="360" w:after="180"/>
        <w:rPr>
          <w:color w:val="auto"/>
          <w:sz w:val="24"/>
          <w:szCs w:val="24"/>
        </w:rPr>
      </w:pPr>
      <w:r w:rsidRPr="00714742">
        <w:rPr>
          <w:b/>
          <w:bCs/>
          <w:color w:val="auto"/>
          <w:sz w:val="24"/>
          <w:szCs w:val="24"/>
        </w:rPr>
        <w:t>0. Overview: The Argument of the Chapter</w:t>
      </w:r>
    </w:p>
    <w:p w14:paraId="69136670" w14:textId="77777777" w:rsidR="00DA7A34" w:rsidRPr="00714742" w:rsidRDefault="00DA7A34" w:rsidP="00DA7A34">
      <w:pPr>
        <w:spacing w:after="120" w:line="276" w:lineRule="auto"/>
      </w:pPr>
      <w:r w:rsidRPr="00714742">
        <w:t xml:space="preserve">The chapter moves from a general anthropological problem to the apparatus built to study it, and treats Neolithic China throughout as the testing ground rather than the source of the question. Social complexity, understood through its nonlinear turn as a multidimensional outcome reached along multiple pathways, poses the comparative problem, and socio-political organization names the dimension of complexity this dissertation can analyze (Section 1). Dual-processual theory supplies the vocabulary for variation in socio-political organization, and its corporate pole carries a specific, fourfold theoretical gap (Section 2). Three research questions follow from that gap, and the Yellow River sequence of </w:t>
      </w:r>
      <w:proofErr w:type="spellStart"/>
      <w:r w:rsidRPr="00714742">
        <w:t>Jiahu</w:t>
      </w:r>
      <w:proofErr w:type="spellEnd"/>
      <w:r w:rsidRPr="00714742">
        <w:t xml:space="preserve">, Jiangzhai, and </w:t>
      </w:r>
      <w:proofErr w:type="spellStart"/>
      <w:r w:rsidRPr="00714742">
        <w:t>Taosi</w:t>
      </w:r>
      <w:proofErr w:type="spellEnd"/>
      <w:r w:rsidRPr="00714742">
        <w:t xml:space="preserve"> is selected as the venue in which they can be answered (Section 3). The remainder of the chapter builds the answering apparatus: a dimensional account of corporate organization (Section 4), the social logic of space joined to Activity Zone Analysis (Section 5), and the middle-range bridge whose operational form is the hypothesis table, Table 1 (Section 6). The chapter closes with the competing hypotheses for the core diachronic question (Section 7) and the anticipated contributions and their scope (Section 8).</w:t>
      </w:r>
    </w:p>
    <w:p w14:paraId="284DC1C3" w14:textId="77777777" w:rsidR="00DA7A34" w:rsidRPr="00714742" w:rsidRDefault="00DA7A34" w:rsidP="00DA7A34">
      <w:pPr>
        <w:spacing w:before="60" w:after="200"/>
        <w:ind w:left="360"/>
      </w:pPr>
      <w:r w:rsidRPr="00714742">
        <w:rPr>
          <w:i/>
          <w:iCs/>
        </w:rPr>
        <w:t>The order of the chapter is the order of the reasoning: what the problem is, what theory describes it and where that theory falls short, what is therefore asked and where, and with what conceptual and evidential machinery it will be answered.</w:t>
      </w:r>
    </w:p>
    <w:p w14:paraId="4A0F1EF8" w14:textId="77777777" w:rsidR="00DA7A34" w:rsidRPr="00714742" w:rsidRDefault="00DA7A34" w:rsidP="00DA7A34">
      <w:pPr>
        <w:pStyle w:val="Heading1"/>
        <w:spacing w:before="360" w:after="180"/>
        <w:rPr>
          <w:color w:val="auto"/>
          <w:sz w:val="24"/>
          <w:szCs w:val="24"/>
        </w:rPr>
      </w:pPr>
      <w:r w:rsidRPr="00714742">
        <w:rPr>
          <w:b/>
          <w:bCs/>
          <w:color w:val="auto"/>
          <w:sz w:val="24"/>
          <w:szCs w:val="24"/>
        </w:rPr>
        <w:t>1. Social Complexity and Socio-Political Organization</w:t>
      </w:r>
    </w:p>
    <w:p w14:paraId="4123F4B9" w14:textId="77777777" w:rsidR="00DA7A34" w:rsidRPr="00714742" w:rsidRDefault="00DA7A34" w:rsidP="00DA7A34">
      <w:pPr>
        <w:pStyle w:val="Heading2"/>
        <w:spacing w:before="280" w:after="140"/>
        <w:rPr>
          <w:color w:val="auto"/>
          <w:sz w:val="24"/>
          <w:szCs w:val="24"/>
        </w:rPr>
      </w:pPr>
      <w:r w:rsidRPr="00714742">
        <w:rPr>
          <w:b/>
          <w:bCs/>
          <w:color w:val="auto"/>
          <w:sz w:val="24"/>
          <w:szCs w:val="24"/>
        </w:rPr>
        <w:t>1.1 The Nonlinear Turn in Complexity Research</w:t>
      </w:r>
    </w:p>
    <w:p w14:paraId="1B7034E0" w14:textId="77777777" w:rsidR="00DA7A34" w:rsidRPr="00714742" w:rsidRDefault="00DA7A34" w:rsidP="00DA7A34">
      <w:pPr>
        <w:spacing w:after="120" w:line="276" w:lineRule="auto"/>
      </w:pPr>
      <w:r w:rsidRPr="00714742">
        <w:t>The mid-twentieth-century evolutionary schemes of Service (1962) and Fried (1967) gave archaeology a shared comparative vocabulary of stages, and the processual generation relocated complexity from typological labels to the systemic properties Flannery (1972) termed segregation and centralization, the internal differentiation and specialization of subsystems and their linkage under highest-order controls. I rehearse this background only briefly, because the framework of this dissertation begins where the unilinear assumption ends.</w:t>
      </w:r>
    </w:p>
    <w:p w14:paraId="3AA93CC8" w14:textId="77777777" w:rsidR="00DA7A34" w:rsidRPr="00714742" w:rsidRDefault="00DA7A34" w:rsidP="00DA7A34">
      <w:pPr>
        <w:spacing w:after="120" w:line="276" w:lineRule="auto"/>
      </w:pPr>
      <w:r w:rsidRPr="00714742">
        <w:t xml:space="preserve">The decisive development is the demonstration, on comparative evidence, that complexity is multidimensional and pathway-dependent. Drennan's (1995) comparison of chiefdoms of similar scale showed that power could be constituted in profoundly different ways at the same </w:t>
      </w:r>
      <w:r w:rsidRPr="00714742">
        <w:lastRenderedPageBreak/>
        <w:t xml:space="preserve">demographic level. Crumley (1995) introduced </w:t>
      </w:r>
      <w:proofErr w:type="spellStart"/>
      <w:r w:rsidRPr="00714742">
        <w:t>heterarchy</w:t>
      </w:r>
      <w:proofErr w:type="spellEnd"/>
      <w:r w:rsidRPr="00714742">
        <w:t xml:space="preserve"> to name organizational forms whose elements are unranked or </w:t>
      </w:r>
      <w:proofErr w:type="spellStart"/>
      <w:r w:rsidRPr="00714742">
        <w:t>rankable</w:t>
      </w:r>
      <w:proofErr w:type="spellEnd"/>
      <w:r w:rsidRPr="00714742">
        <w:t xml:space="preserve"> in multiple ways, decoupling complexity from hierarchy in principle, a decoupling the African sequences assembled in McIntosh (1999) substantiate at regional scale. Feinman (2013) showed with cross-cultural data that the scale-complexity relationship, although robust across broad demographic ranges, weakens within narrower bands, so that communities of equivalent size can be organized in fundamentally different ways; and the comparative settlement record demonstrates patterned variation among regional trajectories rather than convergence on a single sequence (Peterson &amp; Drennan, 2012). On this view, complexity is the scale and differentiation of societal roles and interactions, emergent and nonlinear rather than staged, as the complex systems literature in archaeology now frames it (Davis, 2024), and the productive comparative question is no longer what stage a society reached but by what organizational pathway its complexity was constituted.</w:t>
      </w:r>
    </w:p>
    <w:p w14:paraId="098DA278" w14:textId="77777777" w:rsidR="00DA7A34" w:rsidRPr="00714742" w:rsidRDefault="00DA7A34" w:rsidP="00DA7A34">
      <w:pPr>
        <w:spacing w:before="60" w:after="200"/>
        <w:ind w:left="360"/>
      </w:pPr>
      <w:r w:rsidRPr="00714742">
        <w:rPr>
          <w:i/>
          <w:iCs/>
        </w:rPr>
        <w:t>If pathways differ, the analysis needs a name for what exactly differs among them. That object is socio-political organization.</w:t>
      </w:r>
    </w:p>
    <w:p w14:paraId="199E98F5" w14:textId="77777777" w:rsidR="00DA7A34" w:rsidRPr="00714742" w:rsidRDefault="00DA7A34" w:rsidP="00DA7A34">
      <w:pPr>
        <w:pStyle w:val="Heading2"/>
        <w:spacing w:before="280" w:after="140"/>
        <w:rPr>
          <w:color w:val="auto"/>
          <w:sz w:val="24"/>
          <w:szCs w:val="24"/>
        </w:rPr>
      </w:pPr>
      <w:r w:rsidRPr="00714742">
        <w:rPr>
          <w:b/>
          <w:bCs/>
          <w:color w:val="auto"/>
          <w:sz w:val="24"/>
          <w:szCs w:val="24"/>
        </w:rPr>
        <w:t>1.2 Socio-Political Organization: The Object of Analysis</w:t>
      </w:r>
    </w:p>
    <w:p w14:paraId="745EADCA" w14:textId="77777777" w:rsidR="00DA7A34" w:rsidRPr="00714742" w:rsidRDefault="00DA7A34" w:rsidP="00DA7A34">
      <w:pPr>
        <w:spacing w:after="120" w:line="276" w:lineRule="auto"/>
      </w:pPr>
      <w:r w:rsidRPr="00714742">
        <w:t>I define socio-political organization as the patterned arrangements through which a community organizes power, decision-making, cooperation, labor, and access to resources. The concept does conceptual work in three directions at once, and for that reason it is the hinge of the framework. Looking back toward Section 1.1, socio-political organization is the dimension along which the multiple pathways of complexification actually diverge: societies of similar scale differ precisely in how authority is constituted, how cooperation is mobilized, and how benefits are distributed. Looking forward toward Section 2, it is the object whose variation dual-processual theory describes: corporate and network strategies are alternative logics of socio-political organization, not alternative levels of complexity. And looking toward Sections 3 through 5, it is what built environment analysis is ultimately after: because the arrangements in question are regularized and recurrent, they impose recurring requirements on co-presence, access, movement, and oversight, and these requirements become legible in the configuration of settlement space and in the placement of activities within it.</w:t>
      </w:r>
    </w:p>
    <w:p w14:paraId="6F3E26D3" w14:textId="77777777" w:rsidR="00DA7A34" w:rsidRPr="00714742" w:rsidRDefault="00DA7A34" w:rsidP="00DA7A34">
      <w:pPr>
        <w:spacing w:after="120" w:line="276" w:lineRule="auto"/>
      </w:pPr>
      <w:r w:rsidRPr="00714742">
        <w:t>Defining the object this way also bounds the dissertation's claims. The analysis does not promise access to kinship systems, belief, or individual events; it targets the durable organizational arrangements that structured collective life, at the scales (household, residential cluster, settlement) where the built environment records them. This restraint is what allows the inferences to be disciplined rather than speculative.</w:t>
      </w:r>
    </w:p>
    <w:p w14:paraId="3E646403" w14:textId="77777777" w:rsidR="00DA7A34" w:rsidRPr="00714742" w:rsidRDefault="00DA7A34" w:rsidP="00DA7A34">
      <w:pPr>
        <w:spacing w:before="60" w:after="200"/>
        <w:ind w:left="360"/>
      </w:pPr>
      <w:r w:rsidRPr="00714742">
        <w:rPr>
          <w:i/>
          <w:iCs/>
        </w:rPr>
        <w:t>With the object defined, the framework needs a theory of its variation. Dual-processual theory provides it; Section 2 introduces the model and identifies the gap within it from which the research questions arise.</w:t>
      </w:r>
    </w:p>
    <w:p w14:paraId="2C5DAE91" w14:textId="77777777" w:rsidR="00DA7A34" w:rsidRPr="00714742" w:rsidRDefault="00DA7A34" w:rsidP="00DA7A34">
      <w:pPr>
        <w:pStyle w:val="Heading1"/>
        <w:spacing w:before="360" w:after="180"/>
        <w:rPr>
          <w:color w:val="auto"/>
          <w:sz w:val="24"/>
          <w:szCs w:val="24"/>
        </w:rPr>
      </w:pPr>
      <w:r w:rsidRPr="00714742">
        <w:rPr>
          <w:b/>
          <w:bCs/>
          <w:color w:val="auto"/>
          <w:sz w:val="24"/>
          <w:szCs w:val="24"/>
        </w:rPr>
        <w:t>2. Dual-Processual Theory: The Model and Its Gap</w:t>
      </w:r>
    </w:p>
    <w:p w14:paraId="20FEC499" w14:textId="77777777" w:rsidR="00DA7A34" w:rsidRPr="00714742" w:rsidRDefault="00DA7A34" w:rsidP="00DA7A34">
      <w:pPr>
        <w:pStyle w:val="Heading2"/>
        <w:spacing w:before="280" w:after="140"/>
        <w:rPr>
          <w:color w:val="auto"/>
          <w:sz w:val="24"/>
          <w:szCs w:val="24"/>
        </w:rPr>
      </w:pPr>
      <w:r w:rsidRPr="00714742">
        <w:rPr>
          <w:b/>
          <w:bCs/>
          <w:color w:val="auto"/>
          <w:sz w:val="24"/>
          <w:szCs w:val="24"/>
        </w:rPr>
        <w:t>2.1 The Model: Strategies, Not Types</w:t>
      </w:r>
    </w:p>
    <w:p w14:paraId="68C8E5D7" w14:textId="77777777" w:rsidR="00DA7A34" w:rsidRPr="00714742" w:rsidRDefault="00DA7A34" w:rsidP="00DA7A34">
      <w:pPr>
        <w:spacing w:after="120" w:line="276" w:lineRule="auto"/>
      </w:pPr>
      <w:r w:rsidRPr="00714742">
        <w:lastRenderedPageBreak/>
        <w:t>Dual-processual theory, with its recognized ancestor in Renfrew's (1974) contrast between group-oriented and individualizing chiefdoms, distinguishes two strategies by which actors pursue and constrain power (Blanton et al., 1996). Under an exclusionary or network strategy, aspirants monopolize advantage through personal exchange networks, prestige goods, and individual aggrandizement; under a corporate strategy, power is distributed across groups and sectors, wealth differences are muted, and legitimation emphasizes the collective whole. Three properties of the original formulation matter for everything that follows. The strategies are pursued by actors within any society, not types of society. They form a continuum of emphasis rather than a dichotomy. And the corporate-network axis is orthogonal to scale and to hierarchy: a community can be large and corporate, small and exclusionary, and can move along the axis through time (Feinman, 2000, 2001). This orthogonality is what suits the framework to a sequence, like the one studied here, in which scale and strategy may change independently.</w:t>
      </w:r>
    </w:p>
    <w:p w14:paraId="7E265526" w14:textId="77777777" w:rsidR="00DA7A34" w:rsidRPr="00714742" w:rsidRDefault="00DA7A34" w:rsidP="00DA7A34">
      <w:pPr>
        <w:spacing w:after="120" w:line="276" w:lineRule="auto"/>
      </w:pPr>
      <w:r w:rsidRPr="00714742">
        <w:t>The framework has continued to develop, most prominently in the collective action research that reframed corporate questions as questions about how cooperation is funded and governed (Blanton &amp; Fargher, 2008; Carballo &amp; Feinman, 2016). This dissertation acknowledges that direction but does not pursue it; its concern is the corporate organization strand of the tradition (Feinman, 2000; Fargher, 2016), the internal structure and historical dynamics of the corporate mode itself, which I argue has remained analytically thinner than the network pole it was paired with.</w:t>
      </w:r>
    </w:p>
    <w:p w14:paraId="1F9D9029" w14:textId="77777777" w:rsidR="00DA7A34" w:rsidRPr="00714742" w:rsidRDefault="00DA7A34" w:rsidP="00DA7A34">
      <w:pPr>
        <w:spacing w:before="60" w:after="200"/>
        <w:ind w:left="360"/>
      </w:pPr>
      <w:r w:rsidRPr="00714742">
        <w:rPr>
          <w:i/>
          <w:iCs/>
        </w:rPr>
        <w:t>Stating precisely what 'analytically thinner' means is the work of the next subsection, because the dissertation's questions arise from it.</w:t>
      </w:r>
    </w:p>
    <w:p w14:paraId="7AB04A62" w14:textId="77777777" w:rsidR="00DA7A34" w:rsidRPr="00714742" w:rsidRDefault="00DA7A34" w:rsidP="00DA7A34">
      <w:pPr>
        <w:pStyle w:val="Heading2"/>
        <w:spacing w:before="280" w:after="140"/>
        <w:rPr>
          <w:color w:val="auto"/>
          <w:sz w:val="24"/>
          <w:szCs w:val="24"/>
        </w:rPr>
      </w:pPr>
      <w:r w:rsidRPr="00714742">
        <w:rPr>
          <w:b/>
          <w:bCs/>
          <w:color w:val="auto"/>
          <w:sz w:val="24"/>
          <w:szCs w:val="24"/>
        </w:rPr>
        <w:t>2.2 The Theoretical Gap</w:t>
      </w:r>
    </w:p>
    <w:p w14:paraId="58229B78" w14:textId="77777777" w:rsidR="00DA7A34" w:rsidRPr="00714742" w:rsidRDefault="00DA7A34" w:rsidP="00DA7A34">
      <w:pPr>
        <w:spacing w:after="120" w:line="276" w:lineRule="auto"/>
      </w:pPr>
      <w:r w:rsidRPr="00714742">
        <w:t>Set against the maturity of the framework's network pole, four weaknesses define the gap this dissertation addresses.</w:t>
      </w:r>
    </w:p>
    <w:p w14:paraId="42B32CD3" w14:textId="77777777" w:rsidR="00DA7A34" w:rsidRPr="00714742" w:rsidRDefault="00DA7A34" w:rsidP="00DA7A34">
      <w:pPr>
        <w:pStyle w:val="ListParagraph"/>
        <w:numPr>
          <w:ilvl w:val="0"/>
          <w:numId w:val="3"/>
        </w:numPr>
        <w:spacing w:after="100" w:line="276" w:lineRule="auto"/>
      </w:pPr>
      <w:r w:rsidRPr="00714742">
        <w:t>Asymmetric development. The network strategy is richly specified: aggrandizers, prestige-goods circulation, wealth finance, and individualizing monuments give it a dense indicator vocabulary. The corporate strategy is characterized largely by muting and absence, suppressed wealth differences, faceless monuments, anonymized leadership (Blanton et al., 1996; Feinman, 2000), a characterization drawn in the negative. A mode defined mainly by what it lacks cannot support fine-grained comparison among corporate cases.</w:t>
      </w:r>
    </w:p>
    <w:p w14:paraId="6ECB7982" w14:textId="77777777" w:rsidR="00DA7A34" w:rsidRPr="00714742" w:rsidRDefault="00DA7A34" w:rsidP="00DA7A34">
      <w:pPr>
        <w:pStyle w:val="ListParagraph"/>
        <w:numPr>
          <w:ilvl w:val="0"/>
          <w:numId w:val="3"/>
        </w:numPr>
        <w:spacing w:after="100" w:line="276" w:lineRule="auto"/>
      </w:pPr>
      <w:r w:rsidRPr="00714742">
        <w:t>Synchronic use. In practice the corporate-network axis has served mostly to classify cases at single moments. Movement along the axis is documented, the shift at Cahokia from group-oriented construction to prestige-goods strategies is the best-known example (Trubitt, 2000)</w:t>
      </w:r>
      <w:proofErr w:type="spellStart"/>
      <w:r w:rsidRPr="00714742"/>
      <w:proofErr w:type="spellEnd"/>
      <w:r w:rsidRPr="00714742">
        <w:t>, but the framework offers little apparatus for describing how corporate organization itself changes: what, other than 'toward network,' a corporate transformation consists of.</w:t>
      </w:r>
    </w:p>
    <w:p w14:paraId="0F016EC9" w14:textId="77777777" w:rsidR="00DA7A34" w:rsidRPr="00714742" w:rsidRDefault="00DA7A34" w:rsidP="00DA7A34">
      <w:pPr>
        <w:pStyle w:val="ListParagraph"/>
        <w:numPr>
          <w:ilvl w:val="0"/>
          <w:numId w:val="3"/>
        </w:numPr>
        <w:spacing w:after="100" w:line="276" w:lineRule="auto"/>
      </w:pPr>
      <w:r w:rsidRPr="00714742">
        <w:t xml:space="preserve">The unanswered general question. When centralized, hierarchical polities emerge in a sequence that began with cooperative villages, the corporate arrangements of the </w:t>
      </w:r>
      <w:r w:rsidRPr="00714742">
        <w:lastRenderedPageBreak/>
        <w:t xml:space="preserve">preceding period must have gone somewhere: dissolved, been rescaled and formalized into the fabric of the new centers, or persisted alongside exclusionary strategies at other scales of the same settlements. Comparative cases document each outcome locally (Byrd, 1994; </w:t>
      </w:r>
      <w:proofErr w:type="spellStart"/>
      <w:r w:rsidRPr="00714742">
        <w:t>Trubitt</w:t>
      </w:r>
      <w:proofErr w:type="spellEnd"/>
      <w:r w:rsidRPr="00714742">
        <w:t>, 2000; Manzanilla, 2015; Furholt et al., 2020), but the question has not been given a systematic analytical form; it is posed case by case and answered narratively.</w:t>
      </w:r>
    </w:p>
    <w:p w14:paraId="4503C08E" w14:textId="77777777" w:rsidR="00DA7A34" w:rsidRPr="00714742" w:rsidRDefault="00DA7A34" w:rsidP="00DA7A34">
      <w:pPr>
        <w:pStyle w:val="ListParagraph"/>
        <w:numPr>
          <w:ilvl w:val="0"/>
          <w:numId w:val="3"/>
        </w:numPr>
        <w:spacing w:after="100" w:line="276" w:lineRule="auto"/>
      </w:pPr>
      <w:r w:rsidRPr="00714742">
        <w:t>Undeveloped spatial operationalization. The framework's material tendencies are stated mainly in terms of portable artifacts, burials, and monument styles (Blanton et al., 1996; Feinman, 2000). Yet the strategies' most direct material consequences are configurational, opposite demands on assembly, access, movement, and oversight, and these properties of settlement space have barely been operationalized for strategy assessment (cf. Fisher, 2009).</w:t>
      </w:r>
    </w:p>
    <w:p w14:paraId="3BFECF85" w14:textId="77777777" w:rsidR="00DA7A34" w:rsidRPr="00714742" w:rsidRDefault="00DA7A34" w:rsidP="00DA7A34">
      <w:pPr>
        <w:spacing w:before="60" w:after="200"/>
        <w:ind w:left="360"/>
      </w:pPr>
      <w:r w:rsidRPr="00714742">
        <w:rPr>
          <w:i/>
          <w:iCs/>
        </w:rPr>
        <w:t>The four weaknesses form a chain: an underspecified corporate mode cannot have its transformations described, undescribed transformations cannot be traced through centralization, and none of this can be tested without operational measures. Addressing the chain requires questions that target each link, and a venue in which the answers are empirically accessible.</w:t>
      </w:r>
    </w:p>
    <w:p w14:paraId="396BE32E" w14:textId="77777777" w:rsidR="00DA7A34" w:rsidRPr="00714742" w:rsidRDefault="00DA7A34" w:rsidP="00DA7A34">
      <w:pPr>
        <w:pStyle w:val="Heading1"/>
        <w:spacing w:before="360" w:after="180"/>
        <w:rPr>
          <w:color w:val="auto"/>
          <w:sz w:val="24"/>
          <w:szCs w:val="24"/>
        </w:rPr>
      </w:pPr>
      <w:r w:rsidRPr="00714742">
        <w:rPr>
          <w:b/>
          <w:bCs/>
          <w:color w:val="auto"/>
          <w:sz w:val="24"/>
          <w:szCs w:val="24"/>
        </w:rPr>
        <w:t>3. Research Questions and the Testing Ground</w:t>
      </w:r>
    </w:p>
    <w:p w14:paraId="7AF72896" w14:textId="77777777" w:rsidR="00DA7A34" w:rsidRPr="00714742" w:rsidRDefault="00DA7A34" w:rsidP="00DA7A34">
      <w:pPr>
        <w:pStyle w:val="Heading2"/>
        <w:spacing w:before="280" w:after="140"/>
        <w:rPr>
          <w:color w:val="auto"/>
          <w:sz w:val="24"/>
          <w:szCs w:val="24"/>
        </w:rPr>
      </w:pPr>
      <w:r w:rsidRPr="00714742">
        <w:rPr>
          <w:b/>
          <w:bCs/>
          <w:color w:val="auto"/>
          <w:sz w:val="24"/>
          <w:szCs w:val="24"/>
        </w:rPr>
        <w:t>3.1 The Testing Ground: The Yellow River Sequence</w:t>
      </w:r>
    </w:p>
    <w:p w14:paraId="76DCEA44" w14:textId="77777777" w:rsidR="00DA7A34" w:rsidRPr="00714742" w:rsidRDefault="00DA7A34" w:rsidP="00DA7A34">
      <w:pPr>
        <w:spacing w:after="120" w:line="276" w:lineRule="auto"/>
      </w:pPr>
      <w:r w:rsidRPr="00714742">
        <w:t xml:space="preserve">A venue for these questions must satisfy demanding conditions: settlement plans complete enough for configurational measurement, artifact provenience published at feature level, and a documented sequence running from early cooperative villages to a centralized polity. The middle reaches of the Yellow River basin satisfy all three, and they do so because of the discipline's own history there. Settlement-based reasoning about social organization has been an actively developed research program in Chinese archaeology since K. C. Chang introduced settlement patterns as both subject and method and Yan </w:t>
      </w:r>
      <w:proofErr w:type="spellStart"/>
      <w:r w:rsidRPr="00714742">
        <w:t>Wenming</w:t>
      </w:r>
      <w:proofErr w:type="spellEnd"/>
      <w:r w:rsidRPr="00714742">
        <w:t xml:space="preserve"> theorized settlement archaeology as a route to social structure (Chang, 1958, 1968, 1986; Yan, 1997a, 1997b; Hein, 2022). Two generations of regional survey and household-scale analysis then built secure chronologies and quantified village interiors (Liu, 1996, 2004; Liu et al., 2002, 2019; Drennan &amp; Dai, 2010; Underhill et al., 2008; Peterson &amp; Drennan, 2012; Peterson &amp; Shelach, 2012; Lee, 2007). The resulting record includes village plans of unusual completeness with feature-level provenience in full excavation reports, exactly what a joint configurational and functional analysis requires (Xi'an Banpo Museum et al., 1988;</w:t>
      </w:r>
      <w:proofErr w:type="spellStart"/>
      <w:r w:rsidRPr="00714742"/>
      <w:proofErr w:type="spellEnd"/>
      <w:r w:rsidRPr="00714742">
        <w:t xml:space="preserve"> Henan Provincial Institute of Cultural Relics and Archaeology, 1999; Institute of Archaeology, Chinese Academy of Social Sciences, &amp; Shanxi Provincial Linfen Municipal Bureau of Cultural Relics, 2015). For Taosi, the 1978-1985 report is supplemented by the published results of the subsequent seasons that exposed the walled enclosure and the palatial precinct (He, 2018; Liu &amp; Chen, 2012).</w:t>
      </w:r>
      <w:proofErr w:type="spellStart"/>
      <w:r w:rsidRPr="00714742"/>
      <w:proofErr w:type="spellEnd"/>
      <w:r w:rsidRPr="00714742"/>
    </w:p>
    <w:p w14:paraId="14142293" w14:textId="77777777" w:rsidR="00DA7A34" w:rsidRPr="00714742" w:rsidRDefault="00DA7A34" w:rsidP="00DA7A34">
      <w:pPr>
        <w:spacing w:after="120" w:line="276" w:lineRule="auto"/>
      </w:pPr>
      <w:r w:rsidRPr="00714742">
        <w:t xml:space="preserve">Three sites anchor the test. </w:t>
      </w:r>
      <w:proofErr w:type="spellStart"/>
      <w:r w:rsidRPr="00714742">
        <w:t>Jiahu</w:t>
      </w:r>
      <w:proofErr w:type="spellEnd"/>
      <w:r w:rsidRPr="00714742">
        <w:t xml:space="preserve"> (ca. 7000-5700 BC) documents an extensively exposed early sedentary village; </w:t>
      </w:r>
      <w:proofErr w:type="spellStart"/>
      <w:r w:rsidRPr="00714742">
        <w:t>Jiangzhai</w:t>
      </w:r>
      <w:proofErr w:type="spellEnd"/>
      <w:r w:rsidRPr="00714742">
        <w:t xml:space="preserve"> (ca. 4700-4400 BC) preserves the canonical centripetal village plan of the </w:t>
      </w:r>
      <w:proofErr w:type="spellStart"/>
      <w:r w:rsidRPr="00714742">
        <w:t>Banpo</w:t>
      </w:r>
      <w:proofErr w:type="spellEnd"/>
      <w:r w:rsidRPr="00714742">
        <w:t xml:space="preserve"> type; </w:t>
      </w:r>
      <w:proofErr w:type="spellStart"/>
      <w:r w:rsidRPr="00714742">
        <w:t>Taosi</w:t>
      </w:r>
      <w:proofErr w:type="spellEnd"/>
      <w:r w:rsidRPr="00714742">
        <w:t xml:space="preserve"> (ca. 2300-1900 BC) is a walled center with palatial architecture and pronounced mortuary differentiation (Zhang &amp; Cui, 2013; Peterson &amp; Shelach, 2012; Lee, 2007; </w:t>
      </w:r>
      <w:r w:rsidRPr="00714742">
        <w:t>Liu &amp; Chen, 2012; He, 2018). The sequence spans precisely the transition the general question concerns. Two further features make the venue apt rather than merely adequate. The prevailing account of Chinese complexification is a narrative of gradual development toward centralized authority, classically theorized as the progressive monopolization of ritual communication (Chang, 1983; Liu, 2004, 2009; Underhill, 1997), so the cooperative substrate of the sequence has been described but not analyzed in its own right. And configurational methods remain almost unapplied to this record, so the measurements themselves break new ground (Meng &amp; Zhang, 2025; Song &amp; Zhang, 2022). The choice is a reasoned selection of a testing ground, not a claim that the Yellow River case is unique.</w:t>
      </w:r>
    </w:p>
    <w:p w14:paraId="637F1C38" w14:textId="77777777" w:rsidR="00DA7A34" w:rsidRPr="00714742" w:rsidRDefault="00DA7A34" w:rsidP="00DA7A34">
      <w:pPr>
        <w:pStyle w:val="Heading2"/>
        <w:spacing w:before="280" w:after="140"/>
        <w:rPr>
          <w:color w:val="auto"/>
          <w:sz w:val="24"/>
          <w:szCs w:val="24"/>
        </w:rPr>
      </w:pPr>
      <w:r w:rsidRPr="00714742">
        <w:rPr>
          <w:b/>
          <w:bCs/>
          <w:color w:val="auto"/>
          <w:sz w:val="24"/>
          <w:szCs w:val="24"/>
        </w:rPr>
        <w:t>3.2 The Questions</w:t>
      </w:r>
    </w:p>
    <w:p w14:paraId="1E6A80BD" w14:textId="77777777" w:rsidR="00DA7A34" w:rsidRPr="00714742" w:rsidRDefault="00DA7A34" w:rsidP="00DA7A34">
      <w:pPr>
        <w:spacing w:after="120" w:line="276" w:lineRule="auto"/>
      </w:pPr>
      <w:r w:rsidRPr="00714742">
        <w:t>Three research questions target the gap at its links. They are stated in the form in which the dissertation will answer them; the apparatus they presuppose occupies Sections 4 through 6, and the competing hypotheses for the second question are developed in Section 7.</w:t>
      </w:r>
    </w:p>
    <w:p w14:paraId="76D997D1" w14:textId="77777777" w:rsidR="00DA7A34" w:rsidRPr="00714742" w:rsidRDefault="00DA7A34" w:rsidP="00DA7A34">
      <w:pPr>
        <w:spacing w:before="60" w:after="160" w:line="276" w:lineRule="auto"/>
        <w:ind w:left="360" w:right="360"/>
      </w:pPr>
      <w:r w:rsidRPr="00714742">
        <w:rPr>
          <w:b/>
          <w:bCs/>
          <w:i/>
          <w:iCs/>
        </w:rPr>
        <w:t xml:space="preserve">RQ1. In what ways did spatial configurations at </w:t>
      </w:r>
      <w:proofErr w:type="spellStart"/>
      <w:r w:rsidRPr="00714742">
        <w:rPr>
          <w:b/>
          <w:bCs/>
          <w:i/>
          <w:iCs/>
        </w:rPr>
        <w:t>Jiahu</w:t>
      </w:r>
      <w:proofErr w:type="spellEnd"/>
      <w:r w:rsidRPr="00714742">
        <w:rPr>
          <w:b/>
          <w:bCs/>
          <w:i/>
          <w:iCs/>
        </w:rPr>
        <w:t xml:space="preserve">, Jiangzhai, and </w:t>
      </w:r>
      <w:proofErr w:type="spellStart"/>
      <w:r w:rsidRPr="00714742">
        <w:rPr>
          <w:b/>
          <w:bCs/>
          <w:i/>
          <w:iCs/>
        </w:rPr>
        <w:t>Taosi</w:t>
      </w:r>
      <w:proofErr w:type="spellEnd"/>
      <w:r w:rsidRPr="00714742">
        <w:rPr>
          <w:b/>
          <w:bCs/>
          <w:i/>
          <w:iCs/>
        </w:rPr>
        <w:t xml:space="preserve"> structure the distribution of power, access, and coordination, and do these patterns align more closely with corporate or network strategies?</w:t>
      </w:r>
    </w:p>
    <w:p w14:paraId="14A21FDE" w14:textId="77777777" w:rsidR="00DA7A34" w:rsidRPr="00714742" w:rsidRDefault="00DA7A34" w:rsidP="00DA7A34">
      <w:pPr>
        <w:spacing w:after="120" w:line="276" w:lineRule="auto"/>
      </w:pPr>
      <w:r w:rsidRPr="00714742">
        <w:t xml:space="preserve">RQ1 addresses the operationalization weakness: it asks for strategy assessment from measured configuration and </w:t>
      </w:r>
      <w:proofErr w:type="spellStart"/>
      <w:r w:rsidRPr="00714742">
        <w:t>provenienced</w:t>
      </w:r>
      <w:proofErr w:type="spellEnd"/>
      <w:r w:rsidRPr="00714742">
        <w:t xml:space="preserve"> function, at each settlement and at each analytical scale.</w:t>
      </w:r>
    </w:p>
    <w:p w14:paraId="2AAD538D" w14:textId="77777777" w:rsidR="00DA7A34" w:rsidRPr="00714742" w:rsidRDefault="00DA7A34" w:rsidP="00DA7A34">
      <w:pPr>
        <w:spacing w:before="60" w:after="160" w:line="276" w:lineRule="auto"/>
        <w:ind w:left="360" w:right="360"/>
      </w:pPr>
      <w:r w:rsidRPr="00714742">
        <w:rPr>
          <w:b/>
          <w:bCs/>
          <w:i/>
          <w:iCs/>
        </w:rPr>
        <w:t xml:space="preserve">RQ2. How did the spatial expression of political authority change from </w:t>
      </w:r>
      <w:proofErr w:type="spellStart"/>
      <w:r w:rsidRPr="00714742">
        <w:rPr>
          <w:b/>
          <w:bCs/>
          <w:i/>
          <w:iCs/>
        </w:rPr>
        <w:t>Jiahu</w:t>
      </w:r>
      <w:proofErr w:type="spellEnd"/>
      <w:r w:rsidRPr="00714742">
        <w:rPr>
          <w:b/>
          <w:bCs/>
          <w:i/>
          <w:iCs/>
        </w:rPr>
        <w:t xml:space="preserve"> to </w:t>
      </w:r>
      <w:proofErr w:type="spellStart"/>
      <w:r w:rsidRPr="00714742">
        <w:rPr>
          <w:b/>
          <w:bCs/>
          <w:i/>
          <w:iCs/>
        </w:rPr>
        <w:t>Jiangzhai</w:t>
      </w:r>
      <w:proofErr w:type="spellEnd"/>
      <w:r w:rsidRPr="00714742">
        <w:rPr>
          <w:b/>
          <w:bCs/>
          <w:i/>
          <w:iCs/>
        </w:rPr>
        <w:t xml:space="preserve"> to </w:t>
      </w:r>
      <w:proofErr w:type="spellStart"/>
      <w:r w:rsidRPr="00714742">
        <w:rPr>
          <w:b/>
          <w:bCs/>
          <w:i/>
          <w:iCs/>
        </w:rPr>
        <w:t>Taosi</w:t>
      </w:r>
      <w:proofErr w:type="spellEnd"/>
      <w:r w:rsidRPr="00714742">
        <w:rPr>
          <w:b/>
          <w:bCs/>
          <w:i/>
          <w:iCs/>
        </w:rPr>
        <w:t>? Do these changes indicate a shift between corporate and network strategies, increasing formalization, or hybrid forms?</w:t>
      </w:r>
    </w:p>
    <w:p w14:paraId="566B2223" w14:textId="77777777" w:rsidR="00DA7A34" w:rsidRPr="00714742" w:rsidRDefault="00DA7A34" w:rsidP="00DA7A34">
      <w:pPr>
        <w:spacing w:after="120" w:line="276" w:lineRule="auto"/>
      </w:pPr>
      <w:r w:rsidRPr="00714742">
        <w:t>RQ2 is the dissertation's core question and addresses the transformation and fate weaknesses together: it converts the general question of corporate organization's career under centralization into an empirically decidable comparison across the sequence.</w:t>
      </w:r>
    </w:p>
    <w:p w14:paraId="6709715A" w14:textId="77777777" w:rsidR="00DA7A34" w:rsidRPr="00714742" w:rsidRDefault="00DA7A34" w:rsidP="00DA7A34">
      <w:pPr>
        <w:spacing w:before="60" w:after="160" w:line="276" w:lineRule="auto"/>
        <w:ind w:left="360" w:right="360"/>
      </w:pPr>
      <w:r w:rsidRPr="00714742">
        <w:rPr>
          <w:b/>
          <w:bCs/>
          <w:i/>
          <w:iCs/>
        </w:rPr>
        <w:t xml:space="preserve">RQ3. What do the diachronic spatial and organizational patterns across the </w:t>
      </w:r>
      <w:proofErr w:type="spellStart"/>
      <w:r w:rsidRPr="00714742">
        <w:rPr>
          <w:b/>
          <w:bCs/>
          <w:i/>
          <w:iCs/>
        </w:rPr>
        <w:t>Jiahu</w:t>
      </w:r>
      <w:proofErr w:type="spellEnd"/>
      <w:r w:rsidRPr="00714742">
        <w:rPr>
          <w:b/>
          <w:bCs/>
          <w:i/>
          <w:iCs/>
        </w:rPr>
        <w:t xml:space="preserve">, Jiangzhai, and </w:t>
      </w:r>
      <w:proofErr w:type="spellStart"/>
      <w:r w:rsidRPr="00714742">
        <w:rPr>
          <w:b/>
          <w:bCs/>
          <w:i/>
          <w:iCs/>
        </w:rPr>
        <w:t>Taosi</w:t>
      </w:r>
      <w:proofErr w:type="spellEnd"/>
      <w:r w:rsidRPr="00714742">
        <w:rPr>
          <w:b/>
          <w:bCs/>
          <w:i/>
          <w:iCs/>
        </w:rPr>
        <w:t xml:space="preserve"> sequence reveal about the pathways of social complexification in early agricultural societies, and how do they compare with broader cross-cultural patterns of corporate and network strategies in political trajectories?</w:t>
      </w:r>
    </w:p>
    <w:p w14:paraId="704E8553" w14:textId="77777777" w:rsidR="00DA7A34" w:rsidRPr="00714742" w:rsidRDefault="00DA7A34" w:rsidP="00DA7A34">
      <w:pPr>
        <w:spacing w:after="120" w:line="276" w:lineRule="auto"/>
      </w:pPr>
      <w:r w:rsidRPr="00714742">
        <w:t>RQ3 returns the result to the comparative problem of Section 1, asking what the Yellow River trajectory contributes to the cross-cultural understanding of cooperation and its fate in early agricultural societies.</w:t>
      </w:r>
    </w:p>
    <w:p w14:paraId="0F5DB61E" w14:textId="77777777" w:rsidR="00DA7A34" w:rsidRPr="00714742" w:rsidRDefault="00DA7A34" w:rsidP="00DA7A34">
      <w:pPr>
        <w:spacing w:before="60" w:after="200"/>
        <w:ind w:left="360"/>
      </w:pPr>
      <w:r w:rsidRPr="00714742">
        <w:rPr>
          <w:i/>
          <w:iCs/>
        </w:rPr>
        <w:t>The questions are posed and the venue is fixed. What follows builds the means of answering: first internal structure for the corporate mode (Section 4), then a theory of spatial evidence (Section 5), then their operational junction (Section 6).</w:t>
      </w:r>
    </w:p>
    <w:p w14:paraId="19206535" w14:textId="77777777" w:rsidR="00DA7A34" w:rsidRPr="00714742" w:rsidRDefault="00DA7A34" w:rsidP="00DA7A34">
      <w:pPr>
        <w:pStyle w:val="Heading1"/>
        <w:spacing w:before="360" w:after="180"/>
        <w:rPr>
          <w:color w:val="auto"/>
          <w:sz w:val="24"/>
          <w:szCs w:val="24"/>
        </w:rPr>
      </w:pPr>
      <w:r w:rsidRPr="00714742">
        <w:rPr>
          <w:b/>
          <w:bCs/>
          <w:color w:val="auto"/>
          <w:sz w:val="24"/>
          <w:szCs w:val="24"/>
        </w:rPr>
        <w:t>4. The Dynamics of Corporate Organization: A Dimensional Account</w:t>
      </w:r>
    </w:p>
    <w:p w14:paraId="0AD76099" w14:textId="77777777" w:rsidR="00DA7A34" w:rsidRPr="00714742" w:rsidRDefault="00DA7A34" w:rsidP="00DA7A34">
      <w:pPr>
        <w:pStyle w:val="Heading2"/>
        <w:spacing w:before="280" w:after="140"/>
        <w:rPr>
          <w:color w:val="auto"/>
          <w:sz w:val="24"/>
          <w:szCs w:val="24"/>
        </w:rPr>
      </w:pPr>
      <w:r w:rsidRPr="00714742">
        <w:rPr>
          <w:b/>
          <w:bCs/>
          <w:color w:val="auto"/>
          <w:sz w:val="24"/>
          <w:szCs w:val="24"/>
        </w:rPr>
        <w:t>4.1 Five Dimensions of Variation and Transformation</w:t>
      </w:r>
    </w:p>
    <w:p w14:paraId="03A185DB" w14:textId="77777777" w:rsidR="00DA7A34" w:rsidRPr="00714742" w:rsidRDefault="00DA7A34" w:rsidP="00DA7A34">
      <w:pPr>
        <w:spacing w:after="120" w:line="276" w:lineRule="auto"/>
      </w:pPr>
      <w:r w:rsidRPr="00714742">
        <w:lastRenderedPageBreak/>
        <w:t>The first requirement the questions impose is internal structure for the corporate mode, whose absence constitutes the first two weaknesses of Section 2.2.</w:t>
      </w:r>
    </w:p>
    <w:p w14:paraId="6698E5D8" w14:textId="77777777" w:rsidR="00DA7A34" w:rsidRPr="00714742" w:rsidRDefault="00DA7A34" w:rsidP="00DA7A34">
      <w:pPr>
        <w:spacing w:after="120" w:line="276" w:lineRule="auto"/>
      </w:pPr>
      <w:r w:rsidRPr="00714742">
        <w:t>A binary corporate-or-network diagnosis would be uninformative for most of the Chinese Neolithic sequence, where prior readings already place early villages on the egalitarian-to-corporate side, even as they differ on how far household-level differentiation qualifies that reading (Lee, 2007; Peterson &amp; Shelach, 2012; Zhang &amp; Cui, 2013). The productive question is how corporate organization differed and transformed across the sequence. I therefore treat the corporate mode not as one thing but as a position along five analytical dimensions. These are dimensions of a single strategy, not subtypes; a community's corporate organization is characterized by its position on each, and transformation is movement along them.</w:t>
      </w:r>
    </w:p>
    <w:p w14:paraId="12B66DA8" w14:textId="77777777" w:rsidR="00DA7A34" w:rsidRPr="00714742" w:rsidRDefault="00DA7A34" w:rsidP="00DA7A34">
      <w:pPr>
        <w:pStyle w:val="ListParagraph"/>
        <w:numPr>
          <w:ilvl w:val="0"/>
          <w:numId w:val="3"/>
        </w:numPr>
        <w:spacing w:after="100" w:line="276" w:lineRule="auto"/>
      </w:pPr>
      <w:r w:rsidRPr="00714742">
        <w:t>The scale of the cooperating unit. Corporate arrangements can knit together households, residential clusters, whole settlements, or multi-settlement groups; ethnographic and archaeological work shows corporate groups forming and operating at sharply different scales, with different material footprints at each (Hayden &amp; Cannon, 1982; Gillespie, 2000). Scale is not organizationally neutral: as the cooperating unit grows, the information load of face-to-face coordination rises nonlinearly, so that enlargement forces either segmentation or new integrative arrangements (Johnson, 1982), a dynamic documented comparatively for settlement nucleation across the Old World (Gyucha &amp; Salisbury, 2022). Rescaling, as when village-level cooperation absorbs or overrides cluster-level cooperation, is therefore one of the principal forms corporate transformation can take.</w:t>
      </w:r>
    </w:p>
    <w:p w14:paraId="7B9985DE" w14:textId="77777777" w:rsidR="00DA7A34" w:rsidRPr="00714742" w:rsidRDefault="00DA7A34" w:rsidP="00DA7A34">
      <w:pPr>
        <w:pStyle w:val="ListParagraph"/>
        <w:numPr>
          <w:ilvl w:val="0"/>
          <w:numId w:val="3"/>
        </w:numPr>
        <w:spacing w:after="100" w:line="276" w:lineRule="auto"/>
      </w:pPr>
      <w:r w:rsidRPr="00714742">
        <w:t>The economic base of cooperation. Corporate arrangements differ in what funds them: pooled staple production, shared storage, communal labor on land and water, or more specialized revenue. The resource base conditions whether cooperative ownership arrangements are viable at all and how robust they remain under environmental and demographic stress (Freeman &amp; Anderies, 2015), and finance-oriented work distinguishes staple-based from wealth-based provisioning as material signatures (D'Altroy &amp; Earle, 1985; Earle, 2016), a distinction the collective action literature ties to how governance itself is funded (Blanton &amp; Fargher, 2008).</w:t>
      </w:r>
    </w:p>
    <w:p w14:paraId="4BB18C8F" w14:textId="77777777" w:rsidR="00DA7A34" w:rsidRPr="00714742" w:rsidRDefault="00DA7A34" w:rsidP="00DA7A34">
      <w:pPr>
        <w:pStyle w:val="ListParagraph"/>
        <w:numPr>
          <w:ilvl w:val="0"/>
          <w:numId w:val="3"/>
        </w:numPr>
        <w:spacing w:after="100" w:line="276" w:lineRule="auto"/>
      </w:pPr>
      <w:r w:rsidRPr="00714742">
        <w:t>The degree of formalization. Collective arrangements range from diffuse norms enacted in everyday practice to formalized offices, dedicated facilities, and dedicated spaces; this gradient of formality, durability, and resourcing is precisely what the institutional turn in archaeology proposes to measure (Holland-Lulewicz et al., 2020). Spatially, formalization is visible in whether coordination occupies purpose-built, persistent locations or is distributed through domestic space; this dimension underwrites the legibility expectations of Section 6.</w:t>
      </w:r>
    </w:p>
    <w:p w14:paraId="756A2DFA" w14:textId="77777777" w:rsidR="00DA7A34" w:rsidRPr="00714742" w:rsidRDefault="00DA7A34" w:rsidP="00DA7A34">
      <w:pPr>
        <w:pStyle w:val="ListParagraph"/>
        <w:numPr>
          <w:ilvl w:val="0"/>
          <w:numId w:val="3"/>
        </w:numPr>
        <w:spacing w:after="100" w:line="276" w:lineRule="auto"/>
      </w:pPr>
      <w:r w:rsidRPr="00714742">
        <w:t>Scalar coexistence with exclusionary strategies. Corporate and network strategies can operate simultaneously at different scales of the same community, as Manzanilla (2015) has shown for Teotihuacan, where corporate neighborhood organization coexisted with more exclusionary dynamics at other levels. A settlement is therefore assessed scale by scale, and cross-scale dissonance is an expected, meaningful outcome rather than a contradiction.</w:t>
      </w:r>
    </w:p>
    <w:p w14:paraId="0572BC78" w14:textId="77777777" w:rsidR="00DA7A34" w:rsidRPr="00714742" w:rsidRDefault="00DA7A34" w:rsidP="00DA7A34">
      <w:pPr>
        <w:pStyle w:val="ListParagraph"/>
        <w:numPr>
          <w:ilvl w:val="0"/>
          <w:numId w:val="3"/>
        </w:numPr>
        <w:spacing w:after="100" w:line="276" w:lineRule="auto"/>
      </w:pPr>
      <w:r w:rsidRPr="00714742">
        <w:t>Stability, tension, and strategic shift. Corporate arrangements can hold household differentiation in a stable frame, fracture under it, or give way to exclusionary strategies; documented cases include the shift from group-oriented monument building to prestige-goods strategies at Cahokia (Trubitt, 2000)</w:t>
      </w:r>
      <w:proofErr w:type="spellStart"/>
      <w:r w:rsidRPr="00714742"/>
      <w:proofErr w:type="spellEnd"/>
      <w:r w:rsidRPr="00714742">
        <w:t xml:space="preserve"> and the resolution of communal-household tension through enclosure and separation in Neolithic Europe (Furholt et al., 2020). Where a sequence moves on this dimension is the heart of RQ2.</w:t>
      </w:r>
    </w:p>
    <w:p w14:paraId="1DB5099C" w14:textId="77777777" w:rsidR="00DA7A34" w:rsidRPr="00714742" w:rsidRDefault="00DA7A34" w:rsidP="00DA7A34">
      <w:pPr>
        <w:spacing w:before="60" w:after="200"/>
        <w:ind w:left="360"/>
      </w:pPr>
      <w:r w:rsidRPr="00714742">
        <w:rPr>
          <w:i/>
          <w:iCs/>
        </w:rPr>
        <w:lastRenderedPageBreak/>
        <w:t>Five dimensions give the corporate mode internal structure, but they remain abstractions until each is tied to material evidence under explicit rules. The next subsection states those rules; their full operationalization is Table 1.</w:t>
      </w:r>
    </w:p>
    <w:p w14:paraId="453E5A1F" w14:textId="77777777" w:rsidR="00DA7A34" w:rsidRPr="00714742" w:rsidRDefault="00DA7A34" w:rsidP="00DA7A34">
      <w:pPr>
        <w:pStyle w:val="Heading2"/>
        <w:spacing w:before="280" w:after="140"/>
        <w:rPr>
          <w:color w:val="auto"/>
          <w:sz w:val="24"/>
          <w:szCs w:val="24"/>
        </w:rPr>
      </w:pPr>
      <w:r w:rsidRPr="00714742">
        <w:rPr>
          <w:b/>
          <w:bCs/>
          <w:color w:val="auto"/>
          <w:sz w:val="24"/>
          <w:szCs w:val="24"/>
        </w:rPr>
        <w:t>4.2 The Discipline of Material Indicators</w:t>
      </w:r>
    </w:p>
    <w:p w14:paraId="041436CD" w14:textId="77777777" w:rsidR="00DA7A34" w:rsidRPr="00714742" w:rsidRDefault="00DA7A34" w:rsidP="00DA7A34">
      <w:pPr>
        <w:spacing w:after="120" w:line="276" w:lineRule="auto"/>
      </w:pPr>
      <w:r w:rsidRPr="00714742">
        <w:t>Three rules govern how the dimensions are read from evidence. First, mechanism before indicator: no material pattern counts as evidence for a strategy unless the argument states why that strategy's arrangements would produce that pattern; indicators inherit their meaning from mechanisms, not from precedent alone. Second, convergence: a strategy assessment at any scale requires the alignment of multiple independent tendencies drawn from different evidence classes, and misalignment is reported as a finding about organizational heterogeneity rather than smoothed away. Third, context-dependence: the same artifact class or spatial form can serve either strategy depending on its distribution and setting, so type and context are read jointly. These rules are restated operationally in Section 6, where they govern the evaluation of the ten tendencies.</w:t>
      </w:r>
    </w:p>
    <w:p w14:paraId="1686FA4B" w14:textId="77777777" w:rsidR="00DA7A34" w:rsidRPr="00714742" w:rsidRDefault="00DA7A34" w:rsidP="00DA7A34">
      <w:pPr>
        <w:spacing w:before="60" w:after="200"/>
        <w:ind w:left="360"/>
      </w:pPr>
      <w:r w:rsidRPr="00714742">
        <w:rPr>
          <w:i/>
          <w:iCs/>
        </w:rPr>
        <w:t>The strategy concepts now have internal structure and rules of evidence. What they still lack is a theory of the evidence itself: why settlement space, of all records, should register socio-political organization, the fourth weakness of Section 2.2. Section 5 supplies it.</w:t>
      </w:r>
    </w:p>
    <w:p w14:paraId="533CBBFA" w14:textId="77777777" w:rsidR="00DA7A34" w:rsidRPr="00714742" w:rsidRDefault="00DA7A34" w:rsidP="00DA7A34">
      <w:pPr>
        <w:pStyle w:val="Heading1"/>
        <w:spacing w:before="360" w:after="180"/>
        <w:rPr>
          <w:color w:val="auto"/>
          <w:sz w:val="24"/>
          <w:szCs w:val="24"/>
        </w:rPr>
      </w:pPr>
      <w:r w:rsidRPr="00714742">
        <w:rPr>
          <w:b/>
          <w:bCs/>
          <w:color w:val="auto"/>
          <w:sz w:val="24"/>
          <w:szCs w:val="24"/>
        </w:rPr>
        <w:t>5. The Social Logic of Space</w:t>
      </w:r>
    </w:p>
    <w:p w14:paraId="5C045084" w14:textId="77777777" w:rsidR="00DA7A34" w:rsidRPr="00714742" w:rsidRDefault="00DA7A34" w:rsidP="00DA7A34">
      <w:pPr>
        <w:pStyle w:val="Heading2"/>
        <w:spacing w:before="280" w:after="140"/>
        <w:rPr>
          <w:color w:val="auto"/>
          <w:sz w:val="24"/>
          <w:szCs w:val="24"/>
        </w:rPr>
      </w:pPr>
      <w:r w:rsidRPr="00714742">
        <w:rPr>
          <w:b/>
          <w:bCs/>
          <w:color w:val="auto"/>
          <w:sz w:val="24"/>
          <w:szCs w:val="24"/>
        </w:rPr>
        <w:t>5.1 Configuration as the Medium of Socio-Political Organization</w:t>
      </w:r>
    </w:p>
    <w:p w14:paraId="2C91CAF8" w14:textId="77777777" w:rsidR="00DA7A34" w:rsidRPr="00714742" w:rsidRDefault="00DA7A34" w:rsidP="00DA7A34">
      <w:pPr>
        <w:spacing w:after="120" w:line="276" w:lineRule="auto"/>
      </w:pPr>
      <w:r w:rsidRPr="00714742">
        <w:t xml:space="preserve">The built environment is uniquely suited to recording socio-political organization because it is simultaneously the product of organizational practice and the infrastructure that constrains future practice (Lawrence &amp; Low, 1990; Kent, 1990; Rapoport, 1990). The social logic of space gives this intuition analytical form: a settlement layout is a configuration, a system of spatial relations whose properties shape the probabilistic field of encounter, movement, and oversight within which social life unfolds (Hillier &amp; Hanson, 1984; Hillier, 1996; Bafna, 2003). The framework's measures quantify exactly the properties that socio-political arrangements would need to govern. Integration measures how accessible each space is from all others, and therefore the potential of a space to assemble the community; Choice and Control measure the capacity of spaces to channel and gatekeep movement; intelligibility, the correlation between local connectivity and global integration, measures whether the system's order is readable from within, and therefore whether spatial knowledge, and the coordination it carries, is widely shared or restricted (van Nes &amp; </w:t>
      </w:r>
      <w:proofErr w:type="spellStart"/>
      <w:r w:rsidRPr="00714742">
        <w:t>Yamu</w:t>
      </w:r>
      <w:proofErr w:type="spellEnd"/>
      <w:r w:rsidRPr="00714742">
        <w:t>, 2021). Because corporate and network strategies make opposite demands on assembly, access, gatekeeping, and legibility, configuration is not a proxy for socio-political organization but its most direct material expression.</w:t>
      </w:r>
    </w:p>
    <w:p w14:paraId="70245EF6" w14:textId="77777777" w:rsidR="00DA7A34" w:rsidRPr="00714742" w:rsidRDefault="00DA7A34" w:rsidP="00DA7A34">
      <w:pPr>
        <w:spacing w:before="60" w:after="200"/>
        <w:ind w:left="360"/>
      </w:pPr>
      <w:r w:rsidRPr="00714742">
        <w:rPr>
          <w:i/>
          <w:iCs/>
        </w:rPr>
        <w:t>A strong claim of this kind needs an epistemological position and a record of performance, and it has a known failure mode. The next two subsections address each.</w:t>
      </w:r>
    </w:p>
    <w:p w14:paraId="3E5BFF86" w14:textId="77777777" w:rsidR="00DA7A34" w:rsidRPr="00714742" w:rsidRDefault="00DA7A34" w:rsidP="00DA7A34">
      <w:pPr>
        <w:pStyle w:val="Heading2"/>
        <w:spacing w:before="280" w:after="140"/>
        <w:rPr>
          <w:color w:val="auto"/>
          <w:sz w:val="24"/>
          <w:szCs w:val="24"/>
        </w:rPr>
      </w:pPr>
      <w:r w:rsidRPr="00714742">
        <w:rPr>
          <w:b/>
          <w:bCs/>
          <w:color w:val="auto"/>
          <w:sz w:val="24"/>
          <w:szCs w:val="24"/>
        </w:rPr>
        <w:lastRenderedPageBreak/>
        <w:t>5.2 Epistemological Position: Empirical Middle-Range Theory</w:t>
      </w:r>
    </w:p>
    <w:p w14:paraId="6A6690C4" w14:textId="77777777" w:rsidR="00DA7A34" w:rsidRPr="00714742" w:rsidRDefault="00DA7A34" w:rsidP="00DA7A34">
      <w:pPr>
        <w:spacing w:after="120" w:line="276" w:lineRule="auto"/>
      </w:pPr>
      <w:r w:rsidRPr="00714742">
        <w:t>I position the social logic of space as empirical middle-range theory in Smith's (2011) sense, middle-range in Merton's meaning of tested propositions of intermediate generality that connect observable built form to social process, valuable precisely because it is neither grand theory nor mere technique; this is distinct from the Binfordian, inferential sense of middle-range theory in which Section 6 builds its bridge, and the two usages are kept separate here, as Smith (2011) himself urges. Its archaeological track record supports the position: configurational analysis has discriminated communal from restricted spatial orders, traced changing access regimes through architectural sequences, and identified gatekeeping structures, across contexts as different as Chacoan great houses, Iron Age Atlantic Scotland, Inuit snow-house camps, and African urban landscapes (Ferguson, 1996; Foster, 1989; Van Dyke, 1999; Dawson, 2002; Fisher, 2009; Baumanova, 2016, 2020)</w:t>
      </w:r>
      <w:proofErr w:type="spellStart"/>
      <w:r w:rsidRPr="00714742"/>
      <w:proofErr w:type="spellEnd"/>
      <w:r w:rsidRPr="00714742">
        <w:t>. Using it within a 'processual-</w:t>
      </w:r>
      <w:proofErr w:type="spellStart"/>
      <w:r w:rsidRPr="00714742">
        <w:t>plus'</w:t>
      </w:r>
      <w:proofErr w:type="spellEnd"/>
      <w:r w:rsidRPr="00714742">
        <w:t xml:space="preserve"> pluralism that joins strategy theory to practice-informed spatial analysis is methodologically unremarkable rather than eclectic (</w:t>
      </w:r>
      <w:proofErr w:type="spellStart"/>
      <w:r w:rsidRPr="00714742">
        <w:t>Hegmon</w:t>
      </w:r>
      <w:proofErr w:type="spellEnd"/>
      <w:r w:rsidRPr="00714742">
        <w:t>, 2003).</w:t>
      </w:r>
    </w:p>
    <w:p w14:paraId="7BCCAE47" w14:textId="77777777" w:rsidR="00DA7A34" w:rsidRPr="00714742" w:rsidRDefault="00DA7A34" w:rsidP="00DA7A34">
      <w:pPr>
        <w:pStyle w:val="Heading2"/>
        <w:spacing w:before="280" w:after="140"/>
        <w:rPr>
          <w:color w:val="auto"/>
          <w:sz w:val="24"/>
          <w:szCs w:val="24"/>
        </w:rPr>
      </w:pPr>
      <w:r w:rsidRPr="00714742">
        <w:rPr>
          <w:b/>
          <w:bCs/>
          <w:color w:val="auto"/>
          <w:sz w:val="24"/>
          <w:szCs w:val="24"/>
        </w:rPr>
        <w:t>5.3 The Limits and the Functional Corrective</w:t>
      </w:r>
    </w:p>
    <w:p w14:paraId="7646DC64" w14:textId="77777777" w:rsidR="00DA7A34" w:rsidRPr="00714742" w:rsidRDefault="00DA7A34" w:rsidP="00DA7A34">
      <w:pPr>
        <w:spacing w:after="120" w:line="276" w:lineRule="auto"/>
      </w:pPr>
      <w:r w:rsidRPr="00714742">
        <w:t>The framework's known failure mode is the inference from geometry alone, the objection pressed since Leach (1978): a configurational pattern does not announce which social process produced it, and identical syntactic profiles can serve different organizations. Two correctives discipline its use here. The first is the prerequisite standard: configurational analysis requires adequate plans, justified assumptions about openings and contemporaneity, and explicit formation-process assessment (Schiffer, 1987), requirements codified for configurational work in the critical methodological literature (Cutting, 2003, 2006), extended to histories of spatial modification and reuse (Fladd, 2017), and long established on the activity side, where assemblages must be shown to reflect the organization of activities rather than depositional accident before any functional reading (Binford, 1978; Carr, 1984). The second, central to this dissertation's design, is functional: Space Syntax is never read alone but always jointly with Activity Zone Analysis, so that every configurational claim is cross-examined against what was actually done, stored, and deposited in the spaces concerned. The joint reading converts the equifinality problem from a fatal objection into a testable question, and it is what the expectations of Table 1 are built to exploit.</w:t>
      </w:r>
    </w:p>
    <w:p w14:paraId="1781D93F" w14:textId="77777777" w:rsidR="00DA7A34" w:rsidRPr="00714742" w:rsidRDefault="00DA7A34" w:rsidP="00DA7A34">
      <w:pPr>
        <w:spacing w:before="60" w:after="200"/>
        <w:ind w:left="360"/>
      </w:pPr>
      <w:r w:rsidRPr="00714742">
        <w:rPr>
          <w:i/>
          <w:iCs/>
        </w:rPr>
        <w:t>Theory of organization (Section 4) and theory of evidence (Section 5) are now in place. What remains is to join them operationally, which is the work of the middle-range bridge and its hypothesis table.</w:t>
      </w:r>
    </w:p>
    <w:p w14:paraId="6B781588" w14:textId="77777777" w:rsidR="00DA7A34" w:rsidRPr="00714742" w:rsidRDefault="00DA7A34" w:rsidP="00DA7A34">
      <w:pPr>
        <w:pStyle w:val="Heading1"/>
        <w:spacing w:before="360" w:after="180"/>
        <w:rPr>
          <w:color w:val="auto"/>
          <w:sz w:val="24"/>
          <w:szCs w:val="24"/>
        </w:rPr>
      </w:pPr>
      <w:r w:rsidRPr="00714742">
        <w:rPr>
          <w:b/>
          <w:bCs/>
          <w:color w:val="auto"/>
          <w:sz w:val="24"/>
          <w:szCs w:val="24"/>
        </w:rPr>
        <w:t>6. The Middle-Range Bridge: Table 1 as the Operational Core</w:t>
      </w:r>
    </w:p>
    <w:p w14:paraId="78DF05D4" w14:textId="77777777" w:rsidR="00DA7A34" w:rsidRPr="00714742" w:rsidRDefault="00DA7A34" w:rsidP="00DA7A34">
      <w:pPr>
        <w:spacing w:after="120" w:line="276" w:lineRule="auto"/>
      </w:pPr>
      <w:r w:rsidRPr="00714742">
        <w:t>This section is the dissertation's middle-range theory in the Binfordian, inferential sense, arguments that link observable material patterns to the organizational dynamics that produced them (Binford, 1977), and it is the framework's operational core. It converts the strategy concepts of Section 4 into falsifiable expectations stated in the measures of Section 5, organized as the ten tendencies of Table 1, which is reproduced in full below. The section proceeds in four steps: the form of the bridging argument (6.1), the table itself (6.2), the decision rules under which its expectations are evaluated (6.3), and a closing account of the table's internal logic (6.4).</w:t>
      </w:r>
    </w:p>
    <w:p w14:paraId="1EEF86C9" w14:textId="77777777" w:rsidR="00DA7A34" w:rsidRPr="00714742" w:rsidRDefault="00DA7A34" w:rsidP="00DA7A34">
      <w:pPr>
        <w:pStyle w:val="Heading2"/>
        <w:spacing w:before="280" w:after="140"/>
        <w:rPr>
          <w:color w:val="auto"/>
          <w:sz w:val="24"/>
          <w:szCs w:val="24"/>
        </w:rPr>
      </w:pPr>
      <w:r w:rsidRPr="00714742">
        <w:rPr>
          <w:b/>
          <w:bCs/>
          <w:color w:val="auto"/>
          <w:sz w:val="24"/>
          <w:szCs w:val="24"/>
        </w:rPr>
        <w:t>6.1 The Form of the Bridging Argument</w:t>
      </w:r>
    </w:p>
    <w:p w14:paraId="66128EBB" w14:textId="77777777" w:rsidR="00DA7A34" w:rsidRPr="00714742" w:rsidRDefault="00DA7A34" w:rsidP="00DA7A34">
      <w:pPr>
        <w:spacing w:after="120" w:line="276" w:lineRule="auto"/>
      </w:pPr>
      <w:r w:rsidRPr="00714742">
        <w:t xml:space="preserve">Each tendency instantiates one argument form: if a given political strategy organized this community, then a specified configurational-functional pattern should be observed, because the </w:t>
      </w:r>
      <w:r w:rsidRPr="00714742">
        <w:lastRenderedPageBreak/>
        <w:t>strategy's arrangements require particular regimes of co-presence, access, and oversight. Three checks apply to every instantiation. The bridging assumption must be independent, not presupposing the strategy it tests; alternative dynamics that could generate the same pattern are listed in advance and, where possible, discriminated by additional expectations; and the pattern that would contradict the assumption is stated before analysis. The full inferential chain, from observed plan and provenience through formation-process assessment to configurational-functional pattern and finally to strategy assessment along the dimensions of Section 4.1, is assessable link by link, and its claims are conditional on the formation-process assessment developed in the Methods chapter.</w:t>
      </w:r>
    </w:p>
    <w:p w14:paraId="70FA813C" w14:textId="77777777" w:rsidR="00DA7A34" w:rsidRPr="00714742" w:rsidRDefault="00DA7A34" w:rsidP="00DA7A34">
      <w:pPr>
        <w:spacing w:after="120" w:line="276" w:lineRule="auto"/>
      </w:pPr>
      <w:r w:rsidRPr="00714742">
        <w:t>The mechanisms behind the expectations follow from Section 2. Corporate arrangements coordinate through broad participation and mutual visibility, so they require large-capacity communal nodes embedded in everyday circulation, a publicly legible spatial order, symmetric access from all residential segments, and provisioning facilities positioned within rather than sequestered from routine movement (Blanton et al., 1996; Hillier &amp; Hanson, 1984; Stone, 2000); the dedicated facilities that house such coordination are what institutional archaeology has recently described as the material anchors of broadly participatory governance (Holland-Lulewicz et al., 2022). Network strategies concentrate power through personal control of resources and relationships, so they require brokered movement through gatekeeping chokepoints, restricted high-control positions for valued activities, the dissociation of visibility from accessibility, and the capture of structural advantage by particular residences or precincts (Blanton et al., 1996; Fisher, 2009; Monroe, 2010). These are tendencies with mechanisms, not signatures with guarantees; the rules of Section 6.3 govern how much weight any single pattern carries.</w:t>
      </w:r>
    </w:p>
    <w:p w14:paraId="553CCAD0" w14:textId="77777777" w:rsidR="00DA7A34" w:rsidRPr="00714742" w:rsidRDefault="00DA7A34" w:rsidP="00DA7A34">
      <w:pPr>
        <w:pStyle w:val="Heading2"/>
        <w:spacing w:before="280" w:after="140"/>
        <w:rPr>
          <w:color w:val="auto"/>
          <w:sz w:val="24"/>
          <w:szCs w:val="24"/>
        </w:rPr>
      </w:pPr>
      <w:r w:rsidRPr="00714742">
        <w:rPr>
          <w:b/>
          <w:bCs/>
          <w:color w:val="auto"/>
          <w:sz w:val="24"/>
          <w:szCs w:val="24"/>
        </w:rPr>
        <w:t>6.2 Table 1: Dual-Processual Tendencies with Space Syntax and Integrated SS + AZA Expected Features</w:t>
      </w:r>
    </w:p>
    <w:p w14:paraId="183D7CAF" w14:textId="77777777" w:rsidR="00DA7A34" w:rsidRPr="00714742" w:rsidRDefault="00DA7A34" w:rsidP="00DA7A34">
      <w:pPr>
        <w:sectPr w:rsidR="00DA7A34" w:rsidRPr="00714742" w:rsidSect="00DA7A34">
          <w:pgSz w:w="12240" w:h="15840"/>
          <w:pgMar w:top="1440" w:right="1440" w:bottom="1440" w:left="1440" w:header="708" w:footer="708" w:gutter="0"/>
          <w:cols w:space="720"/>
          <w:docGrid w:linePitch="360"/>
        </w:sectPr>
      </w:pPr>
    </w:p>
    <w:p w14:paraId="09E5075D" w14:textId="77777777" w:rsidR="00DA7A34" w:rsidRPr="00714742" w:rsidRDefault="00DA7A34" w:rsidP="00DA7A34">
      <w:pPr>
        <w:spacing w:before="120" w:after="80"/>
      </w:pPr>
      <w:r w:rsidRPr="00714742">
        <w:rPr>
          <w:b/>
          <w:bCs/>
        </w:rPr>
        <w:lastRenderedPageBreak/>
        <w:t>Table 1. Dual-Processual Tendencies with Space Syntax and Integrated SS + AZA Expected Features</w:t>
      </w:r>
    </w:p>
    <w:p w14:paraId="325840B2" w14:textId="77777777" w:rsidR="00DA7A34" w:rsidRPr="00714742" w:rsidRDefault="00DA7A34" w:rsidP="00DA7A34">
      <w:pPr>
        <w:spacing w:after="120"/>
      </w:pPr>
      <w:r w:rsidRPr="00714742">
        <w:rPr>
          <w:i/>
          <w:iCs/>
        </w:rPr>
        <w:t>For each tendency, columns 4 and 5 state the expected spatial features under network and corporate strategies. Column 6 specifies the analytical methods and metrics used to evaluate each expectation.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5"/>
        <w:gridCol w:w="1321"/>
        <w:gridCol w:w="1309"/>
        <w:gridCol w:w="1903"/>
        <w:gridCol w:w="1757"/>
        <w:gridCol w:w="2485"/>
      </w:tblGrid>
      <w:tr w:rsidR="00DA7A34" w:rsidRPr="00714742" w14:paraId="35A3A85B" w14:textId="77777777" w:rsidTr="00D93F83">
        <w:tblPrEx>
          <w:tblCellMar>
            <w:top w:w="0" w:type="dxa"/>
            <w:bottom w:w="0" w:type="dxa"/>
          </w:tblCellMar>
        </w:tblPrEx>
        <w:trPr>
          <w:tblHeader/>
        </w:trPr>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B6B232" w14:textId="77777777" w:rsidR="00DA7A34" w:rsidRPr="00714742" w:rsidRDefault="00DA7A34" w:rsidP="00D93F83">
            <w:pPr>
              <w:spacing w:after="40" w:line="200" w:lineRule="auto"/>
            </w:pPr>
            <w:r w:rsidRPr="00714742">
              <w:rPr>
                <w:b/>
                <w:bCs/>
              </w:rPr>
              <w:t>Tendency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DF1795" w14:textId="77777777" w:rsidR="00DA7A34" w:rsidRPr="00714742" w:rsidRDefault="00DA7A34" w:rsidP="00D93F83">
            <w:pPr>
              <w:spacing w:after="40" w:line="200" w:lineRule="auto"/>
            </w:pPr>
            <w:r w:rsidRPr="00714742">
              <w:rPr>
                <w:b/>
                <w:bCs/>
              </w:rPr>
              <w:t>Network</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988CDE" w14:textId="77777777" w:rsidR="00DA7A34" w:rsidRPr="00714742" w:rsidRDefault="00DA7A34" w:rsidP="00D93F83">
            <w:pPr>
              <w:spacing w:after="40" w:line="200" w:lineRule="auto"/>
            </w:pPr>
            <w:r w:rsidRPr="00714742">
              <w:rPr>
                <w:b/>
                <w:bCs/>
              </w:rPr>
              <w:t>Corporate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60DD0A" w14:textId="77777777" w:rsidR="00DA7A34" w:rsidRPr="00714742" w:rsidRDefault="00DA7A34" w:rsidP="00D93F83">
            <w:pPr>
              <w:spacing w:after="40" w:line="200" w:lineRule="auto"/>
            </w:pPr>
            <w:r w:rsidRPr="00714742">
              <w:rPr>
                <w:b/>
                <w:bCs/>
              </w:rPr>
              <w:t>Space Syntax (SS) Expected Features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0CB1E9" w14:textId="77777777" w:rsidR="00DA7A34" w:rsidRPr="00714742" w:rsidRDefault="00DA7A34" w:rsidP="00D93F83">
            <w:pPr>
              <w:spacing w:after="40" w:line="200" w:lineRule="auto"/>
            </w:pPr>
            <w:r w:rsidRPr="00714742">
              <w:rPr>
                <w:b/>
                <w:bCs/>
              </w:rPr>
              <w:t>Integrated SS + AZA Expected Features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11F2FC" w14:textId="77777777" w:rsidR="00DA7A34" w:rsidRPr="00714742" w:rsidRDefault="00DA7A34" w:rsidP="00D93F83">
            <w:pPr>
              <w:spacing w:after="40" w:line="200" w:lineRule="auto"/>
            </w:pPr>
            <w:r w:rsidRPr="00714742">
              <w:rPr>
                <w:b/>
                <w:bCs/>
              </w:rPr>
              <w:t>Analytical Methods &amp; Metrics</w:t>
            </w:r>
          </w:p>
        </w:tc>
      </w:tr>
      <w:tr w:rsidR="00DA7A34" w:rsidRPr="00714742" w14:paraId="17FF8EFF"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27E79CE" w14:textId="77777777" w:rsidR="00DA7A34" w:rsidRPr="00714742" w:rsidRDefault="00DA7A34" w:rsidP="00D93F83">
            <w:pPr>
              <w:spacing w:after="40" w:line="200" w:lineRule="auto"/>
            </w:pPr>
            <w:r w:rsidRPr="00714742">
              <w:t>Wealth &amp; consumption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913D05E" w14:textId="77777777" w:rsidR="00DA7A34" w:rsidRPr="00714742" w:rsidRDefault="00DA7A34" w:rsidP="00D93F83">
            <w:pPr>
              <w:spacing w:after="40" w:line="200" w:lineRule="auto"/>
            </w:pPr>
            <w:r w:rsidRPr="00714742">
              <w:t>Concentrated wealth; ostentatious display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2D7BA3" w14:textId="77777777" w:rsidR="00DA7A34" w:rsidRPr="00714742" w:rsidRDefault="00DA7A34" w:rsidP="00D93F83">
            <w:pPr>
              <w:spacing w:after="40" w:line="200" w:lineRule="auto"/>
            </w:pPr>
            <w:r w:rsidRPr="00714742">
              <w:t>Even distribution; balanced accumulation</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ED2616" w14:textId="77777777" w:rsidR="00DA7A34" w:rsidRPr="00714742" w:rsidRDefault="00DA7A34" w:rsidP="00D93F83">
            <w:pPr>
              <w:spacing w:after="40" w:line="200" w:lineRule="auto"/>
            </w:pPr>
            <w:r w:rsidRPr="00714742">
              <w:t>Network: High-centrality nodes coincide with high artifact density; wealth concentrates in a few privileged nodes.</w:t>
            </w:r>
          </w:p>
          <w:p w14:paraId="3BDAD5DC" w14:textId="77777777" w:rsidR="00DA7A34" w:rsidRPr="00714742" w:rsidRDefault="00DA7A34" w:rsidP="00D93F83">
            <w:pPr>
              <w:spacing w:after="40" w:line="200" w:lineRule="auto"/>
            </w:pPr>
            <w:r w:rsidRPr="00714742">
              <w:t>Corporate: Centrality decoupled from wealth; spatial advantage broadly distributed.</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54B37C8" w14:textId="77777777" w:rsidR="00DA7A34" w:rsidRPr="00714742" w:rsidRDefault="00DA7A34" w:rsidP="00D93F83">
            <w:pPr>
              <w:spacing w:after="40" w:line="200" w:lineRule="auto"/>
            </w:pPr>
            <w:r w:rsidRPr="00714742">
              <w:t>Network: Prestige artifacts concentrate either at high-centrality nodes (movement hub = accumulation hub) or in low-Integration, high-Control enclaves; agent density correlates with artifact density in at least one pattern.</w:t>
            </w:r>
          </w:p>
          <w:p w14:paraId="41A7CBD9" w14:textId="77777777" w:rsidR="00DA7A34" w:rsidRPr="00714742" w:rsidRDefault="00DA7A34" w:rsidP="00D93F83">
            <w:pPr>
              <w:spacing w:after="40" w:line="200" w:lineRule="auto"/>
            </w:pPr>
            <w:r w:rsidRPr="00714742">
              <w:t>Corporate: Centrality decoupled from prestige artifacts (movement hub does not equal accumulation hub); center serves coordination, not extraction.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D4415A7" w14:textId="77777777" w:rsidR="00DA7A34" w:rsidRPr="00714742" w:rsidRDefault="00DA7A34" w:rsidP="00D93F83">
            <w:pPr>
              <w:spacing w:after="40" w:line="200" w:lineRule="auto"/>
            </w:pPr>
            <w:r w:rsidRPr="00714742">
              <w:t xml:space="preserve">Integration/Choice/Control x artifact density (Spearman rho, by class); VGA x artifact; agent simulation x artifact; spatial-material dissociation test (cf. Fisher 2009; Alpay 2022; van Nes &amp; </w:t>
            </w:r>
            <w:proofErr w:type="spellStart"/>
            <w:r w:rsidRPr="00714742">
              <w:t>Yamu</w:t>
            </w:r>
            <w:proofErr w:type="spellEnd"/>
            <w:r w:rsidRPr="00714742">
              <w:t xml:space="preserve"> 2021)</w:t>
            </w:r>
          </w:p>
        </w:tc>
      </w:tr>
      <w:tr w:rsidR="00DA7A34" w:rsidRPr="00714742" w14:paraId="756786B9"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1D929F" w14:textId="77777777" w:rsidR="00DA7A34" w:rsidRPr="00714742" w:rsidRDefault="00DA7A34" w:rsidP="00D93F83">
            <w:pPr>
              <w:spacing w:after="40" w:line="200" w:lineRule="auto"/>
            </w:pPr>
            <w:r w:rsidRPr="00714742">
              <w:t>Power arrangements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8EAA44" w14:textId="77777777" w:rsidR="00DA7A34" w:rsidRPr="00714742" w:rsidRDefault="00DA7A34" w:rsidP="00D93F83">
            <w:pPr>
              <w:spacing w:after="40" w:line="200" w:lineRule="auto"/>
            </w:pPr>
            <w:r w:rsidRPr="00714742">
              <w:t>Individual power</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26B7A4" w14:textId="77777777" w:rsidR="00DA7A34" w:rsidRPr="00714742" w:rsidRDefault="00DA7A34" w:rsidP="00D93F83">
            <w:pPr>
              <w:spacing w:after="40" w:line="200" w:lineRule="auto"/>
            </w:pPr>
            <w:r w:rsidRPr="00714742">
              <w:t>Shared power</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F5FC640" w14:textId="77777777" w:rsidR="00DA7A34" w:rsidRPr="00714742" w:rsidRDefault="00DA7A34" w:rsidP="00D93F83">
            <w:pPr>
              <w:spacing w:after="40" w:line="200" w:lineRule="auto"/>
            </w:pPr>
            <w:r w:rsidRPr="00714742">
              <w:t>Network: Choice/Control concentrated in few gatekeeping nodes (high CV); between-cluster differences significant.</w:t>
            </w:r>
          </w:p>
          <w:p w14:paraId="28455D84" w14:textId="77777777" w:rsidR="00DA7A34" w:rsidRPr="00714742" w:rsidRDefault="00DA7A34" w:rsidP="00D93F83">
            <w:pPr>
              <w:spacing w:after="40" w:line="200" w:lineRule="auto"/>
            </w:pPr>
            <w:r w:rsidRPr="00714742">
              <w:t>Corporate: Choice/Control broadly distributed (low CV); between-cluster differences non-significant.</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2169BF" w14:textId="77777777" w:rsidR="00DA7A34" w:rsidRPr="00714742" w:rsidRDefault="00DA7A34" w:rsidP="00D93F83">
            <w:pPr>
              <w:spacing w:after="40" w:line="200" w:lineRule="auto"/>
            </w:pPr>
            <w:r w:rsidRPr="00714742">
              <w:t>Network: Few bottleneck nodes dominate agent passage; flow asymmetric across sectors.</w:t>
            </w:r>
          </w:p>
          <w:p w14:paraId="04E2813C" w14:textId="77777777" w:rsidR="00DA7A34" w:rsidRPr="00714742" w:rsidRDefault="00DA7A34" w:rsidP="00D93F83">
            <w:pPr>
              <w:spacing w:after="40" w:line="200" w:lineRule="auto"/>
            </w:pPr>
            <w:r w:rsidRPr="00714742">
              <w:t>Corporate: Redundant routes carry agent passage; flow symmetric across sectors.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0847ACC" w14:textId="77777777" w:rsidR="00DA7A34" w:rsidRPr="00714742" w:rsidRDefault="00DA7A34" w:rsidP="00D93F83">
            <w:pPr>
              <w:spacing w:after="40" w:line="200" w:lineRule="auto"/>
            </w:pPr>
            <w:r w:rsidRPr="00714742">
              <w:t>Choice/Control CV; cluster Integration (Kruskal-Wallis); step-depth symmetry (cf. Dawson 2002; Monroe 2010; Liebmann et al. 2005)</w:t>
            </w:r>
          </w:p>
        </w:tc>
      </w:tr>
      <w:tr w:rsidR="00DA7A34" w:rsidRPr="00714742" w14:paraId="75D60B2F"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FA86444" w14:textId="77777777" w:rsidR="00DA7A34" w:rsidRPr="00714742" w:rsidRDefault="00DA7A34" w:rsidP="00D93F83">
            <w:pPr>
              <w:spacing w:after="40" w:line="200" w:lineRule="auto"/>
            </w:pPr>
            <w:r w:rsidRPr="00714742">
              <w:t>Basis of status (spatial legibility)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A1B49B7" w14:textId="77777777" w:rsidR="00DA7A34" w:rsidRPr="00714742" w:rsidRDefault="00DA7A34" w:rsidP="00D93F83">
            <w:pPr>
              <w:spacing w:after="40" w:line="200" w:lineRule="auto"/>
            </w:pPr>
            <w:r w:rsidRPr="00714742">
              <w:t xml:space="preserve">Prestige goods; spatial knowledge as </w:t>
            </w:r>
            <w:r w:rsidRPr="00714742">
              <w:lastRenderedPageBreak/>
              <w:t>gatekeeping resource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E7B01F" w14:textId="77777777" w:rsidR="00DA7A34" w:rsidRPr="00714742" w:rsidRDefault="00DA7A34" w:rsidP="00D93F83">
            <w:pPr>
              <w:spacing w:after="40" w:line="200" w:lineRule="auto"/>
            </w:pPr>
            <w:r w:rsidRPr="00714742">
              <w:lastRenderedPageBreak/>
              <w:t xml:space="preserve">Control of knowledge and cognitive codes; </w:t>
            </w:r>
            <w:r w:rsidRPr="00714742">
              <w:lastRenderedPageBreak/>
              <w:t>publicly legible spatial order</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A5C6969" w14:textId="77777777" w:rsidR="00DA7A34" w:rsidRPr="00714742" w:rsidRDefault="00DA7A34" w:rsidP="00D93F83">
            <w:pPr>
              <w:spacing w:after="40" w:line="200" w:lineRule="auto"/>
            </w:pPr>
            <w:r w:rsidRPr="00714742">
              <w:lastRenderedPageBreak/>
              <w:t xml:space="preserve">Network: Low intelligibility (weak Connectivity-Integration </w:t>
            </w:r>
            <w:r w:rsidRPr="00714742">
              <w:lastRenderedPageBreak/>
              <w:t>coupling); structure not publicly learnable; route knowledge becomes a gatekeeping resource.</w:t>
            </w:r>
          </w:p>
          <w:p w14:paraId="164493F3" w14:textId="77777777" w:rsidR="00DA7A34" w:rsidRPr="00714742" w:rsidRDefault="00DA7A34" w:rsidP="00D93F83">
            <w:pPr>
              <w:spacing w:after="40" w:line="200" w:lineRule="auto"/>
            </w:pPr>
            <w:r w:rsidRPr="00714742">
              <w:t>Corporate: High intelligibility (strong Connectivity-Integration coupling); structure publicly learnable; status from recognized position, not route knowledge.</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EC8A99" w14:textId="77777777" w:rsidR="00DA7A34" w:rsidRPr="00714742" w:rsidRDefault="00DA7A34" w:rsidP="00D93F83">
            <w:pPr>
              <w:spacing w:after="40" w:line="200" w:lineRule="auto"/>
            </w:pPr>
            <w:r w:rsidRPr="00714742">
              <w:lastRenderedPageBreak/>
              <w:t xml:space="preserve">Network: Unpredictable structure; navigating the 'right paths' </w:t>
            </w:r>
            <w:r w:rsidRPr="00714742">
              <w:lastRenderedPageBreak/>
              <w:t>depends on privileged route knowledge.</w:t>
            </w:r>
          </w:p>
          <w:p w14:paraId="108DE7B3" w14:textId="77777777" w:rsidR="00DA7A34" w:rsidRPr="00714742" w:rsidRDefault="00DA7A34" w:rsidP="00D93F83">
            <w:pPr>
              <w:spacing w:after="40" w:line="200" w:lineRule="auto"/>
            </w:pPr>
            <w:r w:rsidRPr="00714742">
              <w:t>Corporate: Legible, publicly readable order; shared spatial knowledge supports routinized coordination.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EFE88E2" w14:textId="77777777" w:rsidR="00DA7A34" w:rsidRPr="00714742" w:rsidRDefault="00DA7A34" w:rsidP="00D93F83">
            <w:pPr>
              <w:spacing w:after="40" w:line="200" w:lineRule="auto"/>
            </w:pPr>
            <w:r w:rsidRPr="00714742">
              <w:lastRenderedPageBreak/>
              <w:t>Intelligibility R2 (Connectivity x Integration) (cf. Morton et al. 2012; Hillier 2014; Bafna 2003)</w:t>
            </w:r>
          </w:p>
        </w:tc>
      </w:tr>
      <w:tr w:rsidR="00DA7A34" w:rsidRPr="00714742" w14:paraId="5C9A49F4"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77F60C" w14:textId="77777777" w:rsidR="00DA7A34" w:rsidRPr="00714742" w:rsidRDefault="00DA7A34" w:rsidP="00D93F83">
            <w:pPr>
              <w:spacing w:after="40" w:line="200" w:lineRule="auto"/>
            </w:pPr>
            <w:r w:rsidRPr="00714742">
              <w:t>Political dynamics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826FA76" w14:textId="77777777" w:rsidR="00DA7A34" w:rsidRPr="00714742" w:rsidRDefault="00DA7A34" w:rsidP="00D93F83">
            <w:pPr>
              <w:spacing w:after="40" w:line="200" w:lineRule="auto"/>
            </w:pPr>
            <w:r w:rsidRPr="00714742">
              <w:t>Patron-client factions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A633B02" w14:textId="77777777" w:rsidR="00DA7A34" w:rsidRPr="00714742" w:rsidRDefault="00DA7A34" w:rsidP="00D93F83">
            <w:pPr>
              <w:spacing w:after="40" w:line="200" w:lineRule="auto"/>
            </w:pPr>
            <w:r w:rsidRPr="00714742">
              <w:t>Corporate labor systems</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BDBBA21" w14:textId="77777777" w:rsidR="00DA7A34" w:rsidRPr="00714742" w:rsidRDefault="00DA7A34" w:rsidP="00D93F83">
            <w:pPr>
              <w:spacing w:after="40" w:line="200" w:lineRule="auto"/>
            </w:pPr>
            <w:r w:rsidRPr="00714742">
              <w:t>Network: Step depth from clusters to communal nodes is asymmetric; specific clusters hold privileged access.</w:t>
            </w:r>
          </w:p>
          <w:p w14:paraId="47806E50" w14:textId="77777777" w:rsidR="00DA7A34" w:rsidRPr="00714742" w:rsidRDefault="00DA7A34" w:rsidP="00D93F83">
            <w:pPr>
              <w:spacing w:after="40" w:line="200" w:lineRule="auto"/>
            </w:pPr>
            <w:r w:rsidRPr="00714742">
              <w:t>Corporate: Step depth symmetric; all clusters hold comparable access.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14C33D" w14:textId="77777777" w:rsidR="00DA7A34" w:rsidRPr="00714742" w:rsidRDefault="00DA7A34" w:rsidP="00D93F83">
            <w:pPr>
              <w:spacing w:after="40" w:line="200" w:lineRule="auto"/>
            </w:pPr>
            <w:r w:rsidRPr="00714742">
              <w:t>Network: Access to labor-mobilization spaces is gatekept; inter-cluster inequality high (factional channeling).</w:t>
            </w:r>
          </w:p>
          <w:p w14:paraId="2892BC46" w14:textId="77777777" w:rsidR="00DA7A34" w:rsidRPr="00714742" w:rsidRDefault="00DA7A34" w:rsidP="00D93F83">
            <w:pPr>
              <w:spacing w:after="40" w:line="200" w:lineRule="auto"/>
            </w:pPr>
            <w:r w:rsidRPr="00714742">
              <w:t>Corporate: Access to labor-mobilization spaces embedded in daily circulation; inter-cluster inequality low (corporate mobilization).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04D9D5A" w14:textId="77777777" w:rsidR="00DA7A34" w:rsidRPr="00714742" w:rsidRDefault="00DA7A34" w:rsidP="00D93F83">
            <w:pPr>
              <w:spacing w:after="40" w:line="200" w:lineRule="auto"/>
            </w:pPr>
            <w:r w:rsidRPr="00714742">
              <w:t>Integration of communal nodes; cluster step-depth comparison; inter-cluster parity test (cf. Stone 2000; Hu 2019; Wernke 2012; Liebmann et al. 2005)</w:t>
            </w:r>
          </w:p>
        </w:tc>
      </w:tr>
      <w:tr w:rsidR="00DA7A34" w:rsidRPr="00714742" w14:paraId="799549A6"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61401B0" w14:textId="77777777" w:rsidR="00DA7A34" w:rsidRPr="00714742" w:rsidRDefault="00DA7A34" w:rsidP="00D93F83">
            <w:pPr>
              <w:spacing w:after="40" w:line="200" w:lineRule="auto"/>
            </w:pPr>
            <w:r w:rsidRPr="00714742">
              <w:t>Production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9193ED" w14:textId="77777777" w:rsidR="00DA7A34" w:rsidRPr="00714742" w:rsidRDefault="00DA7A34" w:rsidP="00D93F83">
            <w:pPr>
              <w:spacing w:after="40" w:line="200" w:lineRule="auto"/>
            </w:pPr>
            <w:r w:rsidRPr="00714742">
              <w:t>Attached specialization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E4E6E1" w14:textId="77777777" w:rsidR="00DA7A34" w:rsidRPr="00714742" w:rsidRDefault="00DA7A34" w:rsidP="00D93F83">
            <w:pPr>
              <w:spacing w:after="40" w:line="200" w:lineRule="auto"/>
            </w:pPr>
            <w:r w:rsidRPr="00714742">
              <w:t>Food production emphasis</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7A2246" w14:textId="77777777" w:rsidR="00DA7A34" w:rsidRPr="00714742" w:rsidRDefault="00DA7A34" w:rsidP="00D93F83">
            <w:pPr>
              <w:spacing w:after="40" w:line="200" w:lineRule="auto"/>
            </w:pPr>
            <w:r w:rsidRPr="00714742">
              <w:t>Network: Specialized production zones segregated and controlled (high Control, low Integration); access restricted.</w:t>
            </w:r>
          </w:p>
          <w:p w14:paraId="3B81BDC8" w14:textId="77777777" w:rsidR="00DA7A34" w:rsidRPr="00714742" w:rsidRDefault="00DA7A34" w:rsidP="00D93F83">
            <w:pPr>
              <w:spacing w:after="40" w:line="200" w:lineRule="auto"/>
            </w:pPr>
            <w:r w:rsidRPr="00714742">
              <w:t>Corporate: Provisioning spaces evenly embedded across sectors; no access restriction.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5A8023" w14:textId="77777777" w:rsidR="00DA7A34" w:rsidRPr="00714742" w:rsidRDefault="00DA7A34" w:rsidP="00D93F83">
            <w:pPr>
              <w:spacing w:after="40" w:line="200" w:lineRule="auto"/>
            </w:pPr>
            <w:r w:rsidRPr="00714742">
              <w:t>Network: Production spaces in low-Integration, high-Control positions; accessed via restricted corridors.</w:t>
            </w:r>
          </w:p>
          <w:p w14:paraId="59F2C0CA" w14:textId="77777777" w:rsidR="00DA7A34" w:rsidRPr="00714742" w:rsidRDefault="00DA7A34" w:rsidP="00D93F83">
            <w:pPr>
              <w:spacing w:after="40" w:line="200" w:lineRule="auto"/>
            </w:pPr>
            <w:r w:rsidRPr="00714742">
              <w:t xml:space="preserve">Corporate: Production spaces embedded in routine circulation; no </w:t>
            </w:r>
            <w:r w:rsidRPr="00714742">
              <w:lastRenderedPageBreak/>
              <w:t>access restriction in Integration or step-depth profiles.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DAEBCF" w14:textId="77777777" w:rsidR="00DA7A34" w:rsidRPr="00714742" w:rsidRDefault="00DA7A34" w:rsidP="00D93F83">
            <w:pPr>
              <w:spacing w:after="40" w:line="200" w:lineRule="auto"/>
            </w:pPr>
            <w:r w:rsidRPr="00714742">
              <w:lastRenderedPageBreak/>
              <w:t xml:space="preserve">Integration/Control of production zones; Axial/Segment Integration; VGA zone classification (cf. Edwards 2013; Stockett 2005; </w:t>
            </w:r>
            <w:proofErr w:type="spellStart"/>
            <w:r w:rsidRPr="00714742">
              <w:t>Benech</w:t>
            </w:r>
            <w:proofErr w:type="spellEnd"/>
            <w:r w:rsidRPr="00714742">
              <w:t xml:space="preserve"> 2007)</w:t>
            </w:r>
          </w:p>
        </w:tc>
      </w:tr>
      <w:tr w:rsidR="00DA7A34" w:rsidRPr="00714742" w14:paraId="146D42A0"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376342" w14:textId="77777777" w:rsidR="00DA7A34" w:rsidRPr="00714742" w:rsidRDefault="00DA7A34" w:rsidP="00D93F83">
            <w:pPr>
              <w:spacing w:after="40" w:line="200" w:lineRule="auto"/>
            </w:pPr>
            <w:r w:rsidRPr="00714742">
              <w:t>Finance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E7C1DB" w14:textId="77777777" w:rsidR="00DA7A34" w:rsidRPr="00714742" w:rsidRDefault="00DA7A34" w:rsidP="00D93F83">
            <w:pPr>
              <w:spacing w:after="40" w:line="200" w:lineRule="auto"/>
            </w:pPr>
            <w:r w:rsidRPr="00714742">
              <w:t>Wealth finance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804B12B" w14:textId="77777777" w:rsidR="00DA7A34" w:rsidRPr="00714742" w:rsidRDefault="00DA7A34" w:rsidP="00D93F83">
            <w:pPr>
              <w:spacing w:after="40" w:line="200" w:lineRule="auto"/>
            </w:pPr>
            <w:r w:rsidRPr="00714742">
              <w:t>Staple finance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70DAAD2" w14:textId="77777777" w:rsidR="00DA7A34" w:rsidRPr="00714742" w:rsidRDefault="00DA7A34" w:rsidP="00D93F83">
            <w:pPr>
              <w:spacing w:after="40" w:line="200" w:lineRule="auto"/>
            </w:pPr>
            <w:r w:rsidRPr="00714742">
              <w:t>Network: Centrality (Integration/Choice) concentrates at nodes of wealth-goods circulation.</w:t>
            </w:r>
          </w:p>
          <w:p w14:paraId="025EF8DC" w14:textId="77777777" w:rsidR="00DA7A34" w:rsidRPr="00714742" w:rsidRDefault="00DA7A34" w:rsidP="00D93F83">
            <w:pPr>
              <w:spacing w:after="40" w:line="200" w:lineRule="auto"/>
            </w:pPr>
            <w:r w:rsidRPr="00714742">
              <w:t>Corporate: Centrality aligns with provisioning and coordination nodes, not wealth-capture locations.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7DB6BD" w14:textId="77777777" w:rsidR="00DA7A34" w:rsidRPr="00714742" w:rsidRDefault="00DA7A34" w:rsidP="00D93F83">
            <w:pPr>
              <w:spacing w:after="40" w:line="200" w:lineRule="auto"/>
            </w:pPr>
            <w:r w:rsidRPr="00714742">
              <w:t>Network: Centrality-wealth coupling: high Integration/Choice coincides with prestige artifacts.</w:t>
            </w:r>
          </w:p>
          <w:p w14:paraId="41D82796" w14:textId="77777777" w:rsidR="00DA7A34" w:rsidRPr="00714742" w:rsidRDefault="00DA7A34" w:rsidP="00D93F83">
            <w:pPr>
              <w:spacing w:after="40" w:line="200" w:lineRule="auto"/>
            </w:pPr>
            <w:r w:rsidRPr="00714742">
              <w:t>Corporate: Centrality-provisioning coupling: high Integration/Choice coincides with staple storage and processing artifacts.</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C737571" w14:textId="77777777" w:rsidR="00DA7A34" w:rsidRPr="00714742" w:rsidRDefault="00DA7A34" w:rsidP="00D93F83">
            <w:pPr>
              <w:spacing w:after="40" w:line="200" w:lineRule="auto"/>
            </w:pPr>
            <w:r w:rsidRPr="00714742">
              <w:t xml:space="preserve">Integration/Choice x artifact-class correlation (prestige vs. staple) (cf. Fisher 2009; Alpay 2022; van Nes &amp; </w:t>
            </w:r>
            <w:proofErr w:type="spellStart"/>
            <w:r w:rsidRPr="00714742">
              <w:t>Yamu</w:t>
            </w:r>
            <w:proofErr w:type="spellEnd"/>
            <w:r w:rsidRPr="00714742">
              <w:t xml:space="preserve"> 2021)</w:t>
            </w:r>
          </w:p>
        </w:tc>
      </w:tr>
      <w:tr w:rsidR="00DA7A34" w:rsidRPr="00714742" w14:paraId="50DE4EE3"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A1AE0C" w14:textId="77777777" w:rsidR="00DA7A34" w:rsidRPr="00714742" w:rsidRDefault="00DA7A34" w:rsidP="00D93F83">
            <w:pPr>
              <w:spacing w:after="40" w:line="200" w:lineRule="auto"/>
            </w:pPr>
            <w:r w:rsidRPr="00714742">
              <w:t>Mortuary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9EC57E" w14:textId="77777777" w:rsidR="00DA7A34" w:rsidRPr="00714742" w:rsidRDefault="00DA7A34" w:rsidP="00D93F83">
            <w:pPr>
              <w:spacing w:after="40" w:line="200" w:lineRule="auto"/>
            </w:pPr>
            <w:r w:rsidRPr="00714742">
              <w:t>Princely burials; high wealth concentration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50B6962" w14:textId="77777777" w:rsidR="00DA7A34" w:rsidRPr="00714742" w:rsidRDefault="00DA7A34" w:rsidP="00D93F83">
            <w:pPr>
              <w:spacing w:after="40" w:line="200" w:lineRule="auto"/>
            </w:pPr>
            <w:r w:rsidRPr="00714742">
              <w:t>Uniform burials; low wealth concentration</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1D6C30C" w14:textId="77777777" w:rsidR="00DA7A34" w:rsidRPr="00714742" w:rsidRDefault="00DA7A34" w:rsidP="00D93F83">
            <w:pPr>
              <w:spacing w:after="40" w:line="200" w:lineRule="auto"/>
            </w:pPr>
            <w:r w:rsidRPr="00714742">
              <w:t>Network: Elite burials in high-Control, low-Integration positions; mortuary zones restricted and gatekept.</w:t>
            </w:r>
          </w:p>
          <w:p w14:paraId="37057329" w14:textId="77777777" w:rsidR="00DA7A34" w:rsidRPr="00714742" w:rsidRDefault="00DA7A34" w:rsidP="00D93F83">
            <w:pPr>
              <w:spacing w:after="40" w:line="200" w:lineRule="auto"/>
            </w:pPr>
            <w:r w:rsidRPr="00714742">
              <w:t>Corporate: Burials spatially uniform; no privileged mortuary precinct; access open.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71FB087" w14:textId="77777777" w:rsidR="00DA7A34" w:rsidRPr="00714742" w:rsidRDefault="00DA7A34" w:rsidP="00D93F83">
            <w:pPr>
              <w:spacing w:after="40" w:line="200" w:lineRule="auto"/>
            </w:pPr>
            <w:r w:rsidRPr="00714742">
              <w:t>Network: Grave goods unequal (high Gini/CV); prestige items concentrate in few burials.</w:t>
            </w:r>
          </w:p>
          <w:p w14:paraId="45C41391" w14:textId="77777777" w:rsidR="00DA7A34" w:rsidRPr="00714742" w:rsidRDefault="00DA7A34" w:rsidP="00D93F83">
            <w:pPr>
              <w:spacing w:after="40" w:line="200" w:lineRule="auto"/>
            </w:pPr>
            <w:r w:rsidRPr="00714742">
              <w:t>Corporate: Grave goods even (low Gini/CV); prestige items rare or evenly spread.</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2F8A6E" w14:textId="77777777" w:rsidR="00DA7A34" w:rsidRPr="00714742" w:rsidRDefault="00DA7A34" w:rsidP="00D93F83">
            <w:pPr>
              <w:spacing w:after="40" w:line="200" w:lineRule="auto"/>
            </w:pPr>
            <w:r w:rsidRPr="00714742">
              <w:t>Control/Integration of mortuary zones; grave-good Gini/CV; settlement-level SS values linked interpretively to grave-good distribution (cf. Chapman 1990)</w:t>
            </w:r>
          </w:p>
        </w:tc>
      </w:tr>
      <w:tr w:rsidR="00DA7A34" w:rsidRPr="00714742" w14:paraId="66BD1039"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B854BC1" w14:textId="77777777" w:rsidR="00DA7A34" w:rsidRPr="00714742" w:rsidRDefault="00DA7A34" w:rsidP="00D93F83">
            <w:pPr>
              <w:spacing w:after="40" w:line="200" w:lineRule="auto"/>
            </w:pPr>
            <w:r w:rsidRPr="00714742">
              <w:t>Ritual architecture</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B81D87" w14:textId="77777777" w:rsidR="00DA7A34" w:rsidRPr="00714742" w:rsidRDefault="00DA7A34" w:rsidP="00D93F83">
            <w:pPr>
              <w:spacing w:after="40" w:line="200" w:lineRule="auto"/>
            </w:pPr>
            <w:r w:rsidRPr="00714742">
              <w:t>Exclusive, closed, small-capacity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51ABF9" w14:textId="77777777" w:rsidR="00DA7A34" w:rsidRPr="00714742" w:rsidRDefault="00DA7A34" w:rsidP="00D93F83">
            <w:pPr>
              <w:spacing w:after="40" w:line="200" w:lineRule="auto"/>
            </w:pPr>
            <w:r w:rsidRPr="00714742">
              <w:t>Inclusive, open, large-capacity</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D3F2076" w14:textId="77777777" w:rsidR="00DA7A34" w:rsidRPr="00714742" w:rsidRDefault="00DA7A34" w:rsidP="00D93F83">
            <w:pPr>
              <w:spacing w:after="40" w:line="200" w:lineRule="auto"/>
            </w:pPr>
            <w:r w:rsidRPr="00714742">
              <w:t>Network: Ritual spaces in low-Integration, high-Control positions; small capacity; access selective and gatekept.</w:t>
            </w:r>
          </w:p>
          <w:p w14:paraId="19CD20C4" w14:textId="77777777" w:rsidR="00DA7A34" w:rsidRPr="00714742" w:rsidRDefault="00DA7A34" w:rsidP="00D93F83">
            <w:pPr>
              <w:spacing w:after="40" w:line="200" w:lineRule="auto"/>
            </w:pPr>
            <w:r w:rsidRPr="00714742">
              <w:t>Corporate: Ritual spaces in high-Integration positions; large capacity; embedded in settlement-wide circulation.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6EC722" w14:textId="77777777" w:rsidR="00DA7A34" w:rsidRPr="00714742" w:rsidRDefault="00DA7A34" w:rsidP="00D93F83">
            <w:pPr>
              <w:spacing w:after="40" w:line="200" w:lineRule="auto"/>
            </w:pPr>
            <w:r w:rsidRPr="00714742">
              <w:t>Network: VGA and Integration dissociate: ritual loci visually prominent but not topologically reachable.</w:t>
            </w:r>
          </w:p>
          <w:p w14:paraId="4DDA4B94" w14:textId="77777777" w:rsidR="00DA7A34" w:rsidRPr="00714742" w:rsidRDefault="00DA7A34" w:rsidP="00D93F83">
            <w:pPr>
              <w:spacing w:after="40" w:line="200" w:lineRule="auto"/>
            </w:pPr>
            <w:r w:rsidRPr="00714742">
              <w:t>Corporate: VGA and Integration align at ritual nodes; ritual space both visually prominent and physically accessible.</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9239B7" w14:textId="77777777" w:rsidR="00DA7A34" w:rsidRPr="00714742" w:rsidRDefault="00DA7A34" w:rsidP="00D93F83">
            <w:pPr>
              <w:spacing w:after="40" w:line="200" w:lineRule="auto"/>
            </w:pPr>
            <w:r w:rsidRPr="00714742">
              <w:t xml:space="preserve">Integration/Control of ritual spaces; VGA; capacity estimate; VGA x Integration alignment (cf. </w:t>
            </w:r>
            <w:proofErr w:type="spellStart"/>
            <w:r w:rsidRPr="00714742">
              <w:t>Chatford</w:t>
            </w:r>
            <w:proofErr w:type="spellEnd"/>
            <w:r w:rsidRPr="00714742">
              <w:t xml:space="preserve"> Clark 2007; Osborne &amp; Summers 2014; Moore 1996; Morton et al. 2012)</w:t>
            </w:r>
          </w:p>
        </w:tc>
      </w:tr>
      <w:tr w:rsidR="00DA7A34" w:rsidRPr="00714742" w14:paraId="2E2F945B"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E244660" w14:textId="77777777" w:rsidR="00DA7A34" w:rsidRPr="00714742" w:rsidRDefault="00DA7A34" w:rsidP="00D93F83">
            <w:pPr>
              <w:spacing w:after="40" w:line="200" w:lineRule="auto"/>
            </w:pPr>
            <w:r w:rsidRPr="00714742">
              <w:lastRenderedPageBreak/>
              <w:t>Legitimation &amp; ideology</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ACD1C0" w14:textId="77777777" w:rsidR="00DA7A34" w:rsidRPr="00714742" w:rsidRDefault="00DA7A34" w:rsidP="00D93F83">
            <w:pPr>
              <w:spacing w:after="40" w:line="200" w:lineRule="auto"/>
            </w:pPr>
            <w:r w:rsidRPr="00714742">
              <w:t>Personal glorification</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0F79CC7" w14:textId="77777777" w:rsidR="00DA7A34" w:rsidRPr="00714742" w:rsidRDefault="00DA7A34" w:rsidP="00D93F83">
            <w:pPr>
              <w:spacing w:after="40" w:line="200" w:lineRule="auto"/>
            </w:pPr>
            <w:r w:rsidRPr="00714742">
              <w:t>Group cohesion; community identity; symbols of office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6463299" w14:textId="77777777" w:rsidR="00DA7A34" w:rsidRPr="00714742" w:rsidRDefault="00DA7A34" w:rsidP="00D93F83">
            <w:pPr>
              <w:spacing w:after="40" w:line="200" w:lineRule="auto"/>
            </w:pPr>
            <w:r w:rsidRPr="00714742">
              <w:t>Network: Individual houses or precincts hold extreme structural advantage (high Choice/Control); privilege is household-linked.</w:t>
            </w:r>
          </w:p>
          <w:p w14:paraId="4E0FC2D1" w14:textId="77777777" w:rsidR="00DA7A34" w:rsidRPr="00714742" w:rsidRDefault="00DA7A34" w:rsidP="00D93F83">
            <w:pPr>
              <w:spacing w:after="40" w:line="200" w:lineRule="auto"/>
            </w:pPr>
            <w:r w:rsidRPr="00714742">
              <w:t>Corporate: Structural advantage tied to public nodes; no household dominates access.</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B19E59" w14:textId="77777777" w:rsidR="00DA7A34" w:rsidRPr="00714742" w:rsidRDefault="00DA7A34" w:rsidP="00D93F83">
            <w:pPr>
              <w:spacing w:after="40" w:line="200" w:lineRule="auto"/>
            </w:pPr>
            <w:r w:rsidRPr="00714742">
              <w:t>Network: Specific residential precincts capture disproportionate passage frequency and Choice/Control.</w:t>
            </w:r>
          </w:p>
          <w:p w14:paraId="32148EAE" w14:textId="77777777" w:rsidR="00DA7A34" w:rsidRPr="00714742" w:rsidRDefault="00DA7A34" w:rsidP="00D93F83">
            <w:pPr>
              <w:spacing w:after="40" w:line="200" w:lineRule="auto"/>
            </w:pPr>
            <w:r w:rsidRPr="00714742">
              <w:t>Corporate: Passage frequency and centrality concentrate at public nodes; no household captures disproportionate through-movement.</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B27496" w14:textId="77777777" w:rsidR="00DA7A34" w:rsidRPr="00714742" w:rsidRDefault="00DA7A34" w:rsidP="00D93F83">
            <w:pPr>
              <w:spacing w:after="40" w:line="200" w:lineRule="auto"/>
            </w:pPr>
            <w:r w:rsidRPr="00714742">
              <w:t>Choice/Control per precinct; agent simulation (passage frequency) (cf. Turner &amp; Penn 2002; Fredrick &amp; Vennarucci 2021; Monroe 2010)</w:t>
            </w:r>
            <w:proofErr w:type="spellStart"/>
            <w:r w:rsidRPr="00714742"/>
            <w:proofErr w:type="spellEnd"/>
            <w:r w:rsidRPr="00714742"/>
          </w:p>
        </w:tc>
      </w:tr>
      <w:tr w:rsidR="00DA7A34" w:rsidRPr="00714742" w14:paraId="21570824" w14:textId="77777777" w:rsidTr="00D93F83">
        <w:tblPrEx>
          <w:tblCellMar>
            <w:top w:w="0" w:type="dxa"/>
            <w:bottom w:w="0" w:type="dxa"/>
          </w:tblCellMar>
        </w:tblPrEx>
        <w:tc>
          <w:tcPr>
            <w:tcW w:w="4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25B362E" w14:textId="77777777" w:rsidR="00DA7A34" w:rsidRPr="00714742" w:rsidRDefault="00DA7A34" w:rsidP="00D93F83">
            <w:pPr>
              <w:spacing w:after="40" w:line="200" w:lineRule="auto"/>
            </w:pPr>
            <w:r w:rsidRPr="00714742">
              <w:t>Symbols</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3A7BB9" w14:textId="77777777" w:rsidR="00DA7A34" w:rsidRPr="00714742" w:rsidRDefault="00DA7A34" w:rsidP="00D93F83">
            <w:pPr>
              <w:spacing w:after="40" w:line="200" w:lineRule="auto"/>
            </w:pPr>
            <w:r w:rsidRPr="00714742">
              <w:t>Elite adornment</w:t>
            </w:r>
          </w:p>
        </w:tc>
        <w:tc>
          <w:tcPr>
            <w:tcW w:w="6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EA9292B" w14:textId="77777777" w:rsidR="00DA7A34" w:rsidRPr="00714742" w:rsidRDefault="00DA7A34" w:rsidP="00D93F83">
            <w:pPr>
              <w:spacing w:after="40" w:line="200" w:lineRule="auto"/>
            </w:pPr>
            <w:r w:rsidRPr="00714742">
              <w:t>Symbols of office</w:t>
            </w:r>
          </w:p>
        </w:tc>
        <w:tc>
          <w:tcPr>
            <w:tcW w:w="1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9D42F8" w14:textId="77777777" w:rsidR="00DA7A34" w:rsidRPr="00714742" w:rsidRDefault="00DA7A34" w:rsidP="00D93F83">
            <w:pPr>
              <w:spacing w:after="40" w:line="200" w:lineRule="auto"/>
            </w:pPr>
            <w:r w:rsidRPr="00714742">
              <w:t>Network: Prestige display spaces: high VGA but low Integration and high Control; VGA and Integration dissociate.</w:t>
            </w:r>
          </w:p>
          <w:p w14:paraId="0E1EF099" w14:textId="77777777" w:rsidR="00DA7A34" w:rsidRPr="00714742" w:rsidRDefault="00DA7A34" w:rsidP="00D93F83">
            <w:pPr>
              <w:spacing w:after="40" w:line="200" w:lineRule="auto"/>
            </w:pPr>
            <w:r w:rsidRPr="00714742">
              <w:t>Corporate: Public office spaces: high VGA and high Integration; VGA and Integration align.</w:t>
            </w:r>
          </w:p>
        </w:tc>
        <w:tc>
          <w:tcPr>
            <w:tcW w:w="13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00E284" w14:textId="77777777" w:rsidR="00DA7A34" w:rsidRPr="00714742" w:rsidRDefault="00DA7A34" w:rsidP="00D93F83">
            <w:pPr>
              <w:spacing w:after="40" w:line="200" w:lineRule="auto"/>
            </w:pPr>
            <w:r w:rsidRPr="00714742">
              <w:t>Network: Display corridors gatekept; symbols seen from a distance but reached only through controlled routes.</w:t>
            </w:r>
          </w:p>
          <w:p w14:paraId="40FEBFFD" w14:textId="77777777" w:rsidR="00DA7A34" w:rsidRPr="00714742" w:rsidRDefault="00DA7A34" w:rsidP="00D93F83">
            <w:pPr>
              <w:spacing w:after="40" w:line="200" w:lineRule="auto"/>
            </w:pPr>
            <w:r w:rsidRPr="00714742">
              <w:t>Corporate: Shared communal nodes seen and reached by all residents; symbols embedded in public circulation.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818252E" w14:textId="77777777" w:rsidR="00DA7A34" w:rsidRPr="00714742" w:rsidRDefault="00DA7A34" w:rsidP="00D93F83">
            <w:pPr>
              <w:spacing w:after="40" w:line="200" w:lineRule="auto"/>
            </w:pPr>
            <w:r w:rsidRPr="00714742">
              <w:t xml:space="preserve">Control; VGA visual integration; Axial/Segment Choice (cf. Osborne &amp; Summers 2014; </w:t>
            </w:r>
            <w:proofErr w:type="spellStart"/>
            <w:r w:rsidRPr="00714742">
              <w:t>Chatford</w:t>
            </w:r>
            <w:proofErr w:type="spellEnd"/>
            <w:r w:rsidRPr="00714742">
              <w:t xml:space="preserve"> Clark 2007; </w:t>
            </w:r>
            <w:proofErr w:type="spellStart"/>
            <w:r w:rsidRPr="00714742">
              <w:t>Baumanova</w:t>
            </w:r>
            <w:proofErr w:type="spellEnd"/>
            <w:r w:rsidRPr="00714742">
              <w:t xml:space="preserve"> 2020)</w:t>
            </w:r>
          </w:p>
        </w:tc>
      </w:tr>
    </w:tbl>
    <w:p w14:paraId="22E009EC" w14:textId="77777777" w:rsidR="00DA7A34" w:rsidRPr="00714742" w:rsidRDefault="00DA7A34" w:rsidP="00DA7A34">
      <w:pPr>
        <w:spacing w:before="160" w:after="80" w:line="220" w:lineRule="auto"/>
      </w:pPr>
      <w:r w:rsidRPr="00714742">
        <w:rPr>
          <w:i/>
          <w:iCs/>
        </w:rPr>
        <w:t>Note on AZA artifact classification. Columns 4 and 5 refer to artifact classes diagnostically associated with network or corporate strategies (following Feinman 2000; adapted to Chinese Neolithic assemblages after Shelach 2006; Peterson et al. 2016; Tu et al. 2022). Network-associated artifacts include items linked to personal accumulation and exclusive display: jade and stone personal ornaments (</w:t>
      </w:r>
      <w:proofErr w:type="spellStart"/>
      <w:r w:rsidRPr="00714742">
        <w:rPr>
          <w:i/>
          <w:iCs/>
        </w:rPr>
        <w:t>huang</w:t>
      </w:r>
      <w:proofErr w:type="spellEnd"/>
      <w:r w:rsidRPr="00714742">
        <w:rPr>
          <w:i/>
          <w:iCs/>
        </w:rPr>
        <w:t xml:space="preserve">, </w:t>
      </w:r>
      <w:proofErr w:type="spellStart"/>
      <w:r w:rsidRPr="00714742">
        <w:rPr>
          <w:i/>
          <w:iCs/>
        </w:rPr>
        <w:t>jue</w:t>
      </w:r>
      <w:proofErr w:type="spellEnd"/>
      <w:r w:rsidRPr="00714742">
        <w:rPr>
          <w:i/>
          <w:iCs/>
        </w:rPr>
        <w:t>, pendants, tube beads), turquoise inlay, alligator-skin drums (</w:t>
      </w:r>
      <w:proofErr w:type="spellStart"/>
      <w:r w:rsidRPr="00714742">
        <w:rPr>
          <w:i/>
          <w:iCs/>
        </w:rPr>
        <w:t>tuogu</w:t>
      </w:r>
      <w:proofErr w:type="spellEnd"/>
      <w:r w:rsidRPr="00714742">
        <w:rPr>
          <w:i/>
          <w:iCs/>
        </w:rPr>
        <w:t>), stone chimes (</w:t>
      </w:r>
      <w:proofErr w:type="spellStart"/>
      <w:r w:rsidRPr="00714742">
        <w:rPr>
          <w:i/>
          <w:iCs/>
        </w:rPr>
        <w:t>teqing</w:t>
      </w:r>
      <w:proofErr w:type="spellEnd"/>
      <w:r w:rsidRPr="00714742">
        <w:rPr>
          <w:i/>
          <w:iCs/>
        </w:rPr>
        <w:t xml:space="preserve">), painted pottery with restricted motifs (e.g., </w:t>
      </w:r>
      <w:proofErr w:type="spellStart"/>
      <w:r w:rsidRPr="00714742">
        <w:rPr>
          <w:i/>
          <w:iCs/>
        </w:rPr>
        <w:t>Taosi</w:t>
      </w:r>
      <w:proofErr w:type="spellEnd"/>
      <w:r w:rsidRPr="00714742">
        <w:rPr>
          <w:i/>
          <w:iCs/>
        </w:rPr>
        <w:t xml:space="preserve"> dragon-pattern vessels), lacquerware, exotic shell, and concentrated pig-mandible deposits in elite burials. Corporate-associated artifacts include items linked to collective provisioning, shared labor, and communal use: large cooking and serving vessels (deep-bellied jars, ding and li tripods), storage jars, grinding stones, agricultural tools (stone knives, bone spades), charred grain, faunal remains, spindle whorls, and widely shared painted pottery (e.g., </w:t>
      </w:r>
      <w:proofErr w:type="spellStart"/>
      <w:r w:rsidRPr="00714742">
        <w:rPr>
          <w:i/>
          <w:iCs/>
        </w:rPr>
        <w:t>Yangshao</w:t>
      </w:r>
      <w:proofErr w:type="spellEnd"/>
      <w:r w:rsidRPr="00714742">
        <w:rPr>
          <w:i/>
          <w:iCs/>
        </w:rPr>
        <w:t xml:space="preserve"> polychrome wares distributed across households). The diagnostic signal depends jointly on artifact type and spatial context: painted pottery, pig mandibles, and jade may indicate either strategy depending on whether they concentrate in individual residences and elite burials (network) or distribute </w:t>
      </w:r>
      <w:r w:rsidRPr="00714742">
        <w:rPr>
          <w:i/>
          <w:iCs/>
        </w:rPr>
        <w:lastRenderedPageBreak/>
        <w:t xml:space="preserve">evenly across households and communal spaces (corporate). Artifact lists are adjusted per site based on recovery context, while the network-corporate distinction is held constant across Jiahu, Jiangzhai, and </w:t>
      </w:r>
      <w:proofErr w:type="spellStart"/>
      <w:r w:rsidRPr="00714742">
        <w:rPr>
          <w:i/>
          <w:iCs/>
        </w:rPr>
        <w:t>Taosi</w:t>
      </w:r>
      <w:proofErr w:type="spellEnd"/>
      <w:r w:rsidRPr="00714742">
        <w:rPr>
          <w:i/>
          <w:iCs/>
        </w:rPr>
        <w:t>.</w:t>
      </w:r>
    </w:p>
    <w:p w14:paraId="22E009EC" w14:textId="77777777" w:rsidR="00DA7A34" w:rsidRPr="00714742" w:rsidRDefault="00DA7A34" w:rsidP="00DA7A34">
      <w:pPr>
        <w:spacing w:before="160" w:after="80" w:line="220"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Note on analytical methods and metrics. The citations in column 6 index precedents for the Space Syntax analyses, that is, for the configurational measures (Integration, Choice, Control, step depth, intelligibility), for visibility graph analysis (Turner et al., 2001), and for agent-based movement analysis (Turner &amp; Penn, 2002), rather than for the statistical procedures that accompany them; the statistics are standard tests, and each is specified here by what it is used to evaluate. Spearman's rho tests whether the syntactic centrality of spaces (Integration, Choice, or Control) covaries with the density of a given artifact class, and therefore whether movement structure and accumulation are coupled, a network expectation, or decoupled, a corporate expectation. The coefficient of variation (CV) of Choice or Control values measures how evenly the capacity to channel and gatekeep movement is distributed across a settlement's spaces: a high CV means gatekeeping is concentrated in a few nodes, a low CV that it is broadly shared. The Kruskal-Wallis test evaluates whether Integration differs significantly among residential clusters, that is, whether any cluster occupies a systematically privileged position in the access structure. Step-depth comparison measures the topological distance from each residential cluster to the communal nodes, so that symmetry of depths indicates comparable access from all segments and asymmetry indicates privileged access. Intelligibility is quantified as the coefficient of determination (R2) of the correlation between local Connectivity and global Integration, measuring whether the settlement's overall structure is learnable from what is visible locally. The Gini coefficient and CV of grave-good counts measure how strongly mortuary wealth is concentrated in few burials. Agent-based simulation estimates the passage frequency each space would attract under natural movement, identifying spaces that capture disproportionate through-movement, and VGA visual integration measures how visually prominent each space is, so that the alignment or dissociation of VGA and Integration values tests whether visually prominent spaces are also physically accessible. Each procedure is thus fixed in advance to the organizational question its row poses.</w:t>
      </w:r>
    </w:p>
    <w:p w14:paraId="07E96919" w14:textId="77777777" w:rsidR="00DA7A34" w:rsidRPr="00714742" w:rsidRDefault="00DA7A34" w:rsidP="00DA7A34">
      <w:pPr>
        <w:spacing w:after="120" w:line="220" w:lineRule="auto"/>
      </w:pPr>
      <w:r w:rsidRPr="00714742">
        <w:rPr>
          <w:i/>
          <w:iCs/>
        </w:rPr>
        <w:t>This table is adapted from Feinman (2000: Table 3.2, p. 39), with the corporate and network tendencies reorganized and operationalized through Space Syntax and Activity Zone Analysis (AZA) metrics.</w:t>
      </w:r>
    </w:p>
    <w:p w14:paraId="207186B3" w14:textId="77777777" w:rsidR="00DA7A34" w:rsidRPr="00714742" w:rsidRDefault="00DA7A34" w:rsidP="00DA7A34">
      <w:pPr>
        <w:sectPr w:rsidR="00DA7A34" w:rsidRPr="00714742" w:rsidSect="00DA7A34">
          <w:pgSz w:w="12240" w:h="15840" w:orient="landscape"/>
          <w:pgMar w:top="1080" w:right="1080" w:bottom="1080" w:left="1080" w:header="708" w:footer="708" w:gutter="0"/>
          <w:cols w:space="720"/>
          <w:docGrid w:linePitch="360"/>
        </w:sectPr>
      </w:pPr>
    </w:p>
    <w:p w14:paraId="3E4957B8" w14:textId="77777777" w:rsidR="00DA7A34" w:rsidRPr="00714742" w:rsidRDefault="00DA7A34" w:rsidP="00DA7A34">
      <w:pPr>
        <w:pStyle w:val="Heading2"/>
        <w:spacing w:before="280" w:after="140"/>
        <w:rPr>
          <w:color w:val="auto"/>
          <w:sz w:val="24"/>
          <w:szCs w:val="24"/>
        </w:rPr>
      </w:pPr>
      <w:r w:rsidRPr="00714742">
        <w:rPr>
          <w:b/>
          <w:bCs/>
          <w:color w:val="auto"/>
          <w:sz w:val="24"/>
          <w:szCs w:val="24"/>
        </w:rPr>
        <w:lastRenderedPageBreak/>
        <w:t>6.3 Convergence, Equifinality, Falsification, and Scale</w:t>
      </w:r>
    </w:p>
    <w:p w14:paraId="1EB70DC1" w14:textId="77777777" w:rsidR="00DA7A34" w:rsidRPr="00714742" w:rsidRDefault="00DA7A34" w:rsidP="00DA7A34">
      <w:pPr>
        <w:pStyle w:val="ListParagraph"/>
        <w:numPr>
          <w:ilvl w:val="0"/>
          <w:numId w:val="3"/>
        </w:numPr>
        <w:spacing w:after="100" w:line="276" w:lineRule="auto"/>
      </w:pPr>
      <w:r w:rsidRPr="00714742">
        <w:t>Convergence: a strategy assessment at any scale requires alignment of multiple tendencies drawn from different evidence classes; misaligned tendencies are reported as misalignment and treated as findings about organizational heterogeneity, keeping every assessment exposed to refutation in the manner of the quantitative hypothesis test that Carleton et al. (2013) applied to social reconstructions at Çatalhöyük.</w:t>
      </w:r>
    </w:p>
    <w:p w14:paraId="6F976BC5" w14:textId="77777777" w:rsidR="00DA7A34" w:rsidRPr="00714742" w:rsidRDefault="00DA7A34" w:rsidP="00DA7A34">
      <w:pPr>
        <w:pStyle w:val="ListParagraph"/>
        <w:numPr>
          <w:ilvl w:val="0"/>
          <w:numId w:val="3"/>
        </w:numPr>
        <w:spacing w:after="100" w:line="276" w:lineRule="auto"/>
      </w:pPr>
      <w:r w:rsidRPr="00714742">
        <w:t>Equifinality control: for each tendency, non-strategic generators of the same pattern, topographic constraint, growth history, preservation and excavation coverage, vertical-constraint channeling of segmentation (Steadman, 2000), are listed in advance and addressed with targeted checks, including terrain-conditioned comparisons, recovery-bias assessment, and phase-controlled analysis.</w:t>
      </w:r>
    </w:p>
    <w:p w14:paraId="1F0E496C" w14:textId="77777777" w:rsidR="00DA7A34" w:rsidRPr="00714742" w:rsidRDefault="00DA7A34" w:rsidP="00DA7A34">
      <w:pPr>
        <w:pStyle w:val="ListParagraph"/>
        <w:numPr>
          <w:ilvl w:val="0"/>
          <w:numId w:val="3"/>
        </w:numPr>
        <w:spacing w:after="100" w:line="276" w:lineRule="auto"/>
      </w:pPr>
      <w:r w:rsidRPr="00714742">
        <w:t>Falsification: each hypothesis of Section 7 is paired with the configurational-functional pattern that would contradict it. The framework is designed so that 'corporate transformation' is a result the data could have refused.</w:t>
      </w:r>
    </w:p>
    <w:p w14:paraId="02237A72" w14:textId="77777777" w:rsidR="00DA7A34" w:rsidRPr="00714742" w:rsidRDefault="00DA7A34" w:rsidP="00DA7A34">
      <w:pPr>
        <w:pStyle w:val="ListParagraph"/>
        <w:numPr>
          <w:ilvl w:val="0"/>
          <w:numId w:val="3"/>
        </w:numPr>
        <w:spacing w:after="100" w:line="276" w:lineRule="auto"/>
      </w:pPr>
      <w:r w:rsidRPr="00714742">
        <w:t xml:space="preserve">Scale stratification: every tendency is evaluated at three nested scales (building or household, cluster or neighborhood, settlement), because strategies can diverge across scales of one community (Manzanilla, 2015), and configurational analysis is established at each of these scales, down to the individual dwelling (Hanson, 1998); cross-scale dissonance is an expected and theoretically meaningful outcome, particularly at </w:t>
      </w:r>
      <w:proofErr w:type="spellStart"/>
      <w:r w:rsidRPr="00714742">
        <w:t>Taosi</w:t>
      </w:r>
      <w:proofErr w:type="spellEnd"/>
      <w:r w:rsidRPr="00714742">
        <w:t>.</w:t>
      </w:r>
    </w:p>
    <w:p w14:paraId="261D2276" w14:textId="77777777" w:rsidR="00DA7A34" w:rsidRPr="00714742" w:rsidRDefault="00DA7A34" w:rsidP="00DA7A34">
      <w:pPr>
        <w:pStyle w:val="Heading2"/>
        <w:spacing w:before="280" w:after="140"/>
        <w:rPr>
          <w:color w:val="auto"/>
          <w:sz w:val="24"/>
          <w:szCs w:val="24"/>
        </w:rPr>
      </w:pPr>
      <w:r w:rsidRPr="00714742">
        <w:rPr>
          <w:b/>
          <w:bCs/>
          <w:color w:val="auto"/>
          <w:sz w:val="24"/>
          <w:szCs w:val="24"/>
        </w:rPr>
        <w:t>6.4 The Logic of the Prediction Table</w:t>
      </w:r>
    </w:p>
    <w:p w14:paraId="46BFC171" w14:textId="77777777" w:rsidR="00DA7A34" w:rsidRPr="00714742" w:rsidRDefault="00DA7A34" w:rsidP="00DA7A34">
      <w:pPr>
        <w:spacing w:after="120" w:line="276" w:lineRule="auto"/>
      </w:pPr>
      <w:r w:rsidRPr="00714742">
        <w:t>Table 1 is the framework's culmination, and its architecture encodes the framework's commitments; this closing subsection states how the table is to be read, so that the chapter ends where the analysis will begin. Read horizontally, each row is one independent, falsifiable test. The first three columns restate a tendency in Feinman's (2000) comparative terms: the dimension of socio-political organization at issue, and its characteristic network and corporate expressions. The fourth column translates those expressions into purely configurational expectations, the patterns Space Syntax alone should detect if the strategy operated. The fifth column states the stronger, joint expectation: what configuration and activity evidence should show together, with artifact classes read under the joint-</w:t>
      </w:r>
      <w:proofErr w:type="spellStart"/>
      <w:r w:rsidRPr="00714742">
        <w:t>diagnosticity</w:t>
      </w:r>
      <w:proofErr w:type="spellEnd"/>
      <w:r w:rsidRPr="00714742">
        <w:t xml:space="preserve"> principle of the table's classification note. The sixth column fixes, in advance of analysis, the metrics and tests by which the expectation will be evaluated. The separation of the fourth and fifth columns is deliberate and carries the framework's answer to the equifinality problem: a configurational pattern alone (column four) is suggestive but underdetermined, and only its conjunction with the predicted functional pattern (column five) counts as evidence for a strategy. The table thereby builds the corrective of Section 5.3 into every test rather than applying it after the fact.</w:t>
      </w:r>
    </w:p>
    <w:p w14:paraId="456CDBD9" w14:textId="77777777" w:rsidR="00DA7A34" w:rsidRPr="00714742" w:rsidRDefault="00DA7A34" w:rsidP="00DA7A34">
      <w:pPr>
        <w:spacing w:after="120" w:line="276" w:lineRule="auto"/>
      </w:pPr>
      <w:r w:rsidRPr="00714742">
        <w:t xml:space="preserve">Read vertically, the rows are not interchangeable items on a checklist; they group into the dimensions of Section 4.1 and aggregate into the answers the research questions require. The legibility row operationalizes formalization; the political-dynamics row operationalizes the scale of the cooperating unit; the finance row operationalizes the economic base; and because every </w:t>
      </w:r>
      <w:r w:rsidRPr="00714742">
        <w:lastRenderedPageBreak/>
        <w:t xml:space="preserve">row is evaluated at three nested scales under the rules of Section 6.3, the wealth, power, legitimation, and symbols rows jointly register scalar coexistence wherever corporate and network profiles diverge across scales of one settlement. A site's row-by-row, scale-by-scale outcomes therefore compose the strategy profile that answers RQ1; the displacement of those profiles across Jiahu, Jiangzhai, and </w:t>
      </w:r>
      <w:proofErr w:type="spellStart"/>
      <w:r w:rsidRPr="00714742">
        <w:t>Taosi</w:t>
      </w:r>
      <w:proofErr w:type="spellEnd"/>
      <w:r w:rsidRPr="00714742">
        <w:t>, read along the five dimensions, is the observation language in which the competing hypotheses of RQ2 (Section 7) are stated and discriminated; and because the rows, classes, and metrics are held constant across the three sites, the profiles are comparable by construction, which is what RQ3 presupposes. No analysis in the dissertation stands outside this table: every result either evaluates one of its cells or tests the formation-process conditions on which the evaluation depends.</w:t>
      </w:r>
    </w:p>
    <w:p w14:paraId="7C3AFED4" w14:textId="77777777" w:rsidR="00DA7A34" w:rsidRPr="00714742" w:rsidRDefault="00DA7A34" w:rsidP="00DA7A34">
      <w:pPr>
        <w:spacing w:before="60" w:after="200"/>
        <w:ind w:left="360"/>
      </w:pPr>
      <w:r w:rsidRPr="00714742">
        <w:rPr>
          <w:i/>
          <w:iCs/>
        </w:rPr>
        <w:t>The bridge is built, its decision rules are fixed, and its logic is stated. What remains is to deploy it: the hypotheses through which the research questions of Section 3 will be decided.</w:t>
      </w:r>
    </w:p>
    <w:p w14:paraId="7E4EF38A" w14:textId="77777777" w:rsidR="00DA7A34" w:rsidRPr="00714742" w:rsidRDefault="00DA7A34" w:rsidP="00DA7A34">
      <w:pPr>
        <w:pStyle w:val="Heading1"/>
        <w:spacing w:before="360" w:after="180"/>
        <w:rPr>
          <w:color w:val="auto"/>
          <w:sz w:val="24"/>
          <w:szCs w:val="24"/>
        </w:rPr>
      </w:pPr>
      <w:r w:rsidRPr="00714742">
        <w:rPr>
          <w:b/>
          <w:bCs/>
          <w:color w:val="auto"/>
          <w:sz w:val="24"/>
          <w:szCs w:val="24"/>
        </w:rPr>
        <w:t>7. Competing Hypotheses and the Path to Methods</w:t>
      </w:r>
    </w:p>
    <w:p w14:paraId="35E1DDF5" w14:textId="77777777" w:rsidR="00DA7A34" w:rsidRPr="00714742" w:rsidRDefault="00DA7A34" w:rsidP="00DA7A34">
      <w:pPr>
        <w:spacing w:after="120" w:line="276" w:lineRule="auto"/>
      </w:pPr>
      <w:r w:rsidRPr="00714742">
        <w:t>The research questions of Section 3 are answered through the bridge in a fixed order: RQ1 is evaluated first and site by site, RQ2 through three competing hypotheses stated in the bridge's terms, and RQ3 only afterward and only within what the first two license.</w:t>
      </w:r>
    </w:p>
    <w:p w14:paraId="350CDE57" w14:textId="77777777" w:rsidR="00DA7A34" w:rsidRPr="00714742" w:rsidRDefault="00DA7A34" w:rsidP="00DA7A34">
      <w:pPr>
        <w:pStyle w:val="Heading2"/>
        <w:spacing w:before="280" w:after="140"/>
        <w:rPr>
          <w:color w:val="auto"/>
          <w:sz w:val="24"/>
          <w:szCs w:val="24"/>
        </w:rPr>
      </w:pPr>
      <w:r w:rsidRPr="00714742">
        <w:rPr>
          <w:b/>
          <w:bCs/>
          <w:color w:val="auto"/>
          <w:sz w:val="24"/>
          <w:szCs w:val="24"/>
        </w:rPr>
        <w:t>7.1 Evaluating RQ1: Strategy Profiles</w:t>
      </w:r>
    </w:p>
    <w:p w14:paraId="49BA7D61" w14:textId="77777777" w:rsidR="00DA7A34" w:rsidRPr="00714742" w:rsidRDefault="00DA7A34" w:rsidP="00DA7A34">
      <w:pPr>
        <w:spacing w:after="120" w:line="276" w:lineRule="auto"/>
      </w:pPr>
      <w:r w:rsidRPr="00714742">
        <w:t>RQ1 is answered by applying the ten tendencies of Table 1 site by site and scale by scale, producing for each case a strategy profile rather than a label. The profiles are intermediate products: they discipline RQ2 by establishing what, exactly, is changing, and they record cross-scale dissonance wherever it occurs rather than resolving it prematurely.</w:t>
      </w:r>
    </w:p>
    <w:p w14:paraId="1268E0E9" w14:textId="77777777" w:rsidR="00DA7A34" w:rsidRPr="00714742" w:rsidRDefault="00DA7A34" w:rsidP="00DA7A34">
      <w:pPr>
        <w:pStyle w:val="Heading2"/>
        <w:spacing w:before="280" w:after="140"/>
        <w:rPr>
          <w:color w:val="auto"/>
          <w:sz w:val="24"/>
          <w:szCs w:val="24"/>
        </w:rPr>
      </w:pPr>
      <w:r w:rsidRPr="00714742">
        <w:rPr>
          <w:b/>
          <w:bCs/>
          <w:color w:val="auto"/>
          <w:sz w:val="24"/>
          <w:szCs w:val="24"/>
        </w:rPr>
        <w:t>7.2 Hypotheses for RQ2: The Transformation of Corporate Organization</w:t>
      </w:r>
    </w:p>
    <w:p w14:paraId="5C8908FC" w14:textId="77777777" w:rsidR="00DA7A34" w:rsidRPr="00714742" w:rsidRDefault="00DA7A34" w:rsidP="00DA7A34">
      <w:pPr>
        <w:spacing w:after="120" w:line="276" w:lineRule="auto"/>
      </w:pPr>
      <w:r w:rsidRPr="00714742">
        <w:t>RQ2's three alternatives, strategic shift, increasing formalization, and hybrid forms, are developed as three competing hypotheses (H-B, H-A, and H-C respectively); they correspond to the three conceivable fates of corporate organization posed in Section 2.2. The dissertation reads the question through the dimensional apparatus of Section 4.1: what changes from site to site is corporate organization's position on the five dimensions, and the hypotheses are alternative descriptions of that movement.</w:t>
      </w:r>
    </w:p>
    <w:p w14:paraId="102A8A2F" w14:textId="77777777" w:rsidR="00DA7A34" w:rsidRPr="00714742" w:rsidRDefault="00DA7A34" w:rsidP="00DA7A34">
      <w:pPr>
        <w:pStyle w:val="ListParagraph"/>
        <w:numPr>
          <w:ilvl w:val="0"/>
          <w:numId w:val="3"/>
        </w:numPr>
        <w:spacing w:after="100" w:line="276" w:lineRule="auto"/>
      </w:pPr>
      <w:r w:rsidRPr="00714742">
        <w:t xml:space="preserve">H-A, corporate rescaling and formalization: corporate arrangements persisted but were rescaled upward and formalized, so that </w:t>
      </w:r>
      <w:proofErr w:type="spellStart"/>
      <w:r w:rsidRPr="00714742">
        <w:t>Taosi</w:t>
      </w:r>
      <w:proofErr w:type="spellEnd"/>
      <w:r w:rsidRPr="00714742">
        <w:t xml:space="preserve"> should show large-capacity, high-integration communal nodes, legible order, and staple-oriented centrality at the settlement scale, with corporate expectations met at larger scales than at </w:t>
      </w:r>
      <w:proofErr w:type="spellStart"/>
      <w:r w:rsidRPr="00714742">
        <w:t>Jiahu</w:t>
      </w:r>
      <w:proofErr w:type="spellEnd"/>
      <w:r w:rsidRPr="00714742">
        <w:t xml:space="preserve"> or </w:t>
      </w:r>
      <w:proofErr w:type="spellStart"/>
      <w:r w:rsidRPr="00714742">
        <w:t>Jiangzhai</w:t>
      </w:r>
      <w:proofErr w:type="spellEnd"/>
      <w:r w:rsidRPr="00714742">
        <w:t xml:space="preserve">. Falsified if </w:t>
      </w:r>
      <w:proofErr w:type="spellStart"/>
      <w:r w:rsidRPr="00714742">
        <w:t>Taosi's</w:t>
      </w:r>
      <w:proofErr w:type="spellEnd"/>
      <w:r w:rsidRPr="00714742">
        <w:t xml:space="preserve"> communal-scale spaces are configurationally restricted, illegible, or coupled to prestige accumulation.</w:t>
      </w:r>
    </w:p>
    <w:p w14:paraId="4B03F05C" w14:textId="77777777" w:rsidR="00DA7A34" w:rsidRPr="00714742" w:rsidRDefault="00DA7A34" w:rsidP="00DA7A34">
      <w:pPr>
        <w:pStyle w:val="ListParagraph"/>
        <w:numPr>
          <w:ilvl w:val="0"/>
          <w:numId w:val="3"/>
        </w:numPr>
        <w:spacing w:after="100" w:line="276" w:lineRule="auto"/>
      </w:pPr>
      <w:r w:rsidRPr="00714742">
        <w:t xml:space="preserve">H-B, strategic shift: corporate organization was displaced by network strategies, so that </w:t>
      </w:r>
      <w:proofErr w:type="spellStart"/>
      <w:r w:rsidRPr="00714742">
        <w:t>Taosi</w:t>
      </w:r>
      <w:proofErr w:type="spellEnd"/>
      <w:r w:rsidRPr="00714742">
        <w:t xml:space="preserve"> should show gatekept movement, household-linked structural advantage, prestige-</w:t>
      </w:r>
      <w:r w:rsidRPr="00714742">
        <w:t>centrality coupling, and low intelligibility across scales, the network-strategy shift toward prestige-goods politics documented elsewhere (</w:t>
      </w:r>
      <w:proofErr w:type="spellStart"/>
      <w:r w:rsidRPr="00714742">
        <w:t>Trubitt</w:t>
      </w:r>
      <w:proofErr w:type="spellEnd"/>
      <w:r w:rsidRPr="00714742">
        <w:t>, 2000). Falsified if corporate expectations are met at any scale above the household.</w:t>
      </w:r>
    </w:p>
    <w:p w14:paraId="7128D79B" w14:textId="77777777" w:rsidR="00DA7A34" w:rsidRPr="00714742" w:rsidRDefault="00DA7A34" w:rsidP="00DA7A34">
      <w:pPr>
        <w:pStyle w:val="ListParagraph"/>
        <w:numPr>
          <w:ilvl w:val="0"/>
          <w:numId w:val="3"/>
        </w:numPr>
        <w:spacing w:after="100" w:line="276" w:lineRule="auto"/>
      </w:pPr>
      <w:r w:rsidRPr="00714742">
        <w:t xml:space="preserve">H-C, scalar coexistence: corporate and exclusionary strategies operated simultaneously at different scales, on the Teotihuacan model (Manzanilla, 2015), so that </w:t>
      </w:r>
      <w:proofErr w:type="spellStart"/>
      <w:r w:rsidRPr="00714742">
        <w:t>Taosi</w:t>
      </w:r>
      <w:proofErr w:type="spellEnd"/>
      <w:r w:rsidRPr="00714742">
        <w:t xml:space="preserve"> should show corporate profiles at neighborhood or sector scale, including legible, symmetric, provisioning-oriented residential zones, coexisting with exclusionary profiles at the palatial or settlement scale. Falsified if profiles are concordant across scales in either direction. H-C is the hypothesis under which the question of what surviving corporate organization looked like receives its most detailed answer, in the dimensional terms of Section 4.1.</w:t>
      </w:r>
    </w:p>
    <w:p w14:paraId="46E43B83" w14:textId="77777777" w:rsidR="00DA7A34" w:rsidRPr="00714742" w:rsidRDefault="00DA7A34" w:rsidP="00DA7A34">
      <w:pPr>
        <w:spacing w:after="120" w:line="276" w:lineRule="auto"/>
      </w:pPr>
      <w:r w:rsidRPr="00714742">
        <w:t>The statistical machinery developed for the earlier hypothesis framing (nested comparisons across sites and scales) maps directly onto H-A through H-C; what changes is the interpretive target, from levels of complexity to positions and movements along the corporate dimensions.</w:t>
      </w:r>
    </w:p>
    <w:p w14:paraId="3CCBE123" w14:textId="77777777" w:rsidR="00DA7A34" w:rsidRPr="00714742" w:rsidRDefault="00DA7A34" w:rsidP="00DA7A34">
      <w:pPr>
        <w:pStyle w:val="Heading2"/>
        <w:spacing w:before="280" w:after="140"/>
        <w:rPr>
          <w:color w:val="auto"/>
          <w:sz w:val="24"/>
          <w:szCs w:val="24"/>
        </w:rPr>
      </w:pPr>
      <w:r w:rsidRPr="00714742">
        <w:rPr>
          <w:b/>
          <w:bCs/>
          <w:color w:val="auto"/>
          <w:sz w:val="24"/>
          <w:szCs w:val="24"/>
        </w:rPr>
        <w:t>7.3 Answering RQ3: The Comparative Protocol</w:t>
      </w:r>
    </w:p>
    <w:p w14:paraId="7488DFAB" w14:textId="77777777" w:rsidR="00DA7A34" w:rsidRPr="00714742" w:rsidRDefault="00DA7A34" w:rsidP="00DA7A34">
      <w:pPr>
        <w:spacing w:after="120" w:line="276" w:lineRule="auto"/>
      </w:pPr>
      <w:r w:rsidRPr="00714742">
        <w:t xml:space="preserve">The comparative protocol for RQ3 is fixed in advance: analytical units and scales are specified, comparability is justified structurally rather than by resemblance, and scope conditions are stated. The </w:t>
      </w:r>
      <w:proofErr w:type="spellStart"/>
      <w:r w:rsidRPr="00714742">
        <w:t>comparanda</w:t>
      </w:r>
      <w:proofErr w:type="spellEnd"/>
      <w:r w:rsidRPr="00714742">
        <w:t xml:space="preserve"> are cases where corporate dynamics have been traced materially, including the emergence of corporate buildings alongside deepening household autonomy in Southwest Asian villages (Byrd, 1994), the strategy shift at Cahokia (Trubitt, 2000)</w:t>
      </w:r>
      <w:proofErr w:type="spellStart"/>
      <w:r w:rsidRPr="00714742"/>
      <w:proofErr w:type="spellEnd"/>
      <w:r w:rsidRPr="00714742">
        <w:t>, communality under tension in European agglomerations (Furholt et al., 2020), and scalar coexistence at Teotihuacan (Manzanilla, 2015). RQ3 is answered after, and only in the terms licensed by, RQ1 and RQ2.</w:t>
      </w:r>
    </w:p>
    <w:p w14:paraId="41F988CD" w14:textId="77777777" w:rsidR="00DA7A34" w:rsidRPr="00714742" w:rsidRDefault="00DA7A34" w:rsidP="00DA7A34">
      <w:pPr>
        <w:spacing w:before="60" w:after="200"/>
        <w:ind w:left="360"/>
      </w:pPr>
      <w:r w:rsidRPr="00714742">
        <w:rPr>
          <w:i/>
          <w:iCs/>
        </w:rPr>
        <w:t>The chapter's obligations are now discharged in order: the gap produced the questions, the framework produced the bridge, and the bridge produced evaluable hypotheses. The Methods chapter takes over from here, operationalizing each tendency's metrics, the formation-process assessments, and the statistical procedures the hypotheses require.</w:t>
      </w:r>
    </w:p>
    <w:p w14:paraId="1D01E6AF" w14:textId="77777777" w:rsidR="00DA7A34" w:rsidRPr="00714742" w:rsidRDefault="00DA7A34" w:rsidP="00DA7A34">
      <w:pPr>
        <w:pStyle w:val="Heading1"/>
        <w:spacing w:before="360" w:after="180"/>
        <w:rPr>
          <w:color w:val="auto"/>
          <w:sz w:val="24"/>
          <w:szCs w:val="24"/>
        </w:rPr>
      </w:pPr>
      <w:r w:rsidRPr="00714742">
        <w:rPr>
          <w:b/>
          <w:bCs/>
          <w:color w:val="auto"/>
          <w:sz w:val="24"/>
          <w:szCs w:val="24"/>
        </w:rPr>
        <w:t>8. Anticipated Contributions and Scope Conditions</w:t>
      </w:r>
    </w:p>
    <w:p w14:paraId="6CFB829E" w14:textId="77777777" w:rsidR="00DA7A34" w:rsidRPr="00714742" w:rsidRDefault="00DA7A34" w:rsidP="00DA7A34">
      <w:pPr>
        <w:spacing w:after="120" w:line="276" w:lineRule="auto"/>
      </w:pPr>
      <w:r w:rsidRPr="00714742">
        <w:t>Empirically, the dissertation delivers the first systematic configurational measurements of three canonical Chinese Neolithic settlements and a constant-protocol diachronic comparison across five millennia. Theoretically, it offers a workable apparatus for studying transformations of corporate organization, five dimensions, ten operationalized tendencies, and scale-stratified evaluation, addressing the recognized thinness of the corporate pole without subdividing it into types, and it gives the question of corporate organization's fate under centralization an empirical form. Methodologically, it demonstrates an integrated Space Syntax and Activity Zone protocol, with explicit equifinality and falsification rules, transferable to any settlement with adequate plans and provenience.</w:t>
      </w:r>
    </w:p>
    <w:p w14:paraId="07CEC656" w14:textId="77777777" w:rsidR="00DA7A34" w:rsidRPr="00714742" w:rsidRDefault="00DA7A34" w:rsidP="00DA7A34">
      <w:pPr>
        <w:spacing w:after="120" w:line="276" w:lineRule="auto"/>
      </w:pPr>
      <w:r w:rsidRPr="00714742">
        <w:lastRenderedPageBreak/>
        <w:t>The scope conditions are stated as predictions rather than apologies. The framework applies where plans are sufficiently complete, contemporaneity is assessable, and provenience is published; where these conditions weaken, the convergence rule withholds assessment rather than diluting it. The conclusions concern socio-political organization at the household, cluster, and settlement scales of three sites in one macro-region; their extension beyond that scope is a hypothesis the protocol makes testable elsewhere, not a claim this dissertation asserts.</w:t>
      </w:r>
    </w:p>
    <w:p w14:paraId="229B8A1D" w14:textId="77777777" w:rsidR="00DA7A34" w:rsidRPr="00714742" w:rsidRDefault="00DA7A34" w:rsidP="00DA7A34">
      <w:pPr>
        <w:pStyle w:val="Heading1"/>
        <w:pageBreakBefore/>
        <w:spacing w:before="480" w:after="200"/>
        <w:rPr>
          <w:color w:val="auto"/>
          <w:sz w:val="24"/>
          <w:szCs w:val="24"/>
        </w:rPr>
      </w:pPr>
      <w:r w:rsidRPr="00714742">
        <w:rPr>
          <w:b/>
          <w:bCs/>
          <w:color w:val="auto"/>
          <w:sz w:val="24"/>
          <w:szCs w:val="24"/>
        </w:rPr>
        <w:lastRenderedPageBreak/>
        <w:t>References Cited in This Outline</w:t>
      </w:r>
    </w:p>
    <w:p w14:paraId="440E4F34" w14:textId="77777777" w:rsidR="00DA7A34" w:rsidRPr="00714742" w:rsidRDefault="00DA7A34" w:rsidP="00DA7A34">
      <w:pPr>
        <w:spacing w:after="140" w:line="276" w:lineRule="auto"/>
        <w:ind w:left="720" w:hanging="720"/>
      </w:pPr>
      <w:r w:rsidRPr="00714742">
        <w:t xml:space="preserve">Alpay, A. I. (2022). The interrelation between humans and their built environment in the Early Bronze Age of </w:t>
      </w:r>
      <w:proofErr w:type="spellStart"/>
      <w:r w:rsidRPr="00714742">
        <w:t>Bademağacı</w:t>
      </w:r>
      <w:proofErr w:type="spellEnd"/>
      <w:r w:rsidRPr="00714742">
        <w:t xml:space="preserve"> </w:t>
      </w:r>
      <w:proofErr w:type="spellStart"/>
      <w:r w:rsidRPr="00714742">
        <w:t>Höyük</w:t>
      </w:r>
      <w:proofErr w:type="spellEnd"/>
      <w:r w:rsidRPr="00714742">
        <w:t>, Turkey. In Proceedings of the 13th Space Syntax Symposium (pp. 1-27).</w:t>
      </w:r>
    </w:p>
    <w:p w14:paraId="74016178" w14:textId="77777777" w:rsidR="00DA7A34" w:rsidRPr="00714742" w:rsidRDefault="00DA7A34" w:rsidP="00DA7A34">
      <w:pPr>
        <w:spacing w:after="140" w:line="276" w:lineRule="auto"/>
        <w:ind w:left="720" w:hanging="720"/>
      </w:pPr>
      <w:r w:rsidRPr="00714742">
        <w:t>Bafna, S. (2003). Space syntax: A brief introduction to its logic and analytical techniques. Environment and Behavior, 35(1), 17-29. https://doi.org/10.1177/0013916502238863</w:t>
      </w:r>
    </w:p>
    <w:p w14:paraId="669FC4AF" w14:textId="77777777" w:rsidR="00DA7A34" w:rsidRPr="00714742" w:rsidRDefault="00DA7A34" w:rsidP="00DA7A34">
      <w:pPr>
        <w:spacing w:after="140" w:line="276" w:lineRule="auto"/>
        <w:ind w:left="720" w:hanging="720"/>
      </w:pPr>
      <w:r w:rsidRPr="00714742">
        <w:t xml:space="preserve">Baumanova, M. (2016). Space matters: A reflection on archaeological theory and method for interpreting the materiality of space. </w:t>
      </w:r>
      <w:proofErr w:type="spellStart"/>
      <w:r w:rsidRPr="00714742">
        <w:t>Interdisciplinaria</w:t>
      </w:r>
      <w:proofErr w:type="spellEnd"/>
      <w:r w:rsidRPr="00714742">
        <w:t xml:space="preserve"> </w:t>
      </w:r>
      <w:proofErr w:type="spellStart"/>
      <w:r w:rsidRPr="00714742">
        <w:t>Archaeologica</w:t>
      </w:r>
      <w:proofErr w:type="spellEnd"/>
      <w:r w:rsidRPr="00714742">
        <w:t xml:space="preserve"> - Natural Sciences in Archaeology (IANSA), VII(2), 209-216. https://doi.org/10.24916/iansa.2016.2.6</w:t>
      </w:r>
    </w:p>
    <w:p w14:paraId="1A496935" w14:textId="77777777" w:rsidR="00DA7A34" w:rsidRPr="00714742" w:rsidRDefault="00DA7A34" w:rsidP="00DA7A34">
      <w:pPr>
        <w:spacing w:after="140" w:line="276" w:lineRule="auto"/>
        <w:ind w:left="720" w:hanging="720"/>
      </w:pPr>
      <w:proofErr w:type="spellStart"/>
      <w:proofErr w:type="spellEnd"/>
      <w:r>
        <w:t>Baumanova, M. (2020). Sensory synaesthesia: Combined analyses based on space syntax in African urban contexts. African Archaeological Review, 37(1), 125-141. https://doi.org/10.1007/s10437-020-09368-9</w:t>
      </w:r>
    </w:p>
    <w:p w14:paraId="0D55E4DB" w14:textId="77777777" w:rsidR="00DA7A34" w:rsidRPr="00714742" w:rsidRDefault="00DA7A34" w:rsidP="00DA7A34">
      <w:pPr>
        <w:spacing w:after="140" w:line="276" w:lineRule="auto"/>
        <w:ind w:left="720" w:hanging="720"/>
      </w:pPr>
      <w:proofErr w:type="spellStart"/>
      <w:r w:rsidRPr="00714742">
        <w:t>Benech</w:t>
      </w:r>
      <w:proofErr w:type="spellEnd"/>
      <w:r w:rsidRPr="00714742">
        <w:t>, C. (2007). New approach to the study of city planning and domestic dwellings in the ancient Near East. Archaeological Prospection, 14(2), 87-103. https://doi.org/10.1002/arp.306</w:t>
      </w:r>
    </w:p>
    <w:p w14:paraId="0D55E4DB" w14:textId="77777777" w:rsidR="00DA7A34" w:rsidRPr="00714742" w:rsidRDefault="00DA7A34" w:rsidP="00DA7A34">
      <w:pPr>
        <w:spacing w:after="140" w:line="276" w:lineRule="auto"/>
        <w:ind w:left="720" w:hanging="720"/>
      </w:pPr>
      <w:proofErr w:type="spellStart"/>
      <w:proofErr w:type="spellEnd"/>
      <w:r>
        <w:t>Binford, L. R. (Ed.). (1977). For theory building in archaeology: Essays on faunal remains, aquatic resources, spatial analysis, and systemic modeling. Academic Press.</w:t>
      </w:r>
    </w:p>
    <w:p w14:paraId="0D55E4DB" w14:textId="77777777" w:rsidR="00DA7A34" w:rsidRPr="00714742" w:rsidRDefault="00DA7A34" w:rsidP="00DA7A34">
      <w:pPr>
        <w:spacing w:after="140" w:line="276" w:lineRule="auto"/>
        <w:ind w:left="720" w:hanging="720"/>
      </w:pPr>
      <w:proofErr w:type="spellStart"/>
      <w:proofErr w:type="spellEnd"/>
      <w:r>
        <w:t>Binford, L. R. (1978). Dimensional analysis of behavior and site structure: Learning from an Eskimo hunting stand. American Antiquity, 43(3), 330-361. https://doi.org/10.2307/279390</w:t>
      </w:r>
    </w:p>
    <w:p w14:paraId="33396DCA" w14:textId="77777777" w:rsidR="00DA7A34" w:rsidRPr="00714742" w:rsidRDefault="00DA7A34" w:rsidP="00DA7A34">
      <w:pPr>
        <w:spacing w:after="140" w:line="276" w:lineRule="auto"/>
        <w:ind w:left="720" w:hanging="720"/>
      </w:pPr>
      <w:r w:rsidRPr="00714742">
        <w:t>Blanton, R. E., &amp; Fargher, L. F. (2008). Collective action in the formation of pre-modern states. Springer. https://doi.org/10.1007/978-0-387-73877-2</w:t>
      </w:r>
    </w:p>
    <w:p w14:paraId="3D35BC1E" w14:textId="77777777" w:rsidR="00DA7A34" w:rsidRPr="00714742" w:rsidRDefault="00DA7A34" w:rsidP="00DA7A34">
      <w:pPr>
        <w:spacing w:after="140" w:line="276" w:lineRule="auto"/>
        <w:ind w:left="720" w:hanging="720"/>
      </w:pPr>
      <w:r w:rsidRPr="00714742">
        <w:t>Blanton, R. E., Feinman, G. M., Kowalewski, S. A., &amp; Peregrine, P. N. (1996). A dual-processual theory for the evolution of Mesoamerican civilization. Current Anthropology, 37(1), 1-14. https://doi.org/10.1086/204471</w:t>
      </w:r>
    </w:p>
    <w:p w14:paraId="517EADA7" w14:textId="77777777" w:rsidR="00DA7A34" w:rsidRPr="00714742" w:rsidRDefault="00DA7A34" w:rsidP="00DA7A34">
      <w:pPr>
        <w:spacing w:after="140" w:line="276" w:lineRule="auto"/>
        <w:ind w:left="720" w:hanging="720"/>
      </w:pPr>
      <w:r w:rsidRPr="00714742">
        <w:t>Byrd, B. F. (1994). Public and private, domestic and corporate: The emergence of the Southwest Asian village. American Antiquity, 59(4), 639-666. https://doi.org/10.2307/282338</w:t>
      </w:r>
    </w:p>
    <w:p w14:paraId="03D8C8F2" w14:textId="77777777" w:rsidR="00DA7A34" w:rsidRPr="00714742" w:rsidRDefault="00DA7A34" w:rsidP="00DA7A34">
      <w:pPr>
        <w:spacing w:after="140" w:line="276" w:lineRule="auto"/>
        <w:ind w:left="720" w:hanging="720"/>
      </w:pPr>
      <w:r w:rsidRPr="00714742">
        <w:t>Carballo, D. M., &amp; Feinman, G. M. (2016). Cooperation, collective action, and the archeology of large-scale societies. Evolutionary Anthropology, 25(6), 288-296. https://doi.org/10.1002/evan.21506</w:t>
      </w:r>
    </w:p>
    <w:p w14:paraId="03D8C8F2" w14:textId="77777777" w:rsidR="00DA7A34" w:rsidRPr="00714742" w:rsidRDefault="00DA7A34" w:rsidP="00DA7A34">
      <w:pPr>
        <w:spacing w:after="140" w:line="276" w:lineRule="auto"/>
        <w:ind w:left="720" w:hanging="720"/>
      </w:pPr>
      <w:r>
        <w:t>Carleton, W. C., Conolly, J., &amp; Collard, M. (2013). Corporate kin-groups, social memory, and "history houses"? A quantitative test of recent reconstructions of social organization and building function at Çatalhöyük during the PPNB. Journal of Archaeological Science, 40(4), 1816-1822. https://doi.org/10.1016/j.jas.2012.11.011</w:t>
      </w:r>
    </w:p>
    <w:p w14:paraId="03D8C8F2" w14:textId="77777777" w:rsidR="00DA7A34" w:rsidRPr="00714742" w:rsidRDefault="00DA7A34" w:rsidP="00DA7A34">
      <w:pPr>
        <w:spacing w:after="140" w:line="276" w:lineRule="auto"/>
        <w:ind w:left="720" w:hanging="720"/>
      </w:pPr>
      <w:r>
        <w:t>Carr, C. (1984). The nature of organization of intrasite archaeological records and spatial analytic approaches to their investigation. Advances in Archaeological Method and Theory, 7, 103-222.</w:t>
      </w:r>
    </w:p>
    <w:p w14:paraId="03D8C8F2" w14:textId="77777777" w:rsidR="00DA7A34" w:rsidRPr="00714742" w:rsidRDefault="00DA7A34" w:rsidP="00DA7A34">
      <w:pPr>
        <w:spacing w:after="140" w:line="276" w:lineRule="auto"/>
        <w:ind w:left="720" w:hanging="720"/>
      </w:pPr>
      <w:r>
        <w:t>Chang, K. C. (1958). Study of the Neolithic social grouping: Examples from the New World. American Anthropologist, 60(2), 298-334. https://doi.org/10.1525/aa.1958.60.2.02a00080</w:t>
      </w:r>
    </w:p>
    <w:p w14:paraId="03D8C8F2" w14:textId="77777777" w:rsidR="00DA7A34" w:rsidRPr="00714742" w:rsidRDefault="00DA7A34" w:rsidP="00DA7A34">
      <w:pPr>
        <w:spacing w:after="140" w:line="276" w:lineRule="auto"/>
        <w:ind w:left="720" w:hanging="720"/>
      </w:pPr>
      <w:r>
        <w:t>Chang, K. C. (Ed.). (1968). Settlement archaeology. National Press Books.</w:t>
      </w:r>
    </w:p>
    <w:p w14:paraId="03D8C8F2" w14:textId="77777777" w:rsidR="00DA7A34" w:rsidRPr="00714742" w:rsidRDefault="00DA7A34" w:rsidP="00DA7A34">
      <w:pPr>
        <w:spacing w:after="140" w:line="276" w:lineRule="auto"/>
        <w:ind w:left="720" w:hanging="720"/>
      </w:pPr>
      <w:r>
        <w:t>Chang, K. C. (1983). Art, myth, and ritual: The path to political authority in ancient China. Harvard University Press.</w:t>
      </w:r>
    </w:p>
    <w:p w14:paraId="2EA1A742" w14:textId="77777777" w:rsidR="00DA7A34" w:rsidRPr="00714742" w:rsidRDefault="00DA7A34" w:rsidP="00DA7A34">
      <w:pPr>
        <w:spacing w:after="140" w:line="276" w:lineRule="auto"/>
        <w:ind w:left="720" w:hanging="720"/>
      </w:pPr>
      <w:r>
        <w:t>Chang, K. C. (1986). The archaeology of ancient China (4th ed.). Yale University Press.</w:t>
      </w:r>
    </w:p>
    <w:p w14:paraId="0A9A636D" w14:textId="77777777" w:rsidR="00DA7A34" w:rsidRPr="00714742" w:rsidRDefault="00DA7A34" w:rsidP="00DA7A34">
      <w:pPr>
        <w:spacing w:after="140" w:line="276" w:lineRule="auto"/>
        <w:ind w:left="720" w:hanging="720"/>
      </w:pPr>
      <w:r>
        <w:t>Chapman, J. (1990). Social inequality on Bulgarian tells and the Varna problem. In R. Samson (Ed.), The Social Archaeology of Houses (pp. 49-92). Edinburgh University Press.</w:t>
      </w:r>
    </w:p>
    <w:p w14:paraId="5FE4F4E8" w14:textId="77777777" w:rsidR="00DA7A34" w:rsidRPr="00714742" w:rsidRDefault="00DA7A34" w:rsidP="00DA7A34">
      <w:pPr>
        <w:spacing w:after="140" w:line="276" w:lineRule="auto"/>
        <w:ind w:left="720" w:hanging="720"/>
      </w:pPr>
      <w:proofErr w:type="spellStart"/>
      <w:r w:rsidRPr="00714742">
        <w:lastRenderedPageBreak/>
        <w:t>Chatford</w:t>
      </w:r>
      <w:proofErr w:type="spellEnd"/>
      <w:r w:rsidRPr="00714742">
        <w:t xml:space="preserve"> Clark, D. L. (2007). Viewing the liturgy: A space syntax study of changing visibility and accessibility in the development of the Byzantine church in Jordan. World Archaeology, 39(1), 84-104. https://doi.org/10.1080/00438240601148798</w:t>
      </w:r>
    </w:p>
    <w:p w14:paraId="6D945DD7" w14:textId="77777777" w:rsidR="00DA7A34" w:rsidRPr="00714742" w:rsidRDefault="00DA7A34" w:rsidP="00DA7A34">
      <w:pPr>
        <w:spacing w:after="140" w:line="276" w:lineRule="auto"/>
        <w:ind w:left="720" w:hanging="720"/>
      </w:pPr>
      <w:r w:rsidRPr="00714742">
        <w:t xml:space="preserve">Crumley, C. L. (1995). </w:t>
      </w:r>
      <w:proofErr w:type="spellStart"/>
      <w:r w:rsidRPr="00714742">
        <w:t>Heterarchy</w:t>
      </w:r>
      <w:proofErr w:type="spellEnd"/>
      <w:r w:rsidRPr="00714742">
        <w:t xml:space="preserve"> and the analysis of complex societies. Archaeological Papers of the American Anthropological Association, 6(1), 1-5. https://doi.org/10.1525/ap3a.1995.6.1.1</w:t>
      </w:r>
    </w:p>
    <w:p w14:paraId="6FE10115" w14:textId="77777777" w:rsidR="00DA7A34" w:rsidRPr="00714742" w:rsidRDefault="00DA7A34" w:rsidP="00DA7A34">
      <w:pPr>
        <w:spacing w:after="140" w:line="276" w:lineRule="auto"/>
        <w:ind w:left="720" w:hanging="720"/>
      </w:pPr>
      <w:r w:rsidRPr="00714742">
        <w:t>Cutting, M. (2003). The use of spatial analysis to study prehistoric settlement architecture. Oxford Journal of Archaeology, 22(1), 1-21. https://doi.org/10.1111/1468-0092.00001</w:t>
      </w:r>
    </w:p>
    <w:p w14:paraId="25F365C3" w14:textId="77777777" w:rsidR="00DA7A34" w:rsidRPr="00714742" w:rsidRDefault="00DA7A34" w:rsidP="00DA7A34">
      <w:pPr>
        <w:spacing w:after="140" w:line="276" w:lineRule="auto"/>
        <w:ind w:left="720" w:hanging="720"/>
      </w:pPr>
      <w:r w:rsidRPr="00714742">
        <w:t>Cutting, M. (2006). More than one way to study a building: Approaches to prehistoric household and settlement space. Oxford Journal of Archaeology, 25(3), 225-246. https://doi.org/10.1111/j.1468-0092.2006.00259.x</w:t>
      </w:r>
    </w:p>
    <w:p w14:paraId="25F365C3" w14:textId="77777777" w:rsidR="00DA7A34" w:rsidRPr="00714742" w:rsidRDefault="00DA7A34" w:rsidP="00DA7A34">
      <w:pPr>
        <w:spacing w:after="140" w:line="276" w:lineRule="auto"/>
        <w:ind w:left="720" w:hanging="720"/>
      </w:pPr>
      <w:r>
        <w:t>D'Altroy, T. N., &amp; Earle, T. K. (1985). Staple finance, wealth finance, and storage in the Inka political economy. Current Anthropology, 26(2), 187-206. https://doi.org/10.1086/203249</w:t>
      </w:r>
    </w:p>
    <w:p w14:paraId="25F365C3" w14:textId="77777777" w:rsidR="00DA7A34" w:rsidRPr="00714742" w:rsidRDefault="00DA7A34" w:rsidP="00DA7A34">
      <w:pPr>
        <w:spacing w:after="140" w:line="276" w:lineRule="auto"/>
        <w:ind w:left="720" w:hanging="720"/>
      </w:pPr>
      <w:r>
        <w:t>Davis, D. S. (2024). Past, present, and future of complex systems theory in archaeology. Journal of Archaeological Research, 32(4), 549-596. https://doi.org/10.1007/s10814-023-09193-z</w:t>
      </w:r>
    </w:p>
    <w:p w14:paraId="0593A94F" w14:textId="77777777" w:rsidR="00DA7A34" w:rsidRPr="00714742" w:rsidRDefault="00DA7A34" w:rsidP="00DA7A34">
      <w:pPr>
        <w:spacing w:after="140" w:line="276" w:lineRule="auto"/>
        <w:ind w:left="720" w:hanging="720"/>
      </w:pPr>
      <w:r w:rsidRPr="00714742">
        <w:t>Dawson, P. C. (2002). Space syntax analysis of Central Inuit snow houses. Journal of Anthropological Archaeology, 21(4), 464-480. https://doi.org/10.1016/S0278-4165(02)00009-0</w:t>
      </w:r>
    </w:p>
    <w:p w14:paraId="0CD2E969" w14:textId="77777777" w:rsidR="00DA7A34" w:rsidRPr="00714742" w:rsidRDefault="00DA7A34" w:rsidP="00DA7A34">
      <w:pPr>
        <w:spacing w:after="140" w:line="276" w:lineRule="auto"/>
        <w:ind w:left="720" w:hanging="720"/>
      </w:pPr>
      <w:r>
        <w:t>Drennan, R. D. (1995). Chiefdoms in northern South America. Journal of World Prehistory, 9(3), 301-340. https://doi.org/10.1007/BF02221116</w:t>
      </w:r>
    </w:p>
    <w:p w14:paraId="12510CFB" w14:textId="77777777" w:rsidR="00DA7A34" w:rsidRPr="00714742" w:rsidRDefault="00DA7A34" w:rsidP="00DA7A34">
      <w:pPr>
        <w:spacing w:after="140" w:line="276" w:lineRule="auto"/>
        <w:ind w:left="720" w:hanging="720"/>
      </w:pPr>
      <w:r w:rsidRPr="00714742">
        <w:t>Drennan, R. D., &amp; Dai, X. (2010). Chiefdoms and states in the Yuncheng Basin and the Chifeng region: A comparative analysis of settlement systems in North China. Journal of Anthropological Archaeology, 29(4), 455-468. https://doi.org/10.1016/j.jaa.2010.08.001</w:t>
      </w:r>
    </w:p>
    <w:p w14:paraId="4A6BB6A0" w14:textId="77777777" w:rsidR="00DA7A34" w:rsidRPr="00714742" w:rsidRDefault="00DA7A34" w:rsidP="00DA7A34">
      <w:pPr>
        <w:spacing w:after="140" w:line="276" w:lineRule="auto"/>
        <w:ind w:left="720" w:hanging="720"/>
      </w:pPr>
      <w:r w:rsidRPr="00714742">
        <w:t>Earle, T. (2016). Pathways to power: Corporate and network strategies, staple and wealth finance, and primary and secondary states. In L. F. Fargher &amp; V. Y. Heredia Espinoza (Eds.), Alternative pathways to complexity: A collection of essays on architecture, economics, power, and cross-cultural analysis in honor of Richard E. Blanton (pp. 291-308). University Press of Colorado. https://doi.org/10.5876/9781607325338.c014</w:t>
      </w:r>
    </w:p>
    <w:p w14:paraId="2149EFDE" w14:textId="77777777" w:rsidR="00DA7A34" w:rsidRPr="00714742" w:rsidRDefault="00DA7A34" w:rsidP="00DA7A34">
      <w:pPr>
        <w:spacing w:after="140" w:line="276" w:lineRule="auto"/>
        <w:ind w:left="720" w:hanging="720"/>
      </w:pPr>
      <w:r w:rsidRPr="00714742">
        <w:t xml:space="preserve">Edwards, M. J. (2013). The configuration of built space at </w:t>
      </w:r>
      <w:proofErr w:type="spellStart"/>
      <w:r w:rsidRPr="00714742">
        <w:t>Pataraya</w:t>
      </w:r>
      <w:proofErr w:type="spellEnd"/>
      <w:r w:rsidRPr="00714742">
        <w:t xml:space="preserve"> and Wari provincial administration in Nasca. Journal of Anthropological Archaeology, 32(4), 565-576. https://doi.org/10.1016/j.jaa.2013.09.004</w:t>
      </w:r>
    </w:p>
    <w:p w14:paraId="2149EFDE" w14:textId="77777777" w:rsidR="00DA7A34" w:rsidRPr="00714742" w:rsidRDefault="00DA7A34" w:rsidP="00DA7A34">
      <w:pPr>
        <w:spacing w:after="140" w:line="276" w:lineRule="auto"/>
        <w:ind w:left="720" w:hanging="720"/>
      </w:pPr>
      <w:proofErr w:type="spellStart"/>
      <w:proofErr w:type="spellEnd"/>
      <w:r>
        <w:t>Fargher, L. F. (2016). Corporate power strategies, collective action, and control of principals: A cross-cultural perspective. In L. F. Fargher &amp; V. Y. Heredia Espinoza (Eds.), Alternative pathways to complexity: A collection of essays on architecture, economics, power, and cross-cultural analysis in honor of Richard E. Blanton (pp. 309-326). University Press of Colorado. https://doi.org/10.5876/9781607325338.c015</w:t>
      </w:r>
    </w:p>
    <w:p w14:paraId="2C83E606" w14:textId="77777777" w:rsidR="00DA7A34" w:rsidRPr="00714742" w:rsidRDefault="00DA7A34" w:rsidP="00DA7A34">
      <w:pPr>
        <w:spacing w:after="140" w:line="276" w:lineRule="auto"/>
        <w:ind w:left="720" w:hanging="720"/>
      </w:pPr>
      <w:r w:rsidRPr="00714742">
        <w:t>Feinman, G. M. (2000). Corporate/network: New perspectives on models of political action and the Puebloan Southwest. In M. B. Schiffer (Ed.), Social theory in archaeology (pp. 31-51). University of Utah Press.</w:t>
      </w:r>
    </w:p>
    <w:p w14:paraId="5B1C4DDE" w14:textId="77777777" w:rsidR="00DA7A34" w:rsidRPr="00714742" w:rsidRDefault="00DA7A34" w:rsidP="00DA7A34">
      <w:pPr>
        <w:spacing w:after="140" w:line="276" w:lineRule="auto"/>
        <w:ind w:left="720" w:hanging="720"/>
      </w:pPr>
      <w:r w:rsidRPr="00714742">
        <w:t>Feinman, G. M. (2001). Mesoamerican political complexity: The corporate-network dimension. In J. Haas (Ed.), From leaders to rulers (pp. 151-175). Kluwer Academic/Plenum Publishers.</w:t>
      </w:r>
    </w:p>
    <w:p w14:paraId="67E427BF" w14:textId="77777777" w:rsidR="00DA7A34" w:rsidRPr="00714742" w:rsidRDefault="00DA7A34" w:rsidP="00DA7A34">
      <w:pPr>
        <w:spacing w:after="140" w:line="276" w:lineRule="auto"/>
        <w:ind w:left="720" w:hanging="720"/>
      </w:pPr>
      <w:r w:rsidRPr="00714742">
        <w:t>Feinman, G. M. (2013). The emergence of social complexity: Why more than population size matters. In D. M. Carballo (Ed.), Cooperation and collective action: Archaeological perspectives (pp. 35-56). University Press of Colorado.</w:t>
      </w:r>
    </w:p>
    <w:p w14:paraId="36D5AC05" w14:textId="77777777" w:rsidR="00DA7A34" w:rsidRPr="00714742" w:rsidRDefault="00DA7A34" w:rsidP="00DA7A34">
      <w:pPr>
        <w:spacing w:after="140" w:line="276" w:lineRule="auto"/>
        <w:ind w:left="720" w:hanging="720"/>
      </w:pPr>
      <w:r w:rsidRPr="00714742">
        <w:lastRenderedPageBreak/>
        <w:t>Ferguson, T. J. (1996). Historic Zuni architecture and society: An archaeological application of space syntax. Anthropological Papers of the University of Arizona, No. 60. University of Arizona Press.</w:t>
      </w:r>
    </w:p>
    <w:p w14:paraId="3E35094B" w14:textId="77777777" w:rsidR="00DA7A34" w:rsidRPr="00714742" w:rsidRDefault="00DA7A34" w:rsidP="00DA7A34">
      <w:pPr>
        <w:spacing w:after="140" w:line="276" w:lineRule="auto"/>
        <w:ind w:left="720" w:hanging="720"/>
      </w:pPr>
      <w:r w:rsidRPr="00714742">
        <w:t>Fisher, K. D. (2009). Placing social interaction: An integrative approach to analyzing past built environments. Journal of Anthropological Archaeology, 28(4), 439-457. https://doi.org/10.1016/j.jaa.2009.09.001</w:t>
      </w:r>
    </w:p>
    <w:p w14:paraId="13B2550B" w14:textId="77777777" w:rsidR="00DA7A34" w:rsidRPr="00714742" w:rsidRDefault="00DA7A34" w:rsidP="00DA7A34">
      <w:pPr>
        <w:spacing w:after="140" w:line="276" w:lineRule="auto"/>
        <w:ind w:left="720" w:hanging="720"/>
      </w:pPr>
      <w:r w:rsidRPr="00714742">
        <w:t>Fladd, S. G. (2017). Social syntax: An approach to spatial modification through the reworking of space syntax for archaeological applications. Journal of Anthropological Archaeology, 47, 127-138. https://doi.org/10.1016/j.jaa.2017.05.002</w:t>
      </w:r>
    </w:p>
    <w:p w14:paraId="3B7555D2" w14:textId="77777777" w:rsidR="00DA7A34" w:rsidRPr="00714742" w:rsidRDefault="00DA7A34" w:rsidP="00DA7A34">
      <w:pPr>
        <w:spacing w:after="140" w:line="276" w:lineRule="auto"/>
        <w:ind w:left="720" w:hanging="720"/>
      </w:pPr>
      <w:r w:rsidRPr="00714742">
        <w:t>Flannery, K. V. (1972). The cultural evolution of civilizations. Annual Review of Ecology and Systematics, 3, 399-426. https://doi.org/10.1146/annurev.es.03.110172.002151</w:t>
      </w:r>
    </w:p>
    <w:p w14:paraId="1F6A366D" w14:textId="77777777" w:rsidR="00DA7A34" w:rsidRPr="00714742" w:rsidRDefault="00DA7A34" w:rsidP="00DA7A34">
      <w:pPr>
        <w:spacing w:after="140" w:line="276" w:lineRule="auto"/>
        <w:ind w:left="720" w:hanging="720"/>
      </w:pPr>
      <w:r w:rsidRPr="00714742">
        <w:t>Foster, S. M. (1989). Analysis of spatial patterns in buildings (gamma analysis) as an insight into social structure: Examples from the Scottish Atlantic Iron Age. Antiquity, 63(238), 40-50.</w:t>
      </w:r>
    </w:p>
    <w:p w14:paraId="48B6C4F8" w14:textId="77777777" w:rsidR="00DA7A34" w:rsidRPr="00714742" w:rsidRDefault="00DA7A34" w:rsidP="00DA7A34">
      <w:pPr>
        <w:spacing w:after="140" w:line="276" w:lineRule="auto"/>
        <w:ind w:left="720" w:hanging="720"/>
      </w:pPr>
      <w:r w:rsidRPr="00714742">
        <w:t xml:space="preserve">Fredrick, D., &amp; </w:t>
      </w:r>
      <w:proofErr w:type="spellStart"/>
      <w:r w:rsidRPr="00714742">
        <w:t>Vennarucci</w:t>
      </w:r>
      <w:proofErr w:type="spellEnd"/>
      <w:r w:rsidRPr="00714742">
        <w:t>, R. G. (2021). Putting space syntax to the test: Digital embodiment and phenomenology in the Roman house. Studies in Digital Heritage (SDH), 4(2), 185-224. https://doi.org/10.14434/sdh.v4i2.31521</w:t>
      </w:r>
    </w:p>
    <w:p w14:paraId="26AF41FA" w14:textId="77777777" w:rsidR="00DA7A34" w:rsidRPr="00714742" w:rsidRDefault="00DA7A34" w:rsidP="00DA7A34">
      <w:pPr>
        <w:spacing w:after="140" w:line="276" w:lineRule="auto"/>
        <w:ind w:left="720" w:hanging="720"/>
      </w:pPr>
      <w:r w:rsidRPr="00714742">
        <w:t>Freeman, J., &amp; Anderies, J. M. (2015). A comparative ethnoarchaeological analysis of corporate territorial ownership. Journal of Archaeological Science, 54, 135-147. https://doi.org/10.1016/j.jas.2014.11.037</w:t>
      </w:r>
    </w:p>
    <w:p w14:paraId="2C82CC2B" w14:textId="77777777" w:rsidR="00DA7A34" w:rsidRPr="00714742" w:rsidRDefault="00DA7A34" w:rsidP="00DA7A34">
      <w:pPr>
        <w:spacing w:after="140" w:line="276" w:lineRule="auto"/>
        <w:ind w:left="720" w:hanging="720"/>
      </w:pPr>
      <w:r w:rsidRPr="00714742">
        <w:t>Fried, M. H. (1967). The evolution of political society: An essay in political anthropology. Random House.</w:t>
      </w:r>
    </w:p>
    <w:p w14:paraId="30DF57E0" w14:textId="77777777" w:rsidR="00DA7A34" w:rsidRPr="00714742" w:rsidRDefault="00DA7A34" w:rsidP="00DA7A34">
      <w:pPr>
        <w:spacing w:after="140" w:line="276" w:lineRule="auto"/>
        <w:ind w:left="720" w:hanging="720"/>
      </w:pPr>
      <w:r w:rsidRPr="00714742">
        <w:t>Furholt, M., Müller-</w:t>
      </w:r>
      <w:proofErr w:type="spellStart"/>
      <w:r w:rsidRPr="00714742">
        <w:t>Scheeßel</w:t>
      </w:r>
      <w:proofErr w:type="spellEnd"/>
      <w:r w:rsidRPr="00714742">
        <w:t xml:space="preserve">, N., Wunderlich, M., </w:t>
      </w:r>
      <w:proofErr w:type="spellStart"/>
      <w:r w:rsidRPr="00714742">
        <w:t>Cheben</w:t>
      </w:r>
      <w:proofErr w:type="spellEnd"/>
      <w:r w:rsidRPr="00714742">
        <w:t xml:space="preserve">, I., &amp; Müller, J. (2020). Communality and discord in an early Neolithic settlement agglomeration: The LBK site of </w:t>
      </w:r>
      <w:proofErr w:type="spellStart"/>
      <w:r w:rsidRPr="00714742">
        <w:t>Vráble</w:t>
      </w:r>
      <w:proofErr w:type="spellEnd"/>
      <w:r w:rsidRPr="00714742">
        <w:t>, Southwest Slovakia. Cambridge Archaeological Journal, 30(3), 469-489. https://doi.org/10.1017/S0959774320000049</w:t>
      </w:r>
    </w:p>
    <w:p w14:paraId="033B0671" w14:textId="77777777" w:rsidR="00DA7A34" w:rsidRPr="00714742" w:rsidRDefault="00DA7A34" w:rsidP="00DA7A34">
      <w:pPr>
        <w:spacing w:after="140" w:line="276" w:lineRule="auto"/>
        <w:ind w:left="720" w:hanging="720"/>
      </w:pPr>
      <w:r w:rsidRPr="00714742">
        <w:t>Gillespie, S. D. (2000). Rethinking ancient Maya social organization: Replacing "lineage" with "house." American Anthropologist, 102(3), 467-484. https://doi.org/10.1525/aa.2000.102.3.467</w:t>
      </w:r>
    </w:p>
    <w:p w14:paraId="033B0671" w14:textId="77777777" w:rsidR="00DA7A34" w:rsidRPr="00714742" w:rsidRDefault="00DA7A34" w:rsidP="00DA7A34">
      <w:pPr>
        <w:spacing w:after="140" w:line="276" w:lineRule="auto"/>
        <w:ind w:left="720" w:hanging="720"/>
      </w:pPr>
      <w:r>
        <w:t>Gyucha, A., &amp; Salisbury, R. B. (Eds.). (2022). The archaeology of nucleation in the Old World: Spatiality, community, and identity. Archaeopress.</w:t>
      </w:r>
    </w:p>
    <w:p w14:paraId="033B0671" w14:textId="77777777" w:rsidR="00DA7A34" w:rsidRPr="00714742" w:rsidRDefault="00DA7A34" w:rsidP="00DA7A34">
      <w:pPr>
        <w:spacing w:after="140" w:line="276" w:lineRule="auto"/>
        <w:ind w:left="720" w:hanging="720"/>
      </w:pPr>
      <w:r>
        <w:t>Hanson, J. (1998). Decoding homes and houses. Cambridge University Press.</w:t>
      </w:r>
    </w:p>
    <w:p w14:paraId="0A72DD45" w14:textId="77777777" w:rsidR="00DA7A34" w:rsidRPr="00714742" w:rsidRDefault="00DA7A34" w:rsidP="00DA7A34">
      <w:pPr>
        <w:spacing w:after="140" w:line="276" w:lineRule="auto"/>
        <w:ind w:left="720" w:hanging="720"/>
      </w:pPr>
      <w:r w:rsidRPr="00714742">
        <w:t>Hayden, B., &amp; Cannon, A. (1982). The corporate group as an archaeological unit. Journal of Anthropological Archaeology, 1(1), 132-158. https://doi.org/10.1016/0278-4165(82)90018-6</w:t>
      </w:r>
    </w:p>
    <w:p w14:paraId="739F46BB" w14:textId="77777777" w:rsidR="00DA7A34" w:rsidRPr="00714742" w:rsidRDefault="00DA7A34" w:rsidP="00DA7A34">
      <w:pPr>
        <w:spacing w:after="140" w:line="276" w:lineRule="auto"/>
        <w:ind w:left="720" w:hanging="720"/>
      </w:pPr>
      <w:proofErr w:type="spellStart"/>
      <w:proofErr w:type="spellEnd"/>
      <w:r>
        <w:t>He, N. (2018). Taosi: An archaeological example of urbanization as a political center in prehistoric China. Archaeological Research in Asia, 14, 20-32. https://doi.org/10.1016/j.ara.2017.03.001</w:t>
      </w:r>
    </w:p>
    <w:p w14:paraId="40695A47" w14:textId="77777777" w:rsidR="00DA7A34" w:rsidRPr="00714742" w:rsidRDefault="00DA7A34" w:rsidP="00DA7A34">
      <w:pPr>
        <w:spacing w:after="140" w:line="276" w:lineRule="auto"/>
        <w:ind w:left="720" w:hanging="720"/>
      </w:pPr>
      <w:r w:rsidRPr="00714742">
        <w:t>Hegmon, M. (2003). Setting theoretical egos aside: Issues and theory in North American archaeology. American Antiquity, 68(2), 213-243. https://doi.org/10.2307/3557080</w:t>
      </w:r>
    </w:p>
    <w:p w14:paraId="24B924FF" w14:textId="77777777" w:rsidR="00DA7A34" w:rsidRPr="00714742" w:rsidRDefault="00DA7A34" w:rsidP="00DA7A34">
      <w:pPr>
        <w:spacing w:after="140" w:line="276" w:lineRule="auto"/>
        <w:ind w:left="720" w:hanging="720"/>
      </w:pPr>
      <w:r w:rsidRPr="00714742">
        <w:t>Hein, A. (2022). Theory and methods of settlement archaeology - the Chinese contribution. World Archaeology, 54(5), 667-679. https://doi.org/10.1080/00438243.2023.2216182</w:t>
      </w:r>
    </w:p>
    <w:p w14:paraId="6DCCFDE3" w14:textId="77777777" w:rsidR="00DA7A34" w:rsidRPr="00714742" w:rsidRDefault="00DA7A34" w:rsidP="00DA7A34">
      <w:pPr>
        <w:spacing w:after="140" w:line="276" w:lineRule="auto"/>
        <w:ind w:left="720" w:hanging="720"/>
      </w:pPr>
      <w:r w:rsidRPr="00714742">
        <w:t xml:space="preserve">Henan Provincial Institute of Cultural Relics and Archaeology. (1999). </w:t>
      </w:r>
      <w:proofErr w:type="spellStart"/>
      <w:r w:rsidRPr="00714742">
        <w:t>Wuyang</w:t>
      </w:r>
      <w:proofErr w:type="spellEnd"/>
      <w:r w:rsidRPr="00714742">
        <w:t xml:space="preserve"> Jiahu [</w:t>
      </w:r>
      <w:proofErr w:type="spellStart"/>
      <w:r w:rsidRPr="00714742">
        <w:rPr>
          <w:rFonts w:ascii="SimSun" w:eastAsia="SimSun" w:hAnsi="SimSun" w:cs="SimSun" w:hint="eastAsia"/>
        </w:rPr>
        <w:t>舞阳贾湖</w:t>
      </w:r>
      <w:proofErr w:type="spellEnd"/>
      <w:r w:rsidRPr="00714742">
        <w:t xml:space="preserve"> / </w:t>
      </w:r>
      <w:proofErr w:type="spellStart"/>
      <w:r w:rsidRPr="00714742">
        <w:t>Jiahu</w:t>
      </w:r>
      <w:proofErr w:type="spellEnd"/>
      <w:r w:rsidRPr="00714742">
        <w:t xml:space="preserve"> of </w:t>
      </w:r>
      <w:proofErr w:type="spellStart"/>
      <w:r w:rsidRPr="00714742">
        <w:t>Wuyang</w:t>
      </w:r>
      <w:proofErr w:type="spellEnd"/>
      <w:r w:rsidRPr="00714742">
        <w:t xml:space="preserve"> County]. Science Press. [In Chinese]</w:t>
      </w:r>
    </w:p>
    <w:p w14:paraId="6C34D098" w14:textId="77777777" w:rsidR="00DA7A34" w:rsidRPr="00714742" w:rsidRDefault="00DA7A34" w:rsidP="00DA7A34">
      <w:pPr>
        <w:spacing w:after="140" w:line="276" w:lineRule="auto"/>
        <w:ind w:left="720" w:hanging="720"/>
      </w:pPr>
      <w:proofErr w:type="spellStart"/>
      <w:proofErr w:type="spellEnd"/>
      <w:proofErr w:type="spellStart"/>
      <w:proofErr w:type="spellEnd"/>
      <w:r>
        <w:t>Hillier, B. (1996). Space is the machine: A configurational theory of architecture. Cambridge University Press.</w:t>
      </w:r>
    </w:p>
    <w:p w14:paraId="41333D0C" w14:textId="77777777" w:rsidR="00DA7A34" w:rsidRPr="00714742" w:rsidRDefault="00DA7A34" w:rsidP="00DA7A34">
      <w:pPr>
        <w:spacing w:after="140" w:line="276" w:lineRule="auto"/>
        <w:ind w:left="720" w:hanging="720"/>
      </w:pPr>
      <w:r w:rsidRPr="00714742">
        <w:t>Hillier, B. (2014). Spatial analysis and cultural information: The need for theory as well as method in space syntax analysis. In E. Paliou, U. Lieberwirth, &amp; S. Polla (Eds.), Spatial analysis and social spaces: Interdisciplinary approaches to the interpretation of prehistoric and historic built environments (pp. 19-48). De Gruyter. https://doi.org/10.1515/9783110266436.19</w:t>
      </w:r>
    </w:p>
    <w:p w14:paraId="65B9C980" w14:textId="77777777" w:rsidR="00DA7A34" w:rsidRPr="00714742" w:rsidRDefault="00DA7A34" w:rsidP="00DA7A34">
      <w:pPr>
        <w:spacing w:after="140" w:line="276" w:lineRule="auto"/>
        <w:ind w:left="720" w:hanging="720"/>
      </w:pPr>
      <w:r w:rsidRPr="00714742">
        <w:t>Hillier, B., &amp; Hanson, J. (1984). The social logic of space. Cambridge University Press.</w:t>
      </w:r>
    </w:p>
    <w:p w14:paraId="65B9C980" w14:textId="77777777" w:rsidR="00DA7A34" w:rsidRPr="00714742" w:rsidRDefault="00DA7A34" w:rsidP="00DA7A34">
      <w:pPr>
        <w:spacing w:after="140" w:line="276" w:lineRule="auto"/>
        <w:ind w:left="720" w:hanging="720"/>
      </w:pPr>
      <w:r>
        <w:t>Holland-Lulewicz, J., Conger, M. A., Birch, J., Kowalewski, S. A., &amp; Jones, T. W. (2020). An institutional approach for archaeology. Journal of Anthropological Archaeology, 58, 101163. https://doi.org/10.1016/j.jaa.2020.101163</w:t>
      </w:r>
    </w:p>
    <w:p w14:paraId="65B9C980" w14:textId="77777777" w:rsidR="00DA7A34" w:rsidRPr="00714742" w:rsidRDefault="00DA7A34" w:rsidP="00DA7A34">
      <w:pPr>
        <w:spacing w:after="140" w:line="276" w:lineRule="auto"/>
        <w:ind w:left="720" w:hanging="720"/>
      </w:pPr>
      <w:r>
        <w:t>Holland-Lulewicz, J., Thompson, V. D., Birch, J., &amp; Grier, C. (2022). Keystone institutions of democratic governance across Indigenous North America. Frontiers in Political Science, 4, 840049. https://doi.org/10.3389/fpos.2022.840049</w:t>
      </w:r>
    </w:p>
    <w:p w14:paraId="23743308" w14:textId="77777777" w:rsidR="00DA7A34" w:rsidRPr="00714742" w:rsidRDefault="00DA7A34" w:rsidP="00DA7A34">
      <w:pPr>
        <w:spacing w:after="140" w:line="276" w:lineRule="auto"/>
        <w:ind w:left="720" w:hanging="720"/>
      </w:pPr>
      <w:r w:rsidRPr="00714742">
        <w:t xml:space="preserve">Hu, D. (2019). Making space under the Inca: A space syntax analysis of a </w:t>
      </w:r>
      <w:proofErr w:type="spellStart"/>
      <w:r w:rsidRPr="00714742">
        <w:t>mitmaq</w:t>
      </w:r>
      <w:proofErr w:type="spellEnd"/>
      <w:r w:rsidRPr="00714742">
        <w:t xml:space="preserve"> settlement in </w:t>
      </w:r>
      <w:proofErr w:type="spellStart"/>
      <w:r w:rsidRPr="00714742">
        <w:t>Vilcas</w:t>
      </w:r>
      <w:proofErr w:type="spellEnd"/>
      <w:r w:rsidRPr="00714742">
        <w:t xml:space="preserve"> Huamán Province, Peru. Antiquity, 93(370), 990-1008. https://doi.org/10.15184/aqy.2019.82</w:t>
      </w:r>
    </w:p>
    <w:p w14:paraId="3BD6733A" w14:textId="77777777" w:rsidR="00DA7A34" w:rsidRPr="00714742" w:rsidRDefault="00DA7A34" w:rsidP="00DA7A34">
      <w:pPr>
        <w:spacing w:after="140" w:line="276" w:lineRule="auto"/>
        <w:ind w:left="720" w:hanging="720"/>
      </w:pPr>
      <w:r w:rsidRPr="00714742">
        <w:t xml:space="preserve">Institute of Archaeology, Chinese Academy of Social Sciences, &amp; Shanxi Provincial </w:t>
      </w:r>
      <w:proofErr w:type="spellStart"/>
      <w:r w:rsidRPr="00714742">
        <w:t>Linfen</w:t>
      </w:r>
      <w:proofErr w:type="spellEnd"/>
      <w:r w:rsidRPr="00714742">
        <w:t xml:space="preserve"> Municipal Bureau of Cultural Relics. (2015). </w:t>
      </w:r>
      <w:proofErr w:type="spellStart"/>
      <w:r w:rsidRPr="00714742">
        <w:t>Xiangfen Taosi: 1978-1985 nian kaogu fajue baogao [襄汾陶寺：1978～1985年考古发掘报告 / Xiangfen Taosi: Report on the 1978-1985 archaeological excavations] (Vols. 1-4). Cultural Relics Press (Wenwu Press). [In Chinese]</w:t>
      </w:r>
      <w:proofErr w:type="spellEnd"/>
      <w:r w:rsidRPr="00714742"/>
    </w:p>
    <w:p w14:paraId="3BD6733A" w14:textId="77777777" w:rsidR="00DA7A34" w:rsidRPr="00714742" w:rsidRDefault="00DA7A34" w:rsidP="00DA7A34">
      <w:pPr>
        <w:spacing w:after="140" w:line="276" w:lineRule="auto"/>
        <w:ind w:left="720" w:hanging="720"/>
      </w:pPr>
      <w:proofErr w:type="spellStart"/>
      <w:proofErr w:type="spellEnd"/>
      <w:proofErr w:type="spellStart"/>
      <w:proofErr w:type="spellEnd"/>
      <w:r>
        <w:t>Johnson, G. A. (1982). Organizational structure and scalar stress. In C. Renfrew, M. J. Rowlands, &amp; B. A. Segraves (Eds.), Theory and explanation in archaeology: The Southampton conference (pp. 389-421). Academic Press.</w:t>
      </w:r>
    </w:p>
    <w:p w14:paraId="2D0F5030" w14:textId="77777777" w:rsidR="00DA7A34" w:rsidRPr="00714742" w:rsidRDefault="00DA7A34" w:rsidP="00DA7A34">
      <w:pPr>
        <w:spacing w:after="140" w:line="276" w:lineRule="auto"/>
        <w:ind w:left="720" w:hanging="720"/>
      </w:pPr>
      <w:r w:rsidRPr="00714742">
        <w:t>Kent, S. (1990). Activity areas and architecture: An interdisciplinary view of the relationship between use of space and domestic built environments. In S. Kent (Ed.), Domestic architecture and the use of space: An interdisciplinary cross-cultural study (pp. 1-8). Cambridge University Press.</w:t>
      </w:r>
    </w:p>
    <w:p w14:paraId="3F840C4B" w14:textId="77777777" w:rsidR="00DA7A34" w:rsidRPr="00714742" w:rsidRDefault="00DA7A34" w:rsidP="00DA7A34">
      <w:pPr>
        <w:spacing w:after="140" w:line="276" w:lineRule="auto"/>
        <w:ind w:left="720" w:hanging="720"/>
      </w:pPr>
      <w:r w:rsidRPr="00714742">
        <w:t>Lawrence, D. L., &amp; Low, S. M. (1990). The built environment and spatial form. Annual Review of Anthropology, 19, 453-505. https://www.jstor.org/stable/2155973</w:t>
      </w:r>
    </w:p>
    <w:p w14:paraId="47D85E54" w14:textId="77777777" w:rsidR="00DA7A34" w:rsidRPr="00714742" w:rsidRDefault="00DA7A34" w:rsidP="00DA7A34">
      <w:pPr>
        <w:spacing w:after="140" w:line="276" w:lineRule="auto"/>
        <w:ind w:left="720" w:hanging="720"/>
      </w:pPr>
      <w:r w:rsidRPr="00714742">
        <w:t>Leach, E. R. (1978). Does space syntax really "constitute the social"? In D. Green, C. Haselgrove, &amp; M. Spriggs (Eds.), Social organisation and settlement: Contributions from anthropology, archaeology and geography (pp. 385-401). British Archaeological Reports (BAR Supplementary Series 47).</w:t>
      </w:r>
    </w:p>
    <w:p w14:paraId="52A7A87D" w14:textId="77777777" w:rsidR="00DA7A34" w:rsidRPr="00714742" w:rsidRDefault="00DA7A34" w:rsidP="00DA7A34">
      <w:pPr>
        <w:spacing w:after="140" w:line="276" w:lineRule="auto"/>
        <w:ind w:left="720" w:hanging="720"/>
      </w:pPr>
      <w:r w:rsidRPr="00714742">
        <w:t xml:space="preserve">Lee, Y. K. (2007). Centripetal settlement and segmentary social formation of the </w:t>
      </w:r>
      <w:proofErr w:type="spellStart"/>
      <w:r w:rsidRPr="00714742">
        <w:t>Banpo</w:t>
      </w:r>
      <w:proofErr w:type="spellEnd"/>
      <w:r w:rsidRPr="00714742">
        <w:t xml:space="preserve"> tradition. Journal of Anthropological Archaeology, 26(4), 630-675. https://doi.org/10.1016/j.jaa.2007.03.001</w:t>
      </w:r>
    </w:p>
    <w:p w14:paraId="04F79370" w14:textId="77777777" w:rsidR="00DA7A34" w:rsidRPr="00714742" w:rsidRDefault="00DA7A34" w:rsidP="00DA7A34">
      <w:pPr>
        <w:spacing w:after="140" w:line="276" w:lineRule="auto"/>
        <w:ind w:left="720" w:hanging="720"/>
      </w:pPr>
      <w:r w:rsidRPr="00714742">
        <w:t xml:space="preserve">Liebmann, M., Ferguson, T. J., &amp; </w:t>
      </w:r>
      <w:proofErr w:type="spellStart"/>
      <w:r w:rsidRPr="00714742">
        <w:t>Preucel</w:t>
      </w:r>
      <w:proofErr w:type="spellEnd"/>
      <w:r w:rsidRPr="00714742">
        <w:t>, R. W. (2005). Pueblo settlement, architecture, and social change in the Pueblo Revolt era, A.D. 1680 to 1696. Journal of Field Archaeology, 30(1), 45-60. https://doi.org/10.1179/009346905791072459</w:t>
      </w:r>
    </w:p>
    <w:p w14:paraId="28DFE2DE" w14:textId="77777777" w:rsidR="00DA7A34" w:rsidRPr="00714742" w:rsidRDefault="00DA7A34" w:rsidP="00DA7A34">
      <w:pPr>
        <w:spacing w:after="140" w:line="276" w:lineRule="auto"/>
        <w:ind w:left="720" w:hanging="720"/>
      </w:pPr>
      <w:r w:rsidRPr="00714742">
        <w:t>Liu, L. (1996). Settlement patterns, chiefdom variability, and the development of early states in North China. Journal of Anthropological Archaeology, 15(3), 237-288. https://doi.org/10.1006/jaar.1996.0010</w:t>
      </w:r>
    </w:p>
    <w:p w14:paraId="300F1473" w14:textId="77777777" w:rsidR="00DA7A34" w:rsidRPr="00714742" w:rsidRDefault="00DA7A34" w:rsidP="00DA7A34">
      <w:pPr>
        <w:spacing w:after="140" w:line="276" w:lineRule="auto"/>
        <w:ind w:left="720" w:hanging="720"/>
      </w:pPr>
      <w:r w:rsidRPr="00714742">
        <w:t>Liu, L. (2004). The Chinese Neolithic: Trajectories to Early States. Cambridge University Press.</w:t>
      </w:r>
    </w:p>
    <w:p w14:paraId="4D90434A" w14:textId="77777777" w:rsidR="00DA7A34" w:rsidRPr="00714742" w:rsidRDefault="00DA7A34" w:rsidP="00DA7A34">
      <w:pPr>
        <w:spacing w:after="140" w:line="276" w:lineRule="auto"/>
        <w:ind w:left="720" w:hanging="720"/>
      </w:pPr>
      <w:r w:rsidRPr="00714742">
        <w:t>Liu, L. (2009). State emergence in early China. Annual Review of Anthropology, 38, 217-232. https://doi.org/10.1146/annurev-anthro-091908-164513</w:t>
      </w:r>
    </w:p>
    <w:p w14:paraId="32723A9C" w14:textId="77777777" w:rsidR="00DA7A34" w:rsidRPr="00714742" w:rsidRDefault="00DA7A34" w:rsidP="00DA7A34">
      <w:pPr>
        <w:spacing w:after="140" w:line="276" w:lineRule="auto"/>
        <w:ind w:left="720" w:hanging="720"/>
      </w:pPr>
      <w:r w:rsidRPr="00714742">
        <w:t>Liu, L., &amp; Chen, X. (2012). The archaeology of China: From the Late Paleolithic to the Early Bronze Age</w:t>
      </w:r>
      <w:proofErr w:type="spellStart"/>
      <w:r w:rsidRPr="00714742"/>
      <w:proofErr w:type="spellEnd"/>
      <w:r w:rsidRPr="00714742">
        <w:t>. Cambridge University Press. https://doi.org/10.1017/CBO9781139015301</w:t>
      </w:r>
    </w:p>
    <w:p w14:paraId="633F4C82" w14:textId="77777777" w:rsidR="00DA7A34" w:rsidRPr="00714742" w:rsidRDefault="00DA7A34" w:rsidP="00DA7A34">
      <w:pPr>
        <w:spacing w:after="140" w:line="276" w:lineRule="auto"/>
        <w:ind w:left="720" w:hanging="720"/>
      </w:pPr>
      <w:r w:rsidRPr="00714742">
        <w:t xml:space="preserve">Liu, L., Chen, X., Lee, Y. K., Wright, H., &amp; Rosen, A. (2002). Settlement Patterns and Development of Social Complexity in the </w:t>
      </w:r>
      <w:proofErr w:type="spellStart"/>
      <w:r w:rsidRPr="00714742">
        <w:t>Yiluo</w:t>
      </w:r>
      <w:proofErr w:type="spellEnd"/>
      <w:r w:rsidRPr="00714742">
        <w:t xml:space="preserve"> Region, North China. Journal of Field Archaeology, 29(1/2), 75-100.</w:t>
      </w:r>
    </w:p>
    <w:p w14:paraId="0E670F44" w14:textId="77777777" w:rsidR="00DA7A34" w:rsidRPr="00714742" w:rsidRDefault="00DA7A34" w:rsidP="00DA7A34">
      <w:pPr>
        <w:spacing w:after="140" w:line="276" w:lineRule="auto"/>
        <w:ind w:left="720" w:hanging="720"/>
      </w:pPr>
      <w:r w:rsidRPr="00714742">
        <w:t xml:space="preserve">Liu, L., Chen, X., Wright, H., Xu, H., Li, Y., Chen, G., Zhao, H., Kim, H., &amp; Lee, G.-A. (2019). Rise and fall of complex societies in the </w:t>
      </w:r>
      <w:proofErr w:type="spellStart"/>
      <w:r w:rsidRPr="00714742">
        <w:t>Yiluo</w:t>
      </w:r>
      <w:proofErr w:type="spellEnd"/>
      <w:r w:rsidRPr="00714742">
        <w:t xml:space="preserve"> region, North China: The spatial and temporal changes. Quaternary International, 521, 4-15. https://doi.org/10.1016/j.quaint.2019.05.025</w:t>
      </w:r>
    </w:p>
    <w:p w14:paraId="22C156BB" w14:textId="77777777" w:rsidR="00DA7A34" w:rsidRPr="00714742" w:rsidRDefault="00DA7A34" w:rsidP="00DA7A34">
      <w:pPr>
        <w:spacing w:after="140" w:line="276" w:lineRule="auto"/>
        <w:ind w:left="720" w:hanging="720"/>
      </w:pPr>
      <w:r w:rsidRPr="00714742">
        <w:t>Manzanilla, L. R. (2015). Cooperation and tensions in multiethnic corporate societies using Teotihuacan, Central Mexico, as a case study. Proceedings of the National Academy of Sciences, 112(30), 9210-9215. https://doi.org/10.1073/pnas.1419881112</w:t>
      </w:r>
    </w:p>
    <w:p w14:paraId="22C156BB" w14:textId="77777777" w:rsidR="00DA7A34" w:rsidRPr="00714742" w:rsidRDefault="00DA7A34" w:rsidP="00DA7A34">
      <w:pPr>
        <w:spacing w:after="140" w:line="276" w:lineRule="auto"/>
        <w:ind w:left="720" w:hanging="720"/>
      </w:pPr>
      <w:r>
        <w:t>McIntosh, S. K. (Ed.). (1999). Beyond chiefdoms: Pathways to complexity in Africa. Cambridge University Press.</w:t>
      </w:r>
    </w:p>
    <w:p w14:paraId="6E291228" w14:textId="77777777" w:rsidR="00DA7A34" w:rsidRPr="00714742" w:rsidRDefault="00DA7A34" w:rsidP="00DA7A34">
      <w:pPr>
        <w:spacing w:after="140" w:line="276" w:lineRule="auto"/>
        <w:ind w:left="720" w:hanging="720"/>
      </w:pPr>
      <w:r w:rsidRPr="00714742">
        <w:t>Meng, D., &amp; Zhang, J. (2025). The evolution of space syntax over the past two decades: evidence from China. Journal of Asian Architecture and Building Engineering, 24(5), 4606-4624. https://doi.org/10.1080/13467581.2024.2399739</w:t>
      </w:r>
    </w:p>
    <w:p w14:paraId="38AA7AA6" w14:textId="77777777" w:rsidR="00DA7A34" w:rsidRPr="00714742" w:rsidRDefault="00DA7A34" w:rsidP="00DA7A34">
      <w:pPr>
        <w:spacing w:after="140" w:line="276" w:lineRule="auto"/>
        <w:ind w:left="720" w:hanging="720"/>
      </w:pPr>
      <w:r w:rsidRPr="00714742">
        <w:t>Monroe, J. C. (2010). Power by design: Architecture and politics in precolonial Dahomey. Journal of Social Archaeology, 10(3), 367-397. https://doi.org/10.1177/1469605310378959</w:t>
      </w:r>
    </w:p>
    <w:p w14:paraId="7F2FFE5A" w14:textId="77777777" w:rsidR="00DA7A34" w:rsidRPr="00714742" w:rsidRDefault="00DA7A34" w:rsidP="00DA7A34">
      <w:pPr>
        <w:spacing w:after="140" w:line="276" w:lineRule="auto"/>
        <w:ind w:left="720" w:hanging="720"/>
      </w:pPr>
      <w:r w:rsidRPr="00714742">
        <w:t>Moore, J. D. (1996). Architecture and power in the ancient Andes: The archaeology of public buildings. Cambridge University Press.</w:t>
      </w:r>
    </w:p>
    <w:p w14:paraId="6F3DD0E8" w14:textId="77777777" w:rsidR="00DA7A34" w:rsidRPr="00714742" w:rsidRDefault="00DA7A34" w:rsidP="00DA7A34">
      <w:pPr>
        <w:spacing w:after="140" w:line="276" w:lineRule="auto"/>
        <w:ind w:left="720" w:hanging="720"/>
      </w:pPr>
      <w:r w:rsidRPr="00714742">
        <w:t xml:space="preserve">Morton, S. G., </w:t>
      </w:r>
      <w:proofErr w:type="spellStart"/>
      <w:r w:rsidRPr="00714742">
        <w:t>Peuramaki</w:t>
      </w:r>
      <w:proofErr w:type="spellEnd"/>
      <w:r w:rsidRPr="00714742">
        <w:t>-Brown, M. M., Dawson, P. C., &amp; Seibert, J. D. (2012). Civic and household community relationships at Teotihuacan, Mexico: A space syntax approach. Cambridge Archaeological Journal, 22(3), 387-400. https://doi.org/10.1017/S0959774312000467</w:t>
      </w:r>
    </w:p>
    <w:p w14:paraId="31844B0B" w14:textId="77777777" w:rsidR="00DA7A34" w:rsidRPr="00714742" w:rsidRDefault="00DA7A34" w:rsidP="00DA7A34">
      <w:pPr>
        <w:spacing w:after="140" w:line="276" w:lineRule="auto"/>
        <w:ind w:left="720" w:hanging="720"/>
      </w:pPr>
      <w:r w:rsidRPr="00714742">
        <w:t xml:space="preserve">Osborne, J. F., &amp; Summers, G. D. (2014). Visibility graph analysis and monumentality in the Iron Age city at </w:t>
      </w:r>
      <w:proofErr w:type="spellStart"/>
      <w:r w:rsidRPr="00714742">
        <w:t>Kerkenes</w:t>
      </w:r>
      <w:proofErr w:type="spellEnd"/>
      <w:r w:rsidRPr="00714742">
        <w:t xml:space="preserve"> in Central Turkey. Journal of Field Archaeology, 39(3), 292-309. https://doi.org/10.1179/0093469014Z.00000000089</w:t>
      </w:r>
    </w:p>
    <w:p w14:paraId="3B3FBB17" w14:textId="77777777" w:rsidR="00DA7A34" w:rsidRPr="00714742" w:rsidRDefault="00DA7A34" w:rsidP="00DA7A34">
      <w:pPr>
        <w:spacing w:after="140" w:line="276" w:lineRule="auto"/>
        <w:ind w:left="720" w:hanging="720"/>
      </w:pPr>
      <w:r w:rsidRPr="00714742">
        <w:t>Peterson, C. E., &amp; Drennan, R. D. (2012). Patterned variation in regional trajectories of community growth. In M. E. Smith (Ed.), The comparative archaeology of complex societies (pp. 88-137). Cambridge University Press. https://doi.org/10.1017/CBO9781139022712.008</w:t>
      </w:r>
    </w:p>
    <w:p w14:paraId="16F92FE2" w14:textId="77777777" w:rsidR="00DA7A34" w:rsidRPr="00714742" w:rsidRDefault="00DA7A34" w:rsidP="00DA7A34">
      <w:pPr>
        <w:spacing w:after="140" w:line="276" w:lineRule="auto"/>
        <w:ind w:left="720" w:hanging="720"/>
      </w:pPr>
      <w:r w:rsidRPr="00714742">
        <w:lastRenderedPageBreak/>
        <w:t xml:space="preserve">Peterson, C. E., &amp; Shelach, G. (2012). </w:t>
      </w:r>
      <w:proofErr w:type="spellStart"/>
      <w:r w:rsidRPr="00714742">
        <w:t>Jiangzhai</w:t>
      </w:r>
      <w:proofErr w:type="spellEnd"/>
      <w:r w:rsidRPr="00714742">
        <w:t>: Social and economic organization of a Middle Neolithic Chinese village. Journal of Anthropological Archaeology, 31(3), 265-301.</w:t>
      </w:r>
    </w:p>
    <w:p w14:paraId="70AEB25D" w14:textId="77777777" w:rsidR="00DA7A34" w:rsidRPr="00714742" w:rsidRDefault="00DA7A34" w:rsidP="00DA7A34">
      <w:pPr>
        <w:spacing w:after="140" w:line="276" w:lineRule="auto"/>
        <w:ind w:left="720" w:hanging="720"/>
      </w:pPr>
      <w:r>
        <w:t>Peterson, C. E., Drennan, R. D., &amp; Bartel, K. L. (2016). Comparative analysis of Neolithic household artifact assemblage data from Northern China. Journal of Anthropological Research, 72(2), 200-225.</w:t>
      </w:r>
    </w:p>
    <w:p w14:paraId="78FD7BA3" w14:textId="77777777" w:rsidR="00DA7A34" w:rsidRPr="00714742" w:rsidRDefault="00DA7A34" w:rsidP="00DA7A34">
      <w:pPr>
        <w:spacing w:after="140" w:line="276" w:lineRule="auto"/>
        <w:ind w:left="720" w:hanging="720"/>
      </w:pPr>
      <w:r w:rsidRPr="00714742">
        <w:t>Rapoport, A. (1990). Systems of activities and systems of settings. In S. Kent (Ed.), Domestic architecture and the use of space: An interdisciplinary cross-cultural study (pp. 9-20). Cambridge University Press.</w:t>
      </w:r>
    </w:p>
    <w:p w14:paraId="2F7D24F6" w14:textId="77777777" w:rsidR="00DA7A34" w:rsidRPr="00714742" w:rsidRDefault="00DA7A34" w:rsidP="00DA7A34">
      <w:pPr>
        <w:spacing w:after="140" w:line="276" w:lineRule="auto"/>
        <w:ind w:left="720" w:hanging="720"/>
      </w:pPr>
      <w:r w:rsidRPr="00714742">
        <w:t>Renfrew, C. (1974). Beyond a subsistence economy: The evolution of social organization in prehistoric Europe. In C. B. Moore (Ed.), Reconstructing complex societies: An archaeological colloquium (pp. 69-84). Supplement to the Bulletin of the American Schools of Oriental Research 20.</w:t>
      </w:r>
    </w:p>
    <w:p w14:paraId="2F7D24F6" w14:textId="77777777" w:rsidR="00DA7A34" w:rsidRPr="00714742" w:rsidRDefault="00DA7A34" w:rsidP="00DA7A34">
      <w:pPr>
        <w:spacing w:after="140" w:line="276" w:lineRule="auto"/>
        <w:ind w:left="720" w:hanging="720"/>
      </w:pPr>
      <w:r>
        <w:t>Schiffer, M. B. (1987). Formation processes of the archaeological record. University of New Mexico Press.</w:t>
      </w:r>
    </w:p>
    <w:p w14:paraId="6EFFB7DF" w14:textId="77777777" w:rsidR="00DA7A34" w:rsidRPr="00714742" w:rsidRDefault="00DA7A34" w:rsidP="00DA7A34">
      <w:pPr>
        <w:spacing w:after="140" w:line="276" w:lineRule="auto"/>
        <w:ind w:left="720" w:hanging="720"/>
      </w:pPr>
      <w:r w:rsidRPr="00714742">
        <w:t>Service, E. R. (1962). Primitive social organization: An evolutionary perspective. Random House.</w:t>
      </w:r>
    </w:p>
    <w:p w14:paraId="633DE34A" w14:textId="77777777" w:rsidR="00DA7A34" w:rsidRPr="00714742" w:rsidRDefault="00DA7A34" w:rsidP="00DA7A34">
      <w:pPr>
        <w:spacing w:after="140" w:line="276" w:lineRule="auto"/>
        <w:ind w:left="720" w:hanging="720"/>
      </w:pPr>
      <w:r>
        <w:t>Shelach, G. (2006). Economic adaptation, community structure, and sharing strategies of households at early sedentary communities in northeast China. Journal of Anthropological Archaeology, 25(3), 318-345.</w:t>
      </w:r>
    </w:p>
    <w:p w14:paraId="584582B2" w14:textId="77777777" w:rsidR="00DA7A34" w:rsidRPr="00714742" w:rsidRDefault="00DA7A34" w:rsidP="00DA7A34">
      <w:pPr>
        <w:spacing w:after="140" w:line="276" w:lineRule="auto"/>
        <w:ind w:left="720" w:hanging="720"/>
      </w:pPr>
      <w:r>
        <w:t>Smith, M. E. (2011). Empirical urban theory for archaeologists. Journal of Archaeological Method and Theory, 18(3), 167-192. https://doi.org/10.1007/s10816-010-9097-5</w:t>
      </w:r>
    </w:p>
    <w:p w14:paraId="7DB3C751" w14:textId="77777777" w:rsidR="00DA7A34" w:rsidRPr="00714742" w:rsidRDefault="00DA7A34" w:rsidP="00DA7A34">
      <w:pPr>
        <w:spacing w:after="140" w:line="276" w:lineRule="auto"/>
        <w:ind w:left="720" w:hanging="720"/>
      </w:pPr>
      <w:r w:rsidRPr="00714742">
        <w:t xml:space="preserve">Song, J., &amp; Zhang, Y. (2022). Study on the spatial characteristics of prehistoric settlement sites based on spatial syntax: Taking Lower </w:t>
      </w:r>
      <w:proofErr w:type="spellStart"/>
      <w:r w:rsidRPr="00714742">
        <w:t>Xiajiadian</w:t>
      </w:r>
      <w:proofErr w:type="spellEnd"/>
      <w:r w:rsidRPr="00714742">
        <w:t xml:space="preserve"> culture as an example. China Ancient City, 36(6), 36-43. https://doi.org/10.19924/j.cnki.1674-4144.2022.06.005. [In Chinese]</w:t>
      </w:r>
    </w:p>
    <w:p w14:paraId="74F27AC3" w14:textId="77777777" w:rsidR="00DA7A34" w:rsidRPr="00714742" w:rsidRDefault="00DA7A34" w:rsidP="00DA7A34">
      <w:pPr>
        <w:spacing w:after="140" w:line="276" w:lineRule="auto"/>
        <w:ind w:left="720" w:hanging="720"/>
      </w:pPr>
      <w:r w:rsidRPr="00714742">
        <w:t>Steadman, S. R. (2000). Spatial patterning and social complexity on prehistoric Anatolian tell sites: Models for mounds. Journal of Anthropological Archaeology, 19(2), 164-199. https://doi.org/10.1006/jaar.2000.0363</w:t>
      </w:r>
    </w:p>
    <w:p w14:paraId="155C934A" w14:textId="77777777" w:rsidR="00DA7A34" w:rsidRPr="00714742" w:rsidRDefault="00DA7A34" w:rsidP="00DA7A34">
      <w:pPr>
        <w:spacing w:after="140" w:line="276" w:lineRule="auto"/>
        <w:ind w:left="720" w:hanging="720"/>
      </w:pPr>
      <w:r w:rsidRPr="00714742">
        <w:t>Stockett, M. K. (2005). Approaching social practice through access analysis at Las Canoas, Honduras. Latin American Antiquity, 16(4), 385-407. https://doi.org/10.2307/30042506</w:t>
      </w:r>
    </w:p>
    <w:p w14:paraId="1B8B2885" w14:textId="77777777" w:rsidR="00DA7A34" w:rsidRPr="00714742" w:rsidRDefault="00DA7A34" w:rsidP="00DA7A34">
      <w:pPr>
        <w:spacing w:after="140" w:line="276" w:lineRule="auto"/>
        <w:ind w:left="720" w:hanging="720"/>
      </w:pPr>
      <w:r w:rsidRPr="00714742">
        <w:t>Stone, T. (2000). Prehistoric community integration in the Point of Pines region of Arizona. Journal of Field Archaeology, 27(2), 197-208. https://doi.org/10.1179/jfa.2000.27.2.197</w:t>
      </w:r>
    </w:p>
    <w:p w14:paraId="449E375B" w14:textId="77777777" w:rsidR="00DA7A34" w:rsidRPr="00714742" w:rsidRDefault="00DA7A34" w:rsidP="00DA7A34">
      <w:pPr>
        <w:spacing w:after="140" w:line="276" w:lineRule="auto"/>
        <w:ind w:left="720" w:hanging="720"/>
      </w:pPr>
      <w:r w:rsidRPr="00714742">
        <w:t>Trubitt, M. B. D. (2000). Mound building and prestige goods exchange: Changing strategies in the Cahokia chiefdom. American Antiquity, 65(4), 669-690. https://doi.org/10.2307/2694421</w:t>
      </w:r>
    </w:p>
    <w:p w14:paraId="04BE6B04" w14:textId="77777777" w:rsidR="00DA7A34" w:rsidRPr="00714742" w:rsidRDefault="00DA7A34" w:rsidP="00DA7A34">
      <w:pPr>
        <w:spacing w:after="140" w:line="276" w:lineRule="auto"/>
        <w:ind w:left="720" w:hanging="720"/>
      </w:pPr>
      <w:r w:rsidRPr="00714742">
        <w:t xml:space="preserve">Tu, D., Shelach-Lavi, G., &amp; Fung, Y.-T. (2022). Economy, sharing strategies and community structure in the early Neolithic village of </w:t>
      </w:r>
      <w:proofErr w:type="spellStart"/>
      <w:r w:rsidRPr="00714742">
        <w:t>Chahai</w:t>
      </w:r>
      <w:proofErr w:type="spellEnd"/>
      <w:r w:rsidRPr="00714742">
        <w:t>, Northeast China. Journal of Anthropological Archaeology, 67, 101420. https://doi.org/10.1016/j.jaa.2022.101420</w:t>
      </w:r>
    </w:p>
    <w:p w14:paraId="04BE6B04" w14:textId="77777777" w:rsidR="00DA7A34" w:rsidRPr="00714742" w:rsidRDefault="00DA7A34" w:rsidP="00DA7A34">
      <w:pPr>
        <w:spacing w:after="140" w:line="276" w:lineRule="auto"/>
        <w:ind w:left="720" w:hanging="720"/>
      </w:pPr>
      <w:proofErr w:type="spellStart"/>
      <w:proofErr w:type="spellEnd"/>
      <w:r>
        <w:t>Turner, A., Doxa, M., O'Sullivan, D., &amp; Penn, A. (2001). From isovists to visibility graphs: A methodology for the analysis of architectural space. Environment and Planning B: Planning and Design, 28(1), 103-121. https://doi.org/10.1068/b2684</w:t>
      </w:r>
    </w:p>
    <w:p w14:paraId="04BE6B04" w14:textId="77777777" w:rsidR="00DA7A34" w:rsidRPr="00714742" w:rsidRDefault="00DA7A34" w:rsidP="00DA7A34">
      <w:pPr>
        <w:spacing w:after="140" w:line="276" w:lineRule="auto"/>
        <w:ind w:left="720" w:hanging="720"/>
      </w:pPr>
      <w:proofErr w:type="spellStart"/>
      <w:proofErr w:type="spellEnd"/>
      <w:r>
        <w:t>Turner, A., &amp; Penn, A. (2002). Encoding natural movement as an agent-based system: An investigation into human pedestrian behaviour in the built environment. Environment and Planning B: Planning and Design, 29(4), 473-490. https://doi.org/10.1068/b12850</w:t>
      </w:r>
    </w:p>
    <w:p w14:paraId="181C1A79" w14:textId="77777777" w:rsidR="00DA7A34" w:rsidRPr="00714742" w:rsidRDefault="00DA7A34" w:rsidP="00DA7A34">
      <w:pPr>
        <w:spacing w:after="140" w:line="276" w:lineRule="auto"/>
        <w:ind w:left="720" w:hanging="720"/>
      </w:pPr>
      <w:r w:rsidRPr="00714742">
        <w:t>Underhill, A. P. (1997). Current issues in Chinese Neolithic archaeology. Journal of World Prehistory, 11(2), 103-160. https://doi.org/10.1007/BF02221203</w:t>
      </w:r>
    </w:p>
    <w:p w14:paraId="09305945" w14:textId="77777777" w:rsidR="00DA7A34" w:rsidRPr="00714742" w:rsidRDefault="00DA7A34" w:rsidP="00DA7A34">
      <w:pPr>
        <w:spacing w:after="140" w:line="276" w:lineRule="auto"/>
        <w:ind w:left="720" w:hanging="720"/>
      </w:pPr>
      <w:r w:rsidRPr="00714742">
        <w:t>Underhill, A. P., Feinman, G. M., Nicholas, L. M., Fang, H., Luan, F., Yu, H., &amp; Cai, F. (2008). Changes in regional settlement patterns and the development of complex societies in southeastern Shandong, China. Journal of Anthropological Archaeology, 27(1), 1-29. https://doi.org/10.1016/j.jaa.2006.11.002</w:t>
      </w:r>
    </w:p>
    <w:p w14:paraId="1EDD6038" w14:textId="77777777" w:rsidR="00DA7A34" w:rsidRPr="00714742" w:rsidRDefault="00DA7A34" w:rsidP="00DA7A34">
      <w:pPr>
        <w:spacing w:after="140" w:line="276" w:lineRule="auto"/>
        <w:ind w:left="720" w:hanging="720"/>
      </w:pPr>
      <w:r w:rsidRPr="00714742">
        <w:t>Van Dyke, R. M. (1999). Space syntax analysis at the Chacoan outlier of Guadalupe. American Antiquity, 64(3), 461-473. https://doi.org/10.2307/2694146</w:t>
      </w:r>
    </w:p>
    <w:p w14:paraId="2DC10801" w14:textId="77777777" w:rsidR="00DA7A34" w:rsidRPr="00714742" w:rsidRDefault="00DA7A34" w:rsidP="00DA7A34">
      <w:pPr>
        <w:spacing w:after="140" w:line="276" w:lineRule="auto"/>
        <w:ind w:left="720" w:hanging="720"/>
      </w:pPr>
      <w:r w:rsidRPr="00714742">
        <w:t xml:space="preserve">van Nes, A., &amp; </w:t>
      </w:r>
      <w:proofErr w:type="spellStart"/>
      <w:r w:rsidRPr="00714742">
        <w:t>Yamu</w:t>
      </w:r>
      <w:proofErr w:type="spellEnd"/>
      <w:r w:rsidRPr="00714742">
        <w:t>, C. (2021). Introduction to space syntax in urban studies. Springer. https://doi.org/10.1007/978-3-030-59140-3</w:t>
      </w:r>
    </w:p>
    <w:p w14:paraId="615CE906" w14:textId="77777777" w:rsidR="00DA7A34" w:rsidRPr="00714742" w:rsidRDefault="00DA7A34" w:rsidP="00DA7A34">
      <w:pPr>
        <w:spacing w:after="140" w:line="276" w:lineRule="auto"/>
        <w:ind w:left="720" w:hanging="720"/>
      </w:pPr>
      <w:r w:rsidRPr="00714742">
        <w:t xml:space="preserve">Wernke, S. A. (2012). Spatial network analysis of a terminal </w:t>
      </w:r>
      <w:proofErr w:type="spellStart"/>
      <w:r w:rsidRPr="00714742">
        <w:t>prehispanic</w:t>
      </w:r>
      <w:proofErr w:type="spellEnd"/>
      <w:r w:rsidRPr="00714742">
        <w:t xml:space="preserve"> and early colonial settlement in highland Peru. Journal of Archaeological Science, 39(4), 1111-1122. https://doi.org/10.1016/j.jas.2011.12.014</w:t>
      </w:r>
    </w:p>
    <w:p w14:paraId="615CE906" w14:textId="77777777" w:rsidR="00DA7A34" w:rsidRPr="00714742" w:rsidRDefault="00DA7A34" w:rsidP="00DA7A34">
      <w:pPr>
        <w:spacing w:after="140" w:line="276" w:lineRule="auto"/>
        <w:ind w:left="720" w:hanging="720"/>
      </w:pPr>
      <w:proofErr w:type="spellStart"/>
      <w:proofErr w:type="spellEnd"/>
      <w:r>
        <w:t>Xi'an Banpo Museum, Shaanxi Provincial Institute of Archaeology, and Lintong County Museum. (1988). Jiangzhai: Xinshiqi shidai yizhi fajue baogao [姜寨：新石器时代遗址发掘报告 / Jiangzhai: Excavation report of a Neolithic site]. Wenwu Press (Cultural Relics Publishing House). [In Chinese]</w:t>
      </w:r>
    </w:p>
    <w:p w14:paraId="44648324" w14:textId="77777777" w:rsidR="00DA7A34" w:rsidRPr="00714742" w:rsidRDefault="00DA7A34" w:rsidP="00DA7A34">
      <w:pPr>
        <w:spacing w:after="140" w:line="276" w:lineRule="auto"/>
        <w:ind w:left="720" w:hanging="720"/>
      </w:pPr>
      <w:r w:rsidRPr="00714742">
        <w:t>Yan, W. M. (1997a). Settlement archaeology and the study of prehistoric societies. Cultural Relics, (6), 27-35. [In Chinese]</w:t>
      </w:r>
    </w:p>
    <w:p w14:paraId="5F07CE7F" w14:textId="77777777" w:rsidR="00DA7A34" w:rsidRPr="00714742" w:rsidRDefault="00DA7A34" w:rsidP="00DA7A34">
      <w:pPr>
        <w:spacing w:after="140" w:line="276" w:lineRule="auto"/>
        <w:ind w:left="720" w:hanging="720"/>
      </w:pPr>
      <w:r w:rsidRPr="00714742">
        <w:t>Yan, W. M. (1997b). Recent advances in settlement archaeology. Archaeology and Cultural Relics, (2), 35-39. [In Chinese]</w:t>
      </w:r>
    </w:p>
    <w:p w14:paraId="4989D6D9" w14:textId="77777777" w:rsidR="00DA7A34" w:rsidRPr="00714742" w:rsidRDefault="00DA7A34" w:rsidP="00DA7A34">
      <w:pPr>
        <w:spacing w:after="140" w:line="276" w:lineRule="auto"/>
        <w:ind w:left="720" w:hanging="720"/>
      </w:pPr>
      <w:proofErr w:type="spellStart"/>
      <w:proofErr w:type="spellEnd"/>
      <w:r>
        <w:t>Zhang, J., &amp; Cui, Q. (2013). The Jiahu site in the Huai River Area. In A. P. Underhill (Ed.), A Companion to Chinese Archaeology (pp. 194-212). Wiley-Blackwell. https://doi.org/10.1002/9781118325698.ch10</w:t>
      </w:r>
    </w:p>
    <w:p w14:paraId="5DE1C56D" w14:textId="206FD760" w:rsidR="000B472B" w:rsidRPr="00714742" w:rsidRDefault="000B472B" w:rsidP="00DA7A34"/>
    <w:sectPr w:rsidR="000B472B" w:rsidRPr="00714742" w:rsidSect="00DA7A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13F"/>
    <w:multiLevelType w:val="hybridMultilevel"/>
    <w:tmpl w:val="F4FADAA6"/>
    <w:lvl w:ilvl="0" w:tplc="9E246396">
      <w:start w:val="1"/>
      <w:numFmt w:val="bullet"/>
      <w:lvlText w:val="•"/>
      <w:lvlJc w:val="left"/>
      <w:pPr>
        <w:ind w:left="720" w:hanging="360"/>
      </w:pPr>
    </w:lvl>
    <w:lvl w:ilvl="1" w:tplc="0D62ACF8">
      <w:start w:val="1"/>
      <w:numFmt w:val="bullet"/>
      <w:lvlText w:val="◦"/>
      <w:lvlJc w:val="left"/>
      <w:pPr>
        <w:ind w:left="1080" w:hanging="360"/>
      </w:pPr>
    </w:lvl>
    <w:lvl w:ilvl="2" w:tplc="496E6FAE">
      <w:numFmt w:val="decimal"/>
      <w:lvlText w:val=""/>
      <w:lvlJc w:val="left"/>
    </w:lvl>
    <w:lvl w:ilvl="3" w:tplc="03B2466A">
      <w:numFmt w:val="decimal"/>
      <w:lvlText w:val=""/>
      <w:lvlJc w:val="left"/>
    </w:lvl>
    <w:lvl w:ilvl="4" w:tplc="A6A45CE4">
      <w:numFmt w:val="decimal"/>
      <w:lvlText w:val=""/>
      <w:lvlJc w:val="left"/>
    </w:lvl>
    <w:lvl w:ilvl="5" w:tplc="150A7EDE">
      <w:numFmt w:val="decimal"/>
      <w:lvlText w:val=""/>
      <w:lvlJc w:val="left"/>
    </w:lvl>
    <w:lvl w:ilvl="6" w:tplc="8F3ED622">
      <w:numFmt w:val="decimal"/>
      <w:lvlText w:val=""/>
      <w:lvlJc w:val="left"/>
    </w:lvl>
    <w:lvl w:ilvl="7" w:tplc="71DC7EA8">
      <w:numFmt w:val="decimal"/>
      <w:lvlText w:val=""/>
      <w:lvlJc w:val="left"/>
    </w:lvl>
    <w:lvl w:ilvl="8" w:tplc="9640BBDE">
      <w:numFmt w:val="decimal"/>
      <w:lvlText w:val=""/>
      <w:lvlJc w:val="left"/>
    </w:lvl>
  </w:abstractNum>
  <w:abstractNum w:abstractNumId="1" w15:restartNumberingAfterBreak="0">
    <w:nsid w:val="3BB83F4F"/>
    <w:multiLevelType w:val="hybridMultilevel"/>
    <w:tmpl w:val="DED08F6E"/>
    <w:lvl w:ilvl="0" w:tplc="E78A60AA">
      <w:start w:val="1"/>
      <w:numFmt w:val="bullet"/>
      <w:lvlText w:val="•"/>
      <w:lvlJc w:val="left"/>
      <w:pPr>
        <w:ind w:left="720" w:hanging="360"/>
      </w:pPr>
    </w:lvl>
    <w:lvl w:ilvl="1" w:tplc="E4064BB4">
      <w:start w:val="1"/>
      <w:numFmt w:val="bullet"/>
      <w:lvlText w:val="◦"/>
      <w:lvlJc w:val="left"/>
      <w:pPr>
        <w:ind w:left="1080" w:hanging="360"/>
      </w:pPr>
    </w:lvl>
    <w:lvl w:ilvl="2" w:tplc="8DD81554">
      <w:numFmt w:val="decimal"/>
      <w:lvlText w:val=""/>
      <w:lvlJc w:val="left"/>
    </w:lvl>
    <w:lvl w:ilvl="3" w:tplc="86E21A9E">
      <w:numFmt w:val="decimal"/>
      <w:lvlText w:val=""/>
      <w:lvlJc w:val="left"/>
    </w:lvl>
    <w:lvl w:ilvl="4" w:tplc="69101DA4">
      <w:numFmt w:val="decimal"/>
      <w:lvlText w:val=""/>
      <w:lvlJc w:val="left"/>
    </w:lvl>
    <w:lvl w:ilvl="5" w:tplc="968AB85E">
      <w:numFmt w:val="decimal"/>
      <w:lvlText w:val=""/>
      <w:lvlJc w:val="left"/>
    </w:lvl>
    <w:lvl w:ilvl="6" w:tplc="A51E052A">
      <w:numFmt w:val="decimal"/>
      <w:lvlText w:val=""/>
      <w:lvlJc w:val="left"/>
    </w:lvl>
    <w:lvl w:ilvl="7" w:tplc="99A6FAD0">
      <w:numFmt w:val="decimal"/>
      <w:lvlText w:val=""/>
      <w:lvlJc w:val="left"/>
    </w:lvl>
    <w:lvl w:ilvl="8" w:tplc="AFE2F536">
      <w:numFmt w:val="decimal"/>
      <w:lvlText w:val=""/>
      <w:lvlJc w:val="left"/>
    </w:lvl>
  </w:abstractNum>
  <w:abstractNum w:abstractNumId="2" w15:restartNumberingAfterBreak="0">
    <w:nsid w:val="3D26211C"/>
    <w:multiLevelType w:val="hybridMultilevel"/>
    <w:tmpl w:val="B390252A"/>
    <w:lvl w:ilvl="0" w:tplc="0C6839B0">
      <w:start w:val="1"/>
      <w:numFmt w:val="bullet"/>
      <w:lvlText w:val="●"/>
      <w:lvlJc w:val="left"/>
      <w:pPr>
        <w:ind w:left="720" w:hanging="360"/>
      </w:pPr>
    </w:lvl>
    <w:lvl w:ilvl="1" w:tplc="841A7BC6">
      <w:start w:val="1"/>
      <w:numFmt w:val="bullet"/>
      <w:lvlText w:val="○"/>
      <w:lvlJc w:val="left"/>
      <w:pPr>
        <w:ind w:left="1440" w:hanging="360"/>
      </w:pPr>
    </w:lvl>
    <w:lvl w:ilvl="2" w:tplc="F190D266">
      <w:start w:val="1"/>
      <w:numFmt w:val="bullet"/>
      <w:lvlText w:val="■"/>
      <w:lvlJc w:val="left"/>
      <w:pPr>
        <w:ind w:left="2160" w:hanging="360"/>
      </w:pPr>
    </w:lvl>
    <w:lvl w:ilvl="3" w:tplc="11E4B302">
      <w:start w:val="1"/>
      <w:numFmt w:val="bullet"/>
      <w:lvlText w:val="●"/>
      <w:lvlJc w:val="left"/>
      <w:pPr>
        <w:ind w:left="2880" w:hanging="360"/>
      </w:pPr>
    </w:lvl>
    <w:lvl w:ilvl="4" w:tplc="D77C3FAE">
      <w:start w:val="1"/>
      <w:numFmt w:val="bullet"/>
      <w:lvlText w:val="○"/>
      <w:lvlJc w:val="left"/>
      <w:pPr>
        <w:ind w:left="3600" w:hanging="360"/>
      </w:pPr>
    </w:lvl>
    <w:lvl w:ilvl="5" w:tplc="88C6AA0A">
      <w:start w:val="1"/>
      <w:numFmt w:val="bullet"/>
      <w:lvlText w:val="■"/>
      <w:lvlJc w:val="left"/>
      <w:pPr>
        <w:ind w:left="4320" w:hanging="360"/>
      </w:pPr>
    </w:lvl>
    <w:lvl w:ilvl="6" w:tplc="C82A9672">
      <w:start w:val="1"/>
      <w:numFmt w:val="bullet"/>
      <w:lvlText w:val="●"/>
      <w:lvlJc w:val="left"/>
      <w:pPr>
        <w:ind w:left="5040" w:hanging="360"/>
      </w:pPr>
    </w:lvl>
    <w:lvl w:ilvl="7" w:tplc="3F6EE2BE">
      <w:start w:val="1"/>
      <w:numFmt w:val="bullet"/>
      <w:lvlText w:val="●"/>
      <w:lvlJc w:val="left"/>
      <w:pPr>
        <w:ind w:left="5760" w:hanging="360"/>
      </w:pPr>
    </w:lvl>
    <w:lvl w:ilvl="8" w:tplc="491656B6">
      <w:start w:val="1"/>
      <w:numFmt w:val="bullet"/>
      <w:lvlText w:val="●"/>
      <w:lvlJc w:val="left"/>
      <w:pPr>
        <w:ind w:left="6480" w:hanging="360"/>
      </w:pPr>
    </w:lvl>
  </w:abstractNum>
  <w:num w:numId="1" w16cid:durableId="1929263801">
    <w:abstractNumId w:val="2"/>
    <w:lvlOverride w:ilvl="0">
      <w:startOverride w:val="1"/>
    </w:lvlOverride>
  </w:num>
  <w:num w:numId="2" w16cid:durableId="1956986467">
    <w:abstractNumId w:val="1"/>
    <w:lvlOverride w:ilvl="0">
      <w:startOverride w:val="1"/>
    </w:lvlOverride>
  </w:num>
  <w:num w:numId="3" w16cid:durableId="1719209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72B"/>
    <w:rsid w:val="000B472B"/>
    <w:rsid w:val="00277A2F"/>
    <w:rsid w:val="00714742"/>
    <w:rsid w:val="007A707F"/>
    <w:rsid w:val="00B976C4"/>
    <w:rsid w:val="00C06BEA"/>
    <w:rsid w:val="00DA7A34"/>
    <w:rsid w:val="00E46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172995"/>
  <w15:docId w15:val="{736E9CDF-07AA-8F47-9646-40659B3BA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25</Pages>
  <Words>9128</Words>
  <Characters>52036</Characters>
  <Application>Microsoft Office Word</Application>
  <DocSecurity>0</DocSecurity>
  <Lines>433</Lines>
  <Paragraphs>122</Paragraphs>
  <ScaleCrop>false</ScaleCrop>
  <Company/>
  <LinksUpToDate>false</LinksUpToDate>
  <CharactersWithSpaces>61042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Rui Bai</cp:lastModifiedBy>
  <cp:revision>7</cp:revision>
  <dcterms:created xsi:type="dcterms:W3CDTF">2026-06-11T01:13:00Z</dcterms:created>
  <dcterms:modified xsi:type="dcterms:W3CDTF">2026-06-11T16:38:00Z</dcterms:modified>
</cp:coreProperties>
</file>