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Methods</w:t>
      </w:r>
    </w:p>
    <w:p>
      <w:r>
        <w:t>The framework chapter closed with a table of falsifiable expectations and three competing hypotheses. This chapter states how those expectations are evaluated against the published records of Jiahu, Jiangzhai, and Taosi: what the data are, how they are prepared, which analyses run on them, and under what statistical discipline the results will be read. The completed analysis of Jiangzhai Phase I (Bai, in preparation) serves throughout as the reference implementation of the protocol. Its procedures have been executed end to end on real report data, its parameter choices are the defaults adopted here, and its robustness checks define the standard the other two sites must meet. The chapter generalizes that implementation to Jiahu and Taosi and states explicitly, at each step, where differences in preservation and excavation coverage require the protocol to be adapted, restricted, or withheld.</w:t>
      </w:r>
    </w:p>
    <w:p>
      <w:r>
        <w:t>One principle governs the whole chapter: the protocol is held constant and the data are graded, never the reverse. Where a site cannot meet a prerequisite, the affected cell of Table 1 is not diluted to fit. It is evaluated with the methods that remain licensed, or explicitly withheld, following the scope conditions stated at the close of the framework chapter. Comparability across the three sites is therefore secured by construction, and every departure from the reference implementation is documented as such. Sections 1 through 5 present the design, the data, the configurational battery, the functional analysis, and the statistics; Section 6 consolidates the three site protocols; Section 7 states how results aggregate into the hypothesis tests; Section 8 covers reproducibility.</w:t>
      </w:r>
    </w:p>
    <w:p>
      <w:pPr>
        <w:pStyle w:val="Heading1"/>
      </w:pPr>
      <w:r>
        <w:t>1. Research Design: From Hypothesis Table to Measurement Protocol</w:t>
      </w:r>
    </w:p>
    <w:p>
      <w:pPr>
        <w:pStyle w:val="Heading2"/>
      </w:pPr>
      <w:r>
        <w:t>1.1 Hypothesis-First Measurement</w:t>
      </w:r>
    </w:p>
    <w:p>
      <w:r>
        <w:t>The design is hypothesis-first. Before any measurement, each of the ten tendencies of Table 1 stands as a pair of opposed, falsifiable expectations, corporate and network (Blanton et al., 1996; Feinman, 2000), each bound to named measures, and the two readings of each cell fail under opposite outcomes. The chapter therefore contains no exploratory license. Every test reported in the results chapters traces to a pre-declared cell of Table 1, every metric was fixed before the data were consulted, and a result that fits no expectation is reported as such rather than accommodated after the fact. This was the working discipline of the Jiangzhai study, where the expectations were stated in advance and the central finding, a decoupling of spatial centrality from material accumulation, was accepted because it survived every attempt to dissolve it, not because it had been anticipated.</w:t>
      </w:r>
    </w:p>
    <w:p>
      <w:pPr>
        <w:pStyle w:val="Heading2"/>
      </w:pPr>
      <w:r>
        <w:t>1.2 Convergence Across Independent Methods</w:t>
      </w:r>
    </w:p>
    <w:p>
      <w:r>
        <w:t>No single spatial model of an open Neolithic settlement is beyond challenge. A justified graph depends on how adjacency is defined; a visibility graph depends on boundary assumptions; an axial map of a village without streets depends on how its lines are generated. The design absorbs this by deriving its force from convergence rather than from any one model: four configurational methods resting on different assumptions (Section 3), joined to functional evidence of independent origin (Section 4), evaluated under common statistics (Section 5). Agreement among methods marks a property of the plan rather than an artifact of one model. Disagreement localizes which assumption is doing the work, and it is reported as a finding rather than smoothed away. This is the operational form of the convergence rule of the framework, and it extends the same logic that governs evidence classes there to the analytical methods themselves.</w:t>
      </w:r>
    </w:p>
    <w:p>
      <w:pPr>
        <w:pStyle w:val="Heading2"/>
      </w:pPr>
      <w:r>
        <w:t>1.3 Constant Protocol over Tiered Data</w:t>
      </w:r>
    </w:p>
    <w:p>
      <w:r>
        <w:t>The three sites enter the analysis at unequal completeness, and the design absorbs this by tiering the data, not by bending the protocol. Tier 1 is a georeferenceable village plan with feature-level provenience across most of the occupied area: Jiangzhai Phase I. Tier 2 is a substantial but discontinuous, multi-phase exposure: Jiahu. Tier 3 is a large site known from targeted excavation plus systematic coring, where settlement-scale structure and excavated precincts are documented at different resolutions: Taosi. Each method in Sections 3 through 5 carries a prerequisite statement, following the standard set in the critical methodological literature (Cutting, 2003, 2006), and Table M1 in Section 6 records, cell by cell, which prerequisites each site meets. All three scales of the framework, building or household, cluster or neighborhood, and settlement, are analyzed wherever the record licenses them; the scales are established levels of configurational analysis down to the individual dwelling (Hanson, 1998), and their separation is what allows strategies to be assessed independently at each (Manzanilla, 2015).</w:t>
      </w:r>
    </w:p>
    <w:p>
      <w:pPr>
        <w:pStyle w:val="Heading1"/>
      </w:pPr>
      <w:r>
        <w:t>2. Data Sources, Digitization, and Pre-Analysis Assessment</w:t>
      </w:r>
    </w:p>
    <w:p>
      <w:pPr>
        <w:pStyle w:val="Heading2"/>
      </w:pPr>
      <w:r>
        <w:t>2.1 Published Sources</w:t>
      </w:r>
    </w:p>
    <w:p>
      <w:r>
        <w:t>All data derive from published excavation reports and subsequent published results; no unpublished archival material is required. For Jiangzhai, the final report (Xi'an Banpo Museum et al., 1988) supplies the settlement plan and the feature registers, supplemented by the household-scale literature that has already quantified parts of the record (Lee, 2007; Peterson &amp; Shelach, 2012). For Jiahu, the two-volume final report (Henan Provincial Institute of Cultural Relics and Archaeology, 1999) documents houses, storage pits, and burials with feature-level provenience across three occupation sub-phases, with the synthetic literature providing chronology and context (Zhang &amp; Cui, 2013). For Taosi, the 1978-1985 report (Institute of Archaeology, Chinese Academy of Social Sciences, &amp; Shanxi Provincial Linfen Municipal Bureau of Cultural Relics, 2015) documents residential remains and the large Early-period cemetery, while the walled circuits (Early town ca. 56 ha; Middle town ca. 280 ha), the palatial precinct (ca. 13 ha), and the special-function areas rest on later coring and targeted excavation published at coarser spatial resolution (He, 2018; Liu &amp; Chen, 2012). These two resolutions of the Taosi record are kept apart in the database and are never silently merged; the distinction structures the entire Taosi protocol in Section 6.3.</w:t>
      </w:r>
    </w:p>
    <w:p>
      <w:pPr>
        <w:pStyle w:val="Heading2"/>
      </w:pPr>
      <w:r>
        <w:t>2.2 Digitization Workflow</w:t>
      </w:r>
    </w:p>
    <w:p>
      <w:r>
        <w:t>Plans are georeferenced and digitized into a structured spatial database: one polygon or point per architectural or feature unit, one row per unit in linked registers for houses, storage pits, burials, and other features, with the reports' own identifiers preserved as persistent keys so that every analytical record can be traced to its published source. Artifact records are held at two resolutions, artifact-level entries carrying type, sub-type, quantity, and provenience, and unit-level aggregates.</w:t>
      </w:r>
    </w:p>
    <w:p>
      <w:r>
        <w:t>The Jiangzhai implementation defines the standard for this work and illustrates its scale. There, the digitized dataset comprised 70 Phase I houses with usable plans and coordinates plus the central plaza, 71 spatial nodes in all; 295 registered Phase I storage pits, of which 122 could be georeferenced against the published plan; and 174 burials from the cemetery zones east of the ditch. Registers were reconciled against report tables before analysis and duplicate register numbers resolved. Units lacking usable dimensions were excluded rather than imputed: house areas were computed from recorded diameters or lengths and widths according to plan form, and houses preserving neither were dropped from area-based analyses rather than estimated. The match between digitized geometry and register entries was verified by coordinate matching, with a mean matching error of 0.18 m. The same conventions, exclusion over imputation, register reconciliation, and verified matching, apply at Jiahu and Taosi. At Jiahu, house floor plans are more often incomplete than at Jiangzhai, so the exclusion rule will remove a larger fraction of units, and the surviving sample size is reported for every analysis together with its consequences for statistical power (Section 5.4). At Taosi, digitization proceeds separately for the contiguously excavated precincts, at feature resolution, and for the settlement-scale skeleton of walls, gates, road corridors, and functional zones, at zone resolution.</w:t>
      </w:r>
    </w:p>
    <w:p>
      <w:pPr>
        <w:pStyle w:val="Heading2"/>
      </w:pPr>
      <w:r>
        <w:t>2.3 Openings, Boundaries, and Contemporaneity</w:t>
      </w:r>
    </w:p>
    <w:p>
      <w:r>
        <w:t>Three classes of assumption are declared before any analysis, per the prerequisite standard (Cutting, 2003, 2006) and with attention to histories of modification and reuse (Fladd, 2017).</w:t>
      </w:r>
    </w:p>
    <w:p>
      <w:r>
        <w:t>Openings. Documented doorway positions are used where the report records them; at Jiangzhai, 38 doorway positions anchor one of the axial constructions of Section 3.4, and the orientation of doorways toward the plaza stands as an independent line of evidence about the maintained order of the village. Analyses that depend on doorways are always run alongside doorway-independent constructions, so that no result rests on undocumented openings.</w:t>
      </w:r>
    </w:p>
    <w:p>
      <w:r>
        <w:t>Boundaries. Analysis extents follow the excavated or reliably cored perimeter, the ditch at Jiangzhai, the exposure edges at Jiahu, the walls and cored circuits at Taosi, and edge effects are checked through the buffer sensitivity analyses of Section 5.4.</w:t>
      </w:r>
    </w:p>
    <w:p>
      <w:r>
        <w:t>Contemporaneity. Each analysis names the occupation phase it addresses and treats that phase as a maintained spatial order, a palimpsest of some duration, rather than a single synchronic moment. The Jiangzhai study is explicit on this point: Phase I spans generations, its 70 houses were not all simultaneously occupied, and the configurational results are therefore read as properties of an order reproduced across the phase rather than as a snapshot. The sensitivity of specific coefficient values to occupation simultaneity is acknowledged as a limit, and finer intra-phase chronology (cf. Lee, 2007) is the natural refinement path. At Jiahu, the occupation divides into three sub-phases, and the full battery is run per sub-phase wherever unit counts license it, pooled only with explicit justification. At Taosi, the Early, Middle, and Late periods differ structurally, in walling, palatial construction, and a destruction episode, so no cross-period pooling is permitted, and the diachronic comparison of RQ2 uses the periods as separate analytical units.</w:t>
      </w:r>
    </w:p>
    <w:p>
      <w:pPr>
        <w:pStyle w:val="Heading2"/>
      </w:pPr>
      <w:r>
        <w:t>2.4 Formation-Process Assessment</w:t>
      </w:r>
    </w:p>
    <w:p>
      <w:r>
        <w:t>Before any functional reading, each dataset receives an explicit formation-process assessment (Schiffer, 1987): the recovery and recording practices of the excavation, the mode of abandonment, post-depositional disturbance, and the biases these impose on artifact presence and density. On the activity side, assemblages must be shown to reflect the organization of activities rather than depositional accident before any functional interpretation, the founding caution of activity-area research (Binford, 1978; Carr, 1984).</w:t>
      </w:r>
    </w:p>
    <w:p>
      <w:r>
        <w:t>Two features of these records demand particular care. The first is zero-inflation. At Jiangzhai, more than half of the analyzed houses carried no recorded indoor artifacts at all, a property of the record that the statistics of Section 5 accommodate through rank-based and zero-aware procedures rather than ignore. The second is the temptation to read preservation gradients as social patterns. The Jiangzhai study developed a three-part argument against preservation-only explanations that is adopted here as a template: artifact-empty and artifact-rich units interleave across centrality tiers rather than zoning together, as a preservation gradient would produce; the same organizational pattern replicates across independent spatial measures, which a recording artifact would have to mimic in each; and the pattern recurs in feature classes with different recording histories. Where these checks cannot be run, the affected functional readings are qualified accordingly, and no absolute claim is made about the function of any single unit.</w:t>
      </w:r>
    </w:p>
    <w:p>
      <w:pPr>
        <w:pStyle w:val="Heading1"/>
      </w:pPr>
      <w:r>
        <w:t>3. Configurational Analysis: The Space Syntax Battery</w:t>
      </w:r>
    </w:p>
    <w:p>
      <w:r>
        <w:t>Four configurational methods are run on every licensed analytical extent. Each rests on different assumptions about what connects spaces, which is the point of running all four: agreement among them marks a property of the plan, not an artifact of one model (Hillier &amp; Hanson, 1984; Hillier, 1996; Bafna, 2003; van Nes &amp; Yamu, 2021). The software stack follows the reference implementation: depthmapX for visibility and agent analyses (Varoudis, 2012), and a Python environment (ezdxf, scipy, networkx, scikit-learn, pandas) for graph construction, measures, and statistics.</w:t>
      </w:r>
    </w:p>
    <w:p>
      <w:pPr>
        <w:pStyle w:val="Heading2"/>
      </w:pPr>
      <w:r>
        <w:t>3.1 Justified-Graph Analysis on Discrete-Unit Graphs</w:t>
      </w:r>
    </w:p>
    <w:p>
      <w:r>
        <w:t>Open settlements without continuous party walls do not admit the convex-map partition of classical building-scale syntax, so spatial units, dwellings, communal structures, and open-space nodes, are modeled as the nodes of a graph. Adjacency is defined by Delaunay triangulation of unit centroids, a construction chosen because it is fully reproducible and requires no arbitrary distance threshold; at Jiangzhai this yielded a network of 71 nodes and 198 edges. On this graph, each node receives the standard measures. Connectivity is the count of directly adjacent nodes. Total depth is the sum of shortest topological distances to all other nodes, from which mean depth follows as MD = TD/(n-1), relative asymmetry as RA = 2(MD-1)/(n-2), and Integration as the reciprocal of RA, so that higher Integration marks positions more accessible from the system as a whole. Control sums, over a node's neighbors, the reciprocal of each neighbor's connectivity, capturing local gatekeeping capacity. Choice is betweenness centrality, the frequency with which a node lies on shortest paths between other pairs. Local Integration repeats the Integration computation within radius 3. Intelligibility is the coefficient of determination of the correlation between Connectivity and global Integration across all nodes: the degree to which what can be seen locally predicts position in the whole, and therefore whether the system's order is learnable by its inhabitants.</w:t>
      </w:r>
    </w:p>
    <w:p>
      <w:pPr>
        <w:pStyle w:val="Heading2"/>
      </w:pPr>
      <w:r>
        <w:t>3.2 Visibility Graph Analysis</w:t>
      </w:r>
    </w:p>
    <w:p>
      <w:r>
        <w:t>A visibility graph is computed over the open space within the analysis boundary, with architecture standing as visual barrier, following the method of Turner et al. (2001) as implemented in depthmapX. Grid-point values are brought to unit level as the mean visual connectivity within a 15 m buffer of each unit, a radius chosen at Jiangzhai to capture the immediate forecourt of a dwelling, with 10 m and 20 m buffers retained as sensitivity checks. The visual core of a settlement is defined as the centroid of the top-decile connectivity cells, and each unit additionally receives its distance to that core and a tertile visibility band, open, transitional, or enclosed. Because the buffer default reflects Jiangzhai's building density, the radii are recalibrated on the digitized plan before analysis at Taosi, whose open spaces and inter-feature distances are larger, and declared in advance under the same three-radius sensitivity design.</w:t>
      </w:r>
    </w:p>
    <w:p>
      <w:pPr>
        <w:pStyle w:val="Heading2"/>
      </w:pPr>
      <w:r>
        <w:t>3.3 Agent-Based Movement Analysis</w:t>
      </w:r>
    </w:p>
    <w:p>
      <w:r>
        <w:t>Movement potential is estimated by releasing one thousand agents onto the visibility graph in depthmapX, following the exosomatic visual architecture model of Turner and Penn (2002), in which agents walk with visually biased randomness, orienting toward more open fields of view. Per-cell gate counts accumulate the number of agent passages, and each unit receives the summed gate count within a 10 m buffer as its movement-density value. The measure operationalizes the passage-frequency expectations of the legitimation and wealth rows of Table 1: it identifies the spaces that capture disproportionate through-movement under natural movement, without assuming any particular destination structure.</w:t>
      </w:r>
    </w:p>
    <w:p>
      <w:pPr>
        <w:pStyle w:val="Heading2"/>
      </w:pPr>
      <w:r>
        <w:t>3.4 Axial and Segment Analysis under Explicit Construction Assumptions</w:t>
      </w:r>
    </w:p>
    <w:p>
      <w:r>
        <w:t>Villages without streets offer no self-evident axial map, and rather than pretend otherwise, the protocol generates axial models under three declared constructions and reports them as a set. Construction A takes the Voronoi skeleton of open space, a neutral model of equidistant corridors between buildings. Construction B connects documented doorway positions by Delaunay triangulation, a model of intentional orientation. Construction C combines the two. Each line set receives axial Integration, Choice, and Control, and each is re-run as angular segment analysis, in which the cost of movement is turning angle rather than topological step, so that the topological and the angular readings of the same construction can be compared. Line values reach units through the same buffer convention as the grid-based methods. Convergence across the three constructions demonstrates that a result does not depend on the network assumption; divergence localizes exactly which assumption produces it. One warning from the reference implementation is carried forward as a standing check: doorway-based Delaunay constructions can return very high intelligibility as a mathematical property of the triangulation rather than a fact about the settlement, so intelligibility values from construction B are never interpreted in isolation.</w:t>
      </w:r>
    </w:p>
    <w:p>
      <w:r>
        <w:t>At Jiahu, doorway documentation is sparser than at Jiangzhai, and construction B may be infeasible for some sub-phases; constructions A and C then carry the sensitivity design, and the restriction is recorded in Table M1. At Taosi, the axial and segment family is the primary settlement-scale instrument, run on the skeleton of walls, gates, and road corridors established by coring and excavation; where segments of that skeleton are uncertain, the plausible alternatives are analyzed as competing constructions in the same spirit, so that reconstruction uncertainty becomes part of the sensitivity design rather than a silent assumption.</w:t>
      </w:r>
    </w:p>
    <w:p>
      <w:pPr>
        <w:pStyle w:val="Heading1"/>
      </w:pPr>
      <w:r>
        <w:t>4. Activity Zone Analysis and Feature Datasets</w:t>
      </w:r>
    </w:p>
    <w:p>
      <w:pPr>
        <w:pStyle w:val="Heading2"/>
      </w:pPr>
      <w:r>
        <w:t>4.1 Artifact Classification</w:t>
      </w:r>
    </w:p>
    <w:p>
      <w:r>
        <w:t>Artifact classes follow the classification note of Table 1: network-associated and corporate-associated classes are held constant across the three sites, with per-site register adjustments documented, and the assignments follow the tradition of household-assemblage analysis in Chinese Neolithic archaeology (Feinman, 2000; Shelach, 2006; Peterson et al., 2016; Tu et al., 2022). For unit-level analysis, artifacts aggregate to functional classes, at Jiangzhai: ceramics, lithics, fauna, flora, and prestige goods, and the functional domains of domestic activity, production, storage, and ritual organize zone interpretation, in the activity-area tradition (Binford, 1978; Kent, 1990; Rapoport, 1990). Diagnostic value is read jointly from type and context, per the framework's third rule of evidence: no class carries a fixed strategic meaning independent of its distribution.</w:t>
      </w:r>
    </w:p>
    <w:p>
      <w:pPr>
        <w:pStyle w:val="Heading2"/>
      </w:pPr>
      <w:r>
        <w:t>4.2 Standardization and Indices</w:t>
      </w:r>
    </w:p>
    <w:p>
      <w:r>
        <w:t>Counts are standardized before comparison. Unit-level densities are computed per square meter of floor or feature area, so that small and large spaces compare on intensity rather than bulk; unit richness counts the classes present; and any composite index is declared, with fixed weights, before analysis. Sparsity is respected: classes too thin to test are excluded from formal testing rather than forced, as at Jiangzhai, where prestige goods, represented indoors by a single copper fragment, and flora were reported descriptively but not tested. Zero-inflation rates are reported per class and carried into the statistical design.</w:t>
      </w:r>
    </w:p>
    <w:p>
      <w:pPr>
        <w:pStyle w:val="Heading2"/>
      </w:pPr>
      <w:r>
        <w:t>4.3 Zone Classification and Local Clustering</w:t>
      </w:r>
    </w:p>
    <w:p>
      <w:r>
        <w:t>Two unsupervised partitions serve different questions. K-means clustering on standardized artifact composition classifies units into activity types, asking whether the settlement contains functionally distinct kinds of household or structure. K-means on coordinates recovers spatial clusters, asking whether materially distinctive units gather in particular sectors; at Jiangzhai the spatial partition at k = 5 corresponds to the five residential groups of the published plan, allowing the report's qualitative grouping to function as a quantitative unit of analysis. Local concentrations are screened with the Getis-Ord Gi* statistic (Getis &amp; Ord, 1992). Partition quality is validated by silhouette values and by robustness across initialization and linkage choices, and unstable partitions are reported as unstable rather than reified.</w:t>
      </w:r>
    </w:p>
    <w:p>
      <w:pPr>
        <w:pStyle w:val="Heading2"/>
      </w:pPr>
      <w:r>
        <w:t>4.4 Storage and Mortuary Datasets</w:t>
      </w:r>
    </w:p>
    <w:p>
      <w:r>
        <w:t>Two feature datasets extend the analysis beyond the dwelling. Storage-pit registers are analyzed for capacity inequality, for morphological structure through hierarchical clustering of standardized dimensions and contents with silhouette validation, and for spatial placement, tested against complete spatial randomness by Monte Carlo simulation of pit-to-nearest-house distances within the occupied area. At Jiangzhai this design showed storage embedded among ordinary houses, closer to dwellings than chance placement would put it, and it transfers to Jiahu directly. At Taosi the same questions address the contrast between palace-attached and residential storage.</w:t>
      </w:r>
    </w:p>
    <w:p>
      <w:r>
        <w:t>Mortuary data are analyzed as measures of differentiation rather than wealth, following the caution of the mortuary literature (Goldstein, 1981; Chapman, 1990). Grave-good distributions receive Gini coefficients and coefficients of variation with bootstrap confidence intervals; rare valuables are handled by interval estimation rather than sparse-cell tests; and the linkage of burials to residential units is attempted only where the record licenses it. Here the three sites differ instructively. At Jiangzhai, the cemetery zones cannot be securely tied to specific residential groups, so their differences are reported as context rather than as political structure. At Jiahu, burials lie among the houses and are sub-phased, permitting a genuinely spatial mortuary analysis, the one respect in which Jiahu exceeds the reference case, and the mortuary row of Table 1 gains a configurational test there. At Taosi, the cemetery is large, strongly differentiated, and only partially published at burial level, so mortuary analysis proceeds on the published subsample with an explicit assessment of selection bias, and settlement-scale configurational values are linked to grave-good distributions interpretively, as Table 1 specifies.</w:t>
      </w:r>
    </w:p>
    <w:p>
      <w:pPr>
        <w:pStyle w:val="Heading1"/>
      </w:pPr>
      <w:r>
        <w:t>5. Joining Configuration to Function: Statistical Protocol</w:t>
      </w:r>
    </w:p>
    <w:p>
      <w:pPr>
        <w:pStyle w:val="Heading2"/>
      </w:pPr>
      <w:r>
        <w:t>5.1 Matching and the Choice of Statistics</w:t>
      </w:r>
    </w:p>
    <w:p>
      <w:r>
        <w:t>Configurational values and functional records are joined by coordinate matching into one analysis table per site and scale. Rank-based statistics are the default throughout, for reasons the data impose rather than convention suggests: artifact variables in these records are non-normal, heavily zero-inflated, and carry extreme values, so Spearman's rho serves as the primary measure of association, with Kendall's tau computed alongside as a confirmatory alternative. At Jiangzhai, thirty-seven of forty-four analysis variables failed normality testing, and the choice was not close.</w:t>
      </w:r>
    </w:p>
    <w:p>
      <w:pPr>
        <w:pStyle w:val="Heading2"/>
      </w:pPr>
      <w:r>
        <w:t>5.2 The Test Battery, Row by Row</w:t>
      </w:r>
    </w:p>
    <w:p>
      <w:r>
        <w:t>Each statistic in the protocol exists to answer one organizational question from Table 1, as fixed in the framework's note on analytical methods. Spearman's rho between syntactic centrality, Integration, Choice, or Control, and artifact-class density tests whether movement structure and accumulation are coupled, the network expectation, or decoupled, the corporate expectation. The coefficient of variation of Choice and Control values measures whether gatekeeping capacity is concentrated in few spaces or broadly shared. The Kruskal-Wallis test evaluates whether Integration differs among residential clusters, that is, whether any cluster occupies a systematically privileged position in the access structure. Step-depth comparison measures the topological distance from each cluster to the communal nodes, symmetry indicating comparable access from all segments. Intelligibility, as defined in Section 3.1, measures whether global structure is learnable from local observation. Gini and CV of grave goods measure the concentration of mortuary investment. Agent gate counts identify spaces capturing disproportionate through-movement, and the alignment or dissociation of VGA visual integration with Integration tests whether visually prominent spaces are also physically accessible. The reference implementation crossed nine configurational measures with four artifact measures, thirty-six tests in all, and that crossing defines the template; each site's crossing is declared before analysis, with sparse classes excluded in advance.</w:t>
      </w:r>
    </w:p>
    <w:p>
      <w:pPr>
        <w:pStyle w:val="Heading2"/>
      </w:pPr>
      <w:r>
        <w:t>5.3 Error Control</w:t>
      </w:r>
    </w:p>
    <w:p>
      <w:r>
        <w:t>Families of related tests are controlled twice. Screening attends only to coefficients significant at p &lt; 0.01, and each family then receives both Bonferroni and Benjamini-Hochberg correction (Benjamini &amp; Hochberg, 1995), with corrected and uncorrected results reported side by side so the reader can see what survives each standard. In the Jiangzhai battery, one of thirty-six associations reached the uncorrected threshold and none survived correction, a result reported in exactly those terms.</w:t>
      </w:r>
    </w:p>
    <w:p>
      <w:pPr>
        <w:pStyle w:val="Heading2"/>
      </w:pPr>
      <w:r>
        <w:t>5.4 Robustness and the Negative-Result Protocol</w:t>
      </w:r>
    </w:p>
    <w:p>
      <w:r>
        <w:t>Any headline result, and above all any claimed decoupling, carries the robustness battery validated at Jiangzhai: bootstrap confidence intervals from 2,000 resamples; permutation tests of 10,000 iterations; the Kendall alternative; re-estimation on the artifact-bearing subsample alone; buffer-radius sensitivity at 10, 15, and 20 m; network-construction sensitivity across the axial constructions A, B, and C; and a power analysis stating which effect sizes the sample could and could not have detected. The last is what disciplines negative claims. With samples the size of a Neolithic village, small effects are undetectable, and the protocol therefore never claims their absence; what it can claim, when nine methods agree, every confidence interval spans zero, and power for moderate effects is high, is that coefficients are small and consistent across all methods, which is the form in which the Jiangzhai decoupling was asserted. A null that has survived this battery is a finding; a null that has not is a gap in the evidence, and the two are never conflated.</w:t>
      </w:r>
    </w:p>
    <w:p>
      <w:pPr>
        <w:pStyle w:val="Heading2"/>
      </w:pPr>
      <w:r>
        <w:t>5.5 Convergence Bookkeeping</w:t>
      </w:r>
    </w:p>
    <w:p>
      <w:r>
        <w:t>Results are logged in a cross-method convergence matrix per site and scale. Each Table 1 row receives an outcome of corporate, network, mixed, or withheld per method, and only method-convergent outcomes enter the strategy profile that answers RQ1. Misalignment is carried forward as organizational heterogeneity, per the framework's convergence rule, and the matrices are published with the results so that the profile's evidential basis is auditable cell by cell.</w:t>
      </w:r>
    </w:p>
    <w:p>
      <w:pPr>
        <w:pStyle w:val="Heading1"/>
      </w:pPr>
      <w:r>
        <w:t>6. Site Protocols and Data-Completeness Adaptations</w:t>
      </w:r>
    </w:p>
    <w:p>
      <w:pPr>
        <w:pStyle w:val="Heading2"/>
      </w:pPr>
      <w:r>
        <w:t>6.1 Jiangzhai Phase I: The Reference Implementation (Tier 1)</w:t>
      </w:r>
    </w:p>
    <w:p>
      <w:r>
        <w:t>The complete protocol has been executed at Jiangzhai Phase I (Bai, in preparation): 70 georeferenced houses and the central plaza as 71 spatial nodes; 295 registered storage pits, 122 of them georeferenced; 174 burials; the four configurational methods; and the full statistical and robustness battery. The dissertation incorporates that analysis as its Tier 1 case and as the calibration standard for the other two sites. Its parameter choices, buffers, agent counts, screening thresholds, and correction procedures, are the protocol defaults, and every departure from them at the other sites is justified against it rather than introduced ad hoc.</w:t>
      </w:r>
    </w:p>
    <w:p>
      <w:pPr>
        <w:pStyle w:val="Heading2"/>
      </w:pPr>
      <w:r>
        <w:t>6.2 Jiahu: Multi-Phase Partial Exposure (Tier 2)</w:t>
      </w:r>
    </w:p>
    <w:p>
      <w:r>
        <w:t>Jiahu's exposure is substantial but discontinuous, and its occupation divides into three sub-phases (Henan Provincial Institute of Cultural Relics and Archaeology, 1999; Zhang &amp; Cui, 2013). Four adaptations follow. The analysis is phase-stratified, with the battery run per sub-phase where unit counts license it and statistical power reported where they do not. Analysis extents follow exposure edges, with edge-effect checks, and settlement-scale claims are conditioned on the unexcavated fraction. Doorway-dependent axial construction may be unavailable for some sub-phases, in which case constructions A and C carry the sensitivity design. And the interspersed burials permit a genuinely spatial mortuary analysis, strengthening the mortuary row relative to the reference case. The expected profile, recorded in advance in Table M2, is that all ten rows are evaluable at household and cluster scale in at least one sub-phase, with settlement-scale rows evaluable under declared exposure caveats.</w:t>
      </w:r>
    </w:p>
    <w:p>
      <w:pPr>
        <w:pStyle w:val="Heading2"/>
      </w:pPr>
      <w:r>
        <w:t>6.3 Taosi: Targeted Excavation plus Coring (Tier 3)</w:t>
      </w:r>
    </w:p>
    <w:p>
      <w:r>
        <w:t>Taosi is analyzed at two resolutions that are never merged. At precinct scale, within contiguously excavated areas, the ordinary residential areas, the palatial precinct, and the cemetery, the full battery runs as at the reference site, per period. At settlement scale, a skeleton graph of walled circuits, gates, road corridors, and functional zones, built from the 1978-1985 report and the published later seasons (Institute of Archaeology, Chinese Academy of Social Sciences, &amp; Shanxi Provincial Linfen Municipal Bureau of Cultural Relics, 2015; He, 2018; Liu &amp; Chen, 2012), carries axial, segment, and step-depth analysis, with competing reconstructions of uncertain segments analyzed as alternative constructions. Grid-dependent methods are not simulated where their prerequisites fail: on skeleton graphs, segment Choice substitutes for agent simulation, and the substitution is recorded. Rows whose prerequisites the record cannot meet at a given scale are withheld rather than approximated, and the withholding is itself reported, because hypothesis H-C is evaluated precisely on the contrast between precinct-scale and settlement-scale profiles. At Taosi the reconstruction sensitivity is not a nuisance to be minimized but part of the test.</w:t>
      </w:r>
    </w:p>
    <w:p>
      <w:pPr>
        <w:pStyle w:val="Heading2"/>
      </w:pPr>
      <w:r>
        <w:t>6.4 Cross-Site Comparability</w:t>
      </w:r>
    </w:p>
    <w:p>
      <w:r>
        <w:t>Comparability is secured by construction: identical rows, artifact classes, measures, and decision rules, over graded data. Table M1 records, per site, which data prerequisites are met, which methods are licensed, and where restrictions apply. It is completed during digitization, before analysis, and functions as the chapter's falsifiable statement about its own evidential basis.</w:t>
      </w:r>
    </w:p>
    <w:p>
      <w:r>
        <w:t>Table M1. Protocol-applicability matrix: data prerequisites and licensed methods per site.</w:t>
      </w:r>
    </w:p>
    <w:p>
      <w:pPr>
        <w:pStyle w:val="Heading2"/>
      </w:pPr>
      <w:r>
        <w:t>6.5 Row-by-Scale-by-Site Pre-Assessment</w:t>
      </w:r>
    </w:p>
    <w:p>
      <w:r>
        <w:t>Table M2 extends Table M1 to the full crossing of the framework: the ten tendencies of Table 1, by the three nested scales, by the three sites. Entries are a pre-assessment made from the published records and the reference implementation; they are finalized during digitization and re-issued with the results. Codes: Full, the reference protocol runs unmodified; Adapted, it runs under the stated adaptation; Withheld, prerequisites are not met and the absence is reported as a datum; N/A, the measure is a system-level property with no meaning at that scale. HH denotes the building or household scale, CL the cluster or neighborhood scale, at Taosi the precinct, and ST the settlement scale. Jiahu entries are per sub-phase; Taosi entries are per period.</w:t>
      </w:r>
    </w:p>
    <w:p>
      <w:r>
        <w:t>Table M2. Applicability pre-assessment: ten tendencies by three scales by three sites.</w:t>
      </w:r>
    </w:p>
    <w:p>
      <w:r>
        <w:t>Three structural observations follow from the pre-assessment and will be confirmed or corrected during digitization. First, no site loses a tendency wholesale: even the weakest cells degrade to Adapted or to a reported absence, so the ten-row architecture of Table 1 survives contact with all three records. Second, the pattern of restrictions is complementary rather than cumulative. Jiahu is strongest exactly where Jiangzhai is weakest, in the spatial linkage of burials to residence, and weakest where Taosi is strongest, in ritual architecture, which strengthens the sequence as a whole. Third, the Taosi column shows the scale split that hypothesis H-C predicts would matter: precinct-scale cells run nearly in full while settlement-scale cells depend on the skeleton reconstruction, so scalar coexistence is evaluated exactly where the data are.</w:t>
      </w:r>
    </w:p>
    <w:p>
      <w:pPr>
        <w:pStyle w:val="Heading1"/>
      </w:pPr>
      <w:r>
        <w:t>7. From Measurements to Hypotheses: The Evaluation Workflow</w:t>
      </w:r>
    </w:p>
    <w:p>
      <w:r>
        <w:t>Row-by-row, scale-by-scale outcomes compose each site's strategy profile, answering RQ1. The profiles are then read diachronically along the five dimensions of the framework to discriminate H-A, corporate rescaling and formalization, H-B, strategic shift, and H-C, scalar coexistence, each of which the framework paired with the configurational-functional pattern that would contradict it. Two bookkeeping rules keep the evaluation auditable. Every hypothesis-relevant claim cites the convergence-matrix cells on which it rests, and withheld cells are carried into the hypothesis discussion as explicit unknowns rather than silently dropped. RQ3's comparative protocol then proceeds on the profiles, in the terms licensed by RQ1 and RQ2.</w:t>
      </w:r>
    </w:p>
    <w:p>
      <w:pPr>
        <w:pStyle w:val="Heading1"/>
      </w:pPr>
      <w:r>
        <w:t>8. Reproducibility and Data Management</w:t>
      </w:r>
    </w:p>
    <w:p>
      <w:r>
        <w:t>All digitized geometries, registers, analysis tables, and code are archived for reproducibility, following the practice of the reference study. Every figure and statistic carries a source path to the script and derived table that produced it. Software versions, depthmapX and the Python stack, are pinned. The convergence matrices, Table M1, and Table M2 are published as supplementary tables, so that the evidential accounting of the chapters that follow can be checked independently of their conclusions.</w:t>
      </w:r>
    </w:p>
    <w:p>
      <w:pPr>
        <w:pStyle w:val="Heading1"/>
      </w:pPr>
      <w:r>
        <w:t>References Cited</w:t>
      </w:r>
    </w:p>
    <w:p>
      <w:r>
        <w:t>Bafna, S. (2003). Space syntax: A brief introduction to its logic and analytical techniques. Environment and Behavior, 35(1), 17-29. https://doi.org/10.1177/0013916502238863</w:t>
      </w:r>
    </w:p>
    <w:p>
      <w:r>
        <w:t>Bai, R. (in preparation). Corporate configuration, household differentiation: Space Syntax and Activity Zone Analysis of the Jiangzhai Phase I settlement, Wei River Valley, China [Manuscript in preparation]. Department of Anthropology, University of Georgia.</w:t>
      </w:r>
    </w:p>
    <w:p>
      <w:r>
        <w:t>Benjamini, Y., &amp; Hochberg, Y. (1995). Controlling the false discovery rate: A practical and powerful approach to multiple testing. Journal of the Royal Statistical Society: Series B (Methodological), 57(1), 289-300. https://doi.org/10.1111/j.2517-6161.1995.tb02031.x</w:t>
      </w:r>
    </w:p>
    <w:p>
      <w:r>
        <w:t>Binford, L. R. (1978). Dimensional analysis of behavior and site structure: Learning from an Eskimo hunting stand. American Antiquity, 43(3), 330-361. https://doi.org/10.2307/279390</w:t>
      </w:r>
    </w:p>
    <w:p>
      <w:r>
        <w:t>Blanton, R. E., Feinman, G. M., Kowalewski, S. A., &amp; Peregrine, P. N. (1996). A dual-processual theory for the evolution of Mesoamerican civilization. Current Anthropology, 37(1), 1-14. https://doi.org/10.1086/204471</w:t>
      </w:r>
    </w:p>
    <w:p>
      <w:r>
        <w:t>Carr, C. (1984). The nature of organization of intrasite archaeological records and spatial analytic approaches to their investigation. Advances in Archaeological Method and Theory, 7, 103-222.</w:t>
      </w:r>
    </w:p>
    <w:p>
      <w:r>
        <w:t>Chapman, J. (1990). Social inequality on Bulgarian tells and the Varna problem. In R. Samson (Ed.), The social archaeology of houses (pp. 49-92). Edinburgh University Press.</w:t>
      </w:r>
    </w:p>
    <w:p>
      <w:r>
        <w:t>Cutting, M. (2003). The use of spatial analysis to study prehistoric settlement architecture. Oxford Journal of Archaeology, 22(1), 1-21. https://doi.org/10.1111/1468-0092.00001</w:t>
      </w:r>
    </w:p>
    <w:p>
      <w:r>
        <w:t>Cutting, M. (2006). More than one way to study a building: Approaches to prehistoric household and settlement space. Oxford Journal of Archaeology, 25(3), 225-246. https://doi.org/10.1111/j.1468-0092.2006.00259.x</w:t>
      </w:r>
    </w:p>
    <w:p>
      <w:r>
        <w:t>Feinman, G. M. (2000). Corporate/network: New perspectives on models of political action and the Puebloan Southwest. In M. B. Schiffer (Ed.), Social theory in archaeology (pp. 31-51). University of Utah Press.</w:t>
      </w:r>
    </w:p>
    <w:p>
      <w:r>
        <w:t>Fladd, S. G. (2017). Social syntax: An approach to spatial modification through the reworking of space syntax for archaeological applications. Journal of Anthropological Archaeology, 47, 127-138. https://doi.org/10.1016/j.jaa.2017.05.002</w:t>
      </w:r>
    </w:p>
    <w:p>
      <w:r>
        <w:t>Getis, A., &amp; Ord, J. K. (1992). The analysis of spatial association by use of distance statistics. Geographical Analysis, 24(3), 189-206. https://doi.org/10.1111/j.1538-4632.1992.tb00261.x</w:t>
      </w:r>
    </w:p>
    <w:p>
      <w:r>
        <w:t>Goldstein, L. (1981). One-dimensional archaeology and multi-dimensional people: Spatial organisation and mortuary analysis. In R. Chapman, I. Kinnes, &amp; K. Randsborg (Eds.), The archaeology of death (pp. 53-69). Cambridge University Press.</w:t>
      </w:r>
    </w:p>
    <w:p>
      <w:r>
        <w:t>Hanson, J. (1998). Decoding homes and houses. Cambridge University Press.</w:t>
      </w:r>
    </w:p>
    <w:p>
      <w:r>
        <w:t>He, N. (2018). Taosi: An archaeological example of urbanization as a political center in prehistoric China. Archaeological Research in Asia, 14, 20-32. https://doi.org/10.1016/j.ara.2017.03.001</w:t>
      </w:r>
    </w:p>
    <w:p>
      <w:r>
        <w:t>Henan Provincial Institute of Cultural Relics and Archaeology. (1999). Wuyang Jiahu [舞阳贾湖 / Jiahu of Wuyang County]. Science Press. [In Chinese]</w:t>
      </w:r>
    </w:p>
    <w:p>
      <w:r>
        <w:t>Hillier, B. (1996). Space is the machine: A configurational theory of architecture. Cambridge University Press.</w:t>
      </w:r>
    </w:p>
    <w:p>
      <w:r>
        <w:t>Hillier, B., &amp; Hanson, J. (1984). The social logic of space. Cambridge University Press.</w:t>
      </w:r>
    </w:p>
    <w:p>
      <w:r>
        <w:t>Institute of Archaeology, Chinese Academy of Social Sciences, &amp; Shanxi Provincial Linfen Municipal Bureau of Cultural Relics. (2015). Xiangfen Taosi: 1978-1985 nian kaogu fajue baogao [襄汾陶寺：1978～1985年考古发掘报告 / Xiangfen Taosi: Report on the 1978-1985 archaeological excavations] (Vols. 1-4). Cultural Relics Press (Wenwu Press). [In Chinese]</w:t>
      </w:r>
    </w:p>
    <w:p>
      <w:r>
        <w:t>Kent, S. (1990). Activity areas and architecture: An interdisciplinary view of the relationship between use of space and domestic built environments. In S. Kent (Ed.), Domestic architecture and the use of space: An interdisciplinary cross-cultural study (pp. 1-8). Cambridge University Press.</w:t>
      </w:r>
    </w:p>
    <w:p>
      <w:r>
        <w:t>Lee, Y. K. (2007). Centripetal settlement and segmentary social formation of the Banpo tradition. Journal of Anthropological Archaeology, 26(4), 630-675. https://doi.org/10.1016/j.jaa.2007.03.001</w:t>
      </w:r>
    </w:p>
    <w:p>
      <w:r>
        <w:t>Liu, L., &amp; Chen, X. (2012). The archaeology of China: From the Late Paleolithic to the Early Bronze Age. Cambridge University Press. https://doi.org/10.1017/CBO9781139015301</w:t>
      </w:r>
    </w:p>
    <w:p>
      <w:r>
        <w:t>Manzanilla, L. R. (2015). Cooperation and tensions in multiethnic corporate societies using Teotihuacan, Central Mexico, as a case study. Proceedings of the National Academy of Sciences, 112(30), 9210-9215. https://doi.org/10.1073/pnas.1419881112</w:t>
      </w:r>
    </w:p>
    <w:p>
      <w:r>
        <w:t>Peterson, C. E., &amp; Shelach, G. (2012). Jiangzhai: Social and economic organization of a Middle Neolithic Chinese village. Journal of Anthropological Archaeology, 31(3), 265-301.</w:t>
      </w:r>
    </w:p>
    <w:p>
      <w:r>
        <w:t>Peterson, C. E., Drennan, R. D., &amp; Bartel, K. L. (2016). Comparative analysis of Neolithic household artifact assemblage data from Northern China. Journal of Anthropological Research, 72(2), 200-225.</w:t>
      </w:r>
    </w:p>
    <w:p>
      <w:r>
        <w:t>Rapoport, A. (1990). Systems of activities and systems of settings. In S. Kent (Ed.), Domestic architecture and the use of space: An interdisciplinary cross-cultural study (pp. 9-20). Cambridge University Press.</w:t>
      </w:r>
    </w:p>
    <w:p>
      <w:r>
        <w:t>Schiffer, M. B. (1987). Formation processes of the archaeological record. University of New Mexico Press.</w:t>
      </w:r>
    </w:p>
    <w:p>
      <w:r>
        <w:t>Shelach, G. (2006). Economic adaptation, community structure, and sharing strategies of households at early sedentary communities in northeast China. Journal of Anthropological Archaeology, 25(3), 318-345.</w:t>
      </w:r>
    </w:p>
    <w:p>
      <w:r>
        <w:t>Tu, D., Shelach-Lavi, G., &amp; Fung, Y.-T. (2022). Economy, sharing strategies and community structure in the early Neolithic village of Chahai, Northeast China. Journal of Anthropological Archaeology, 67, 101420. https://doi.org/10.1016/j.jaa.2022.101420</w:t>
      </w:r>
    </w:p>
    <w:p>
      <w:r>
        <w:t>Turner, A., Doxa, M., O'Sullivan, D., &amp; Penn, A. (2001). From isovists to visibility graphs: A methodology for the analysis of architectural space. Environment and Planning B: Planning and Design, 28(1), 103-121. https://doi.org/10.1068/b2684</w:t>
      </w:r>
    </w:p>
    <w:p>
      <w:r>
        <w:t>Turner, A., &amp; Penn, A. (2002). Encoding natural movement as an agent-based system: An investigation into human pedestrian behaviour in the built environment. Environment and Planning B: Planning and Design, 29(4), 473-490. https://doi.org/10.1068/b12850</w:t>
      </w:r>
    </w:p>
    <w:p>
      <w:r>
        <w:t>van Nes, A., &amp; Yamu, C. (2021). Introduction to space syntax in urban studies. Springer. https://doi.org/10.1007/978-3-030-59140-3</w:t>
      </w:r>
    </w:p>
    <w:p>
      <w:r>
        <w:t>Varoudis, T. (2012). depthmapX: Multi-platform spatial network analysis software [Computer software]. https://github.com/varoudis/depthmapX</w:t>
      </w:r>
    </w:p>
    <w:p>
      <w:r>
        <w:t>Xi'an Banpo Museum, Shaanxi Provincial Institute of Archaeology, and Lintong County Museum. (1988). Jiangzhai: Xinshiqi shidai yizhi fajue baogao [姜寨：新石器时代遗址发掘报告 / Jiangzhai: Excavation report of a Neolithic site]. Wenwu Press (Cultural Relics Publishing House). [In Chinese]</w:t>
      </w:r>
    </w:p>
    <w:p>
      <w:r>
        <w:t>Zhang, J., &amp; Cui, Q. (2013). The Jiahu site in the Huai River Area. In A. P. Underhill (Ed.), A Companion to Chinese Archaeology (pp. 194-212). Wiley-Blackwell. https://doi.org/10.1002/9781118325698.ch10</w:t>
      </w:r>
    </w:p>
    <w:sectPr w:rsidR="00FC693F" w:rsidRPr="0006063C" w:rsidSect="00034616">
      <w:pgSz w:w="12240" w:h="15840"/>
      <w:pgMar w:top="1440" w:right="1800" w:bottom="1440" w:left="1800" w:header="720" w:footer="720" w:gutter="0"/>
      <w:cols w:space="720"/>
      <w:docGrid w:linePitch="360"/>
    </w:sectPr>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Prerequisite / method</w:t>
            </w:r>
          </w:p>
        </w:tc>
        <w:tc>
          <w:tcPr>
            <w:tcW w:type="dxa" w:w="2160"/>
          </w:tcPr>
          <w:p>
            <w:r>
              <w:t>Jiangzhai Phase I (Tier 1)</w:t>
            </w:r>
          </w:p>
        </w:tc>
        <w:tc>
          <w:tcPr>
            <w:tcW w:type="dxa" w:w="2160"/>
          </w:tcPr>
          <w:p>
            <w:r>
              <w:t>Jiahu (Tier 2)</w:t>
            </w:r>
          </w:p>
        </w:tc>
        <w:tc>
          <w:tcPr>
            <w:tcW w:type="dxa" w:w="2160"/>
          </w:tcPr>
          <w:p>
            <w:r>
              <w:t>Taosi (Tier 3)</w:t>
            </w:r>
          </w:p>
        </w:tc>
      </w:tr>
      <w:tr>
        <w:tc>
          <w:tcPr>
            <w:tcW w:type="dxa" w:w="2160"/>
          </w:tcPr>
          <w:p>
            <w:r>
              <w:t>Georeferenceable plan of occupied area</w:t>
            </w:r>
          </w:p>
        </w:tc>
        <w:tc>
          <w:tcPr>
            <w:tcW w:type="dxa" w:w="2160"/>
          </w:tcPr>
          <w:p>
            <w:r>
              <w:t>Yes, near-complete village plan</w:t>
            </w:r>
          </w:p>
        </w:tc>
        <w:tc>
          <w:tcPr>
            <w:tcW w:type="dxa" w:w="2160"/>
          </w:tcPr>
          <w:p>
            <w:r>
              <w:t>Partial, discontinuous exposures; per sub-phase</w:t>
            </w:r>
          </w:p>
        </w:tc>
        <w:tc>
          <w:tcPr>
            <w:tcW w:type="dxa" w:w="2160"/>
          </w:tcPr>
          <w:p>
            <w:r>
              <w:t>Excavated precincts at feature resolution; settlement skeleton from coring at zone resolution</w:t>
            </w:r>
          </w:p>
        </w:tc>
      </w:tr>
      <w:tr>
        <w:tc>
          <w:tcPr>
            <w:tcW w:type="dxa" w:w="2160"/>
          </w:tcPr>
          <w:p>
            <w:r>
              <w:t>Feature-level artifact provenience</w:t>
            </w:r>
          </w:p>
        </w:tc>
        <w:tc>
          <w:tcPr>
            <w:tcW w:type="dxa" w:w="2160"/>
          </w:tcPr>
          <w:p>
            <w:r>
              <w:t>Yes (houses, pits, burials)</w:t>
            </w:r>
          </w:p>
        </w:tc>
        <w:tc>
          <w:tcPr>
            <w:tcW w:type="dxa" w:w="2160"/>
          </w:tcPr>
          <w:p>
            <w:r>
              <w:t>Yes (houses, pits, burials), phase-stratified</w:t>
            </w:r>
          </w:p>
        </w:tc>
        <w:tc>
          <w:tcPr>
            <w:tcW w:type="dxa" w:w="2160"/>
          </w:tcPr>
          <w:p>
            <w:r>
              <w:t>Yes within excavated precincts; partial for cemetery publication</w:t>
            </w:r>
          </w:p>
        </w:tc>
      </w:tr>
      <w:tr>
        <w:tc>
          <w:tcPr>
            <w:tcW w:type="dxa" w:w="2160"/>
          </w:tcPr>
          <w:p>
            <w:r>
              <w:t>Documented doorways (axial construction B)</w:t>
            </w:r>
          </w:p>
        </w:tc>
        <w:tc>
          <w:tcPr>
            <w:tcW w:type="dxa" w:w="2160"/>
          </w:tcPr>
          <w:p>
            <w:r>
              <w:t>Yes (38 doorway positions)</w:t>
            </w:r>
          </w:p>
        </w:tc>
        <w:tc>
          <w:tcPr>
            <w:tcW w:type="dxa" w:w="2160"/>
          </w:tcPr>
          <w:p>
            <w:r>
              <w:t>Partial; may be infeasible per sub-phase</w:t>
            </w:r>
          </w:p>
        </w:tc>
        <w:tc>
          <w:tcPr>
            <w:tcW w:type="dxa" w:w="2160"/>
          </w:tcPr>
          <w:p>
            <w:r>
              <w:t>Precinct scale only</w:t>
            </w:r>
          </w:p>
        </w:tc>
      </w:tr>
      <w:tr>
        <w:tc>
          <w:tcPr>
            <w:tcW w:type="dxa" w:w="2160"/>
          </w:tcPr>
          <w:p>
            <w:r>
              <w:t>Justified-graph / discrete-unit analysis</w:t>
            </w:r>
          </w:p>
        </w:tc>
        <w:tc>
          <w:tcPr>
            <w:tcW w:type="dxa" w:w="2160"/>
          </w:tcPr>
          <w:p>
            <w:r>
              <w:t>Full (71 nodes)</w:t>
            </w:r>
          </w:p>
        </w:tc>
        <w:tc>
          <w:tcPr>
            <w:tcW w:type="dxa" w:w="2160"/>
          </w:tcPr>
          <w:p>
            <w:r>
              <w:t>Per sub-phase, reduced n; power reported</w:t>
            </w:r>
          </w:p>
        </w:tc>
        <w:tc>
          <w:tcPr>
            <w:tcW w:type="dxa" w:w="2160"/>
          </w:tcPr>
          <w:p>
            <w:r>
              <w:t>Precinct scale full; settlement scale on skeleton graph</w:t>
            </w:r>
          </w:p>
        </w:tc>
      </w:tr>
      <w:tr>
        <w:tc>
          <w:tcPr>
            <w:tcW w:type="dxa" w:w="2160"/>
          </w:tcPr>
          <w:p>
            <w:r>
              <w:t>VGA and agent analysis</w:t>
            </w:r>
          </w:p>
        </w:tc>
        <w:tc>
          <w:tcPr>
            <w:tcW w:type="dxa" w:w="2160"/>
          </w:tcPr>
          <w:p>
            <w:r>
              <w:t>Full (15 m buffer default)</w:t>
            </w:r>
          </w:p>
        </w:tc>
        <w:tc>
          <w:tcPr>
            <w:tcW w:type="dxa" w:w="2160"/>
          </w:tcPr>
          <w:p>
            <w:r>
              <w:t>Within exposure edges; edge-effect checks</w:t>
            </w:r>
          </w:p>
        </w:tc>
        <w:tc>
          <w:tcPr>
            <w:tcW w:type="dxa" w:w="2160"/>
          </w:tcPr>
          <w:p>
            <w:r>
              <w:t>Within contiguous precincts; recalibrated buffers</w:t>
            </w:r>
          </w:p>
        </w:tc>
      </w:tr>
      <w:tr>
        <w:tc>
          <w:tcPr>
            <w:tcW w:type="dxa" w:w="2160"/>
          </w:tcPr>
          <w:p>
            <w:r>
              <w:t>Axial/segment analysis</w:t>
            </w:r>
          </w:p>
        </w:tc>
        <w:tc>
          <w:tcPr>
            <w:tcW w:type="dxa" w:w="2160"/>
          </w:tcPr>
          <w:p>
            <w:r>
              <w:t>Constructions A/B/C</w:t>
            </w:r>
          </w:p>
        </w:tc>
        <w:tc>
          <w:tcPr>
            <w:tcW w:type="dxa" w:w="2160"/>
          </w:tcPr>
          <w:p>
            <w:r>
              <w:t>Constructions A/C (B where documented)</w:t>
            </w:r>
          </w:p>
        </w:tc>
        <w:tc>
          <w:tcPr>
            <w:tcW w:type="dxa" w:w="2160"/>
          </w:tcPr>
          <w:p>
            <w:r>
              <w:t>Primary settlement-scale instrument; competing reconstructions</w:t>
            </w:r>
          </w:p>
        </w:tc>
      </w:tr>
      <w:tr>
        <w:tc>
          <w:tcPr>
            <w:tcW w:type="dxa" w:w="2160"/>
          </w:tcPr>
          <w:p>
            <w:r>
              <w:t>Mortuary spatial linkage</w:t>
            </w:r>
          </w:p>
        </w:tc>
        <w:tc>
          <w:tcPr>
            <w:tcW w:type="dxa" w:w="2160"/>
          </w:tcPr>
          <w:p>
            <w:r>
              <w:t>Cemetery separate; context only</w:t>
            </w:r>
          </w:p>
        </w:tc>
        <w:tc>
          <w:tcPr>
            <w:tcW w:type="dxa" w:w="2160"/>
          </w:tcPr>
          <w:p>
            <w:r>
              <w:t>Burials interspersed; full spatial test</w:t>
            </w:r>
          </w:p>
        </w:tc>
        <w:tc>
          <w:tcPr>
            <w:tcW w:type="dxa" w:w="2160"/>
          </w:tcPr>
          <w:p>
            <w:r>
              <w:t>Cemetery precinct; published subsample with bias assessment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Tendency x scale</w:t>
            </w:r>
          </w:p>
        </w:tc>
        <w:tc>
          <w:tcPr>
            <w:tcW w:type="dxa" w:w="2160"/>
          </w:tcPr>
          <w:p>
            <w:r>
              <w:t>Jiangzhai Phase I</w:t>
            </w:r>
          </w:p>
        </w:tc>
        <w:tc>
          <w:tcPr>
            <w:tcW w:type="dxa" w:w="2160"/>
          </w:tcPr>
          <w:p>
            <w:r>
              <w:t>Jiahu</w:t>
            </w:r>
          </w:p>
        </w:tc>
        <w:tc>
          <w:tcPr>
            <w:tcW w:type="dxa" w:w="2160"/>
          </w:tcPr>
          <w:p>
            <w:r>
              <w:t>Taosi</w:t>
            </w:r>
          </w:p>
        </w:tc>
      </w:tr>
      <w:tr>
        <w:tc>
          <w:tcPr>
            <w:tcW w:type="dxa" w:w="2160"/>
          </w:tcPr>
          <w:p>
            <w:r>
              <w:t>1 Wealth &amp; consumption - HH</w:t>
            </w:r>
          </w:p>
        </w:tc>
        <w:tc>
          <w:tcPr>
            <w:tcW w:type="dxa" w:w="2160"/>
          </w:tcPr>
          <w:p>
            <w:r>
              <w:t>Full</w:t>
            </w:r>
          </w:p>
        </w:tc>
        <w:tc>
          <w:tcPr>
            <w:tcW w:type="dxa" w:w="2160"/>
          </w:tcPr>
          <w:p>
            <w:r>
              <w:t>Full (reduced n; power reported)</w:t>
            </w:r>
          </w:p>
        </w:tc>
        <w:tc>
          <w:tcPr>
            <w:tcW w:type="dxa" w:w="2160"/>
          </w:tcPr>
          <w:p>
            <w:r>
              <w:t>Adapted: excavated precincts only</w:t>
            </w:r>
          </w:p>
        </w:tc>
      </w:tr>
      <w:tr>
        <w:tc>
          <w:tcPr>
            <w:tcW w:type="dxa" w:w="2160"/>
          </w:tcPr>
          <w:p>
            <w:r>
              <w:t>1 Wealth &amp; consumption - CL</w:t>
            </w:r>
          </w:p>
        </w:tc>
        <w:tc>
          <w:tcPr>
            <w:tcW w:type="dxa" w:w="2160"/>
          </w:tcPr>
          <w:p>
            <w:r>
              <w:t>Full</w:t>
            </w:r>
          </w:p>
        </w:tc>
        <w:tc>
          <w:tcPr>
            <w:tcW w:type="dxa" w:w="2160"/>
          </w:tcPr>
          <w:p>
            <w:r>
              <w:t>Adapted: clusters re-derived per sub-phase exposure</w:t>
            </w:r>
          </w:p>
        </w:tc>
        <w:tc>
          <w:tcPr>
            <w:tcW w:type="dxa" w:w="2160"/>
          </w:tcPr>
          <w:p>
            <w:r>
              <w:t>Adapted: between-precinct comparison on zone-level registers</w:t>
            </w:r>
          </w:p>
        </w:tc>
      </w:tr>
      <w:tr>
        <w:tc>
          <w:tcPr>
            <w:tcW w:type="dxa" w:w="2160"/>
          </w:tcPr>
          <w:p>
            <w:r>
              <w:t>1 Wealth &amp; consumption - ST</w:t>
            </w:r>
          </w:p>
        </w:tc>
        <w:tc>
          <w:tcPr>
            <w:tcW w:type="dxa" w:w="2160"/>
          </w:tcPr>
          <w:p>
            <w:r>
              <w:t>Full</w:t>
            </w:r>
          </w:p>
        </w:tc>
        <w:tc>
          <w:tcPr>
            <w:tcW w:type="dxa" w:w="2160"/>
          </w:tcPr>
          <w:p>
            <w:r>
              <w:t>Adapted: exposure-conditioned; edge-effect checks</w:t>
            </w:r>
          </w:p>
        </w:tc>
        <w:tc>
          <w:tcPr>
            <w:tcW w:type="dxa" w:w="2160"/>
          </w:tcPr>
          <w:p>
            <w:r>
              <w:t>Adapted: zone-resolution aggregates joined to skeleton values; interpretive</w:t>
            </w:r>
          </w:p>
        </w:tc>
      </w:tr>
      <w:tr>
        <w:tc>
          <w:tcPr>
            <w:tcW w:type="dxa" w:w="2160"/>
          </w:tcPr>
          <w:p>
            <w:r>
              <w:t>2 Power arrangements - HH</w:t>
            </w:r>
          </w:p>
        </w:tc>
        <w:tc>
          <w:tcPr>
            <w:tcW w:type="dxa" w:w="2160"/>
          </w:tcPr>
          <w:p>
            <w:r>
              <w:t>Full</w:t>
            </w:r>
          </w:p>
        </w:tc>
        <w:tc>
          <w:tcPr>
            <w:tcW w:type="dxa" w:w="2160"/>
          </w:tcPr>
          <w:p>
            <w:r>
              <w:t>Full (reduced n)</w:t>
            </w:r>
          </w:p>
        </w:tc>
        <w:tc>
          <w:tcPr>
            <w:tcW w:type="dxa" w:w="2160"/>
          </w:tcPr>
          <w:p>
            <w:r>
              <w:t>Adapted: within precincts</w:t>
            </w:r>
          </w:p>
        </w:tc>
      </w:tr>
      <w:tr>
        <w:tc>
          <w:tcPr>
            <w:tcW w:type="dxa" w:w="2160"/>
          </w:tcPr>
          <w:p>
            <w:r>
              <w:t>2 Power arrangements - CL</w:t>
            </w:r>
          </w:p>
        </w:tc>
        <w:tc>
          <w:tcPr>
            <w:tcW w:type="dxa" w:w="2160"/>
          </w:tcPr>
          <w:p>
            <w:r>
              <w:t>Full (Kruskal-Wallis across five groups)</w:t>
            </w:r>
          </w:p>
        </w:tc>
        <w:tc>
          <w:tcPr>
            <w:tcW w:type="dxa" w:w="2160"/>
          </w:tcPr>
          <w:p>
            <w:r>
              <w:t>Adapted: per sub-phase clusters</w:t>
            </w:r>
          </w:p>
        </w:tc>
        <w:tc>
          <w:tcPr>
            <w:tcW w:type="dxa" w:w="2160"/>
          </w:tcPr>
          <w:p>
            <w:r>
              <w:t>Adapted: between-precinct comparison</w:t>
            </w:r>
          </w:p>
        </w:tc>
      </w:tr>
      <w:tr>
        <w:tc>
          <w:tcPr>
            <w:tcW w:type="dxa" w:w="2160"/>
          </w:tcPr>
          <w:p>
            <w:r>
              <w:t>2 Power arrangements - ST</w:t>
            </w:r>
          </w:p>
        </w:tc>
        <w:tc>
          <w:tcPr>
            <w:tcW w:type="dxa" w:w="2160"/>
          </w:tcPr>
          <w:p>
            <w:r>
              <w:t>Full (Choice/Control CV; step-depth symmetry)</w:t>
            </w:r>
          </w:p>
        </w:tc>
        <w:tc>
          <w:tcPr>
            <w:tcW w:type="dxa" w:w="2160"/>
          </w:tcPr>
          <w:p>
            <w:r>
              <w:t>Adapted: CV over exposed graph only</w:t>
            </w:r>
          </w:p>
        </w:tc>
        <w:tc>
          <w:tcPr>
            <w:tcW w:type="dxa" w:w="2160"/>
          </w:tcPr>
          <w:p>
            <w:r>
              <w:t>Full on skeleton graph, with reconstruction sensitivity (gates, corridors)</w:t>
            </w:r>
          </w:p>
        </w:tc>
      </w:tr>
      <w:tr>
        <w:tc>
          <w:tcPr>
            <w:tcW w:type="dxa" w:w="2160"/>
          </w:tcPr>
          <w:p>
            <w:r>
              <w:t>3 Basis of status / legibility - HH</w:t>
            </w:r>
          </w:p>
        </w:tc>
        <w:tc>
          <w:tcPr>
            <w:tcW w:type="dxa" w:w="2160"/>
          </w:tcPr>
          <w:p>
            <w:r>
              <w:t>N/A (system-level measure)</w:t>
            </w:r>
          </w:p>
        </w:tc>
        <w:tc>
          <w:tcPr>
            <w:tcW w:type="dxa" w:w="2160"/>
          </w:tcPr>
          <w:p>
            <w:r>
              <w:t>N/A</w:t>
            </w:r>
          </w:p>
        </w:tc>
        <w:tc>
          <w:tcPr>
            <w:tcW w:type="dxa" w:w="2160"/>
          </w:tcPr>
          <w:p>
            <w:r>
              <w:t>N/A</w:t>
            </w:r>
          </w:p>
        </w:tc>
      </w:tr>
      <w:tr>
        <w:tc>
          <w:tcPr>
            <w:tcW w:type="dxa" w:w="2160"/>
          </w:tcPr>
          <w:p>
            <w:r>
              <w:t>3 Basis of status / legibility - CL</w:t>
            </w:r>
          </w:p>
        </w:tc>
        <w:tc>
          <w:tcPr>
            <w:tcW w:type="dxa" w:w="2160"/>
          </w:tcPr>
          <w:p>
            <w:r>
              <w:t>Adapted: exploratory subgraph intelligibility</w:t>
            </w:r>
          </w:p>
        </w:tc>
        <w:tc>
          <w:tcPr>
            <w:tcW w:type="dxa" w:w="2160"/>
          </w:tcPr>
          <w:p>
            <w:r>
              <w:t>Adapted: within-exposure subgraphs</w:t>
            </w:r>
          </w:p>
        </w:tc>
        <w:tc>
          <w:tcPr>
            <w:tcW w:type="dxa" w:w="2160"/>
          </w:tcPr>
          <w:p>
            <w:r>
              <w:t>Full within contiguous precincts</w:t>
            </w:r>
          </w:p>
        </w:tc>
      </w:tr>
      <w:tr>
        <w:tc>
          <w:tcPr>
            <w:tcW w:type="dxa" w:w="2160"/>
          </w:tcPr>
          <w:p>
            <w:r>
              <w:t>3 Basis of status / legibility - ST</w:t>
            </w:r>
          </w:p>
        </w:tc>
        <w:tc>
          <w:tcPr>
            <w:tcW w:type="dxa" w:w="2160"/>
          </w:tcPr>
          <w:p>
            <w:r>
              <w:t>Full (intelligibility R2; construction-B caveat)</w:t>
            </w:r>
          </w:p>
        </w:tc>
        <w:tc>
          <w:tcPr>
            <w:tcW w:type="dxa" w:w="2160"/>
          </w:tcPr>
          <w:p>
            <w:r>
              <w:t>Adapted: strong edge-effect caveat</w:t>
            </w:r>
          </w:p>
        </w:tc>
        <w:tc>
          <w:tcPr>
            <w:tcW w:type="dxa" w:w="2160"/>
          </w:tcPr>
          <w:p>
            <w:r>
              <w:t>Adapted: skeleton intelligibility read only across competing reconstructions</w:t>
            </w:r>
          </w:p>
        </w:tc>
      </w:tr>
      <w:tr>
        <w:tc>
          <w:tcPr>
            <w:tcW w:type="dxa" w:w="2160"/>
          </w:tcPr>
          <w:p>
            <w:r>
              <w:t>4 Political dynamics - HH</w:t>
            </w:r>
          </w:p>
        </w:tc>
        <w:tc>
          <w:tcPr>
            <w:tcW w:type="dxa" w:w="2160"/>
          </w:tcPr>
          <w:p>
            <w:r>
              <w:t>Full (house-to-plaza depths)</w:t>
            </w:r>
          </w:p>
        </w:tc>
        <w:tc>
          <w:tcPr>
            <w:tcW w:type="dxa" w:w="2160"/>
          </w:tcPr>
          <w:p>
            <w:r>
              <w:t>Adapted: depths to candidate shared spaces</w:t>
            </w:r>
          </w:p>
        </w:tc>
        <w:tc>
          <w:tcPr>
            <w:tcW w:type="dxa" w:w="2160"/>
          </w:tcPr>
          <w:p>
            <w:r>
              <w:t>Adapted: within precincts</w:t>
            </w:r>
          </w:p>
        </w:tc>
      </w:tr>
      <w:tr>
        <w:tc>
          <w:tcPr>
            <w:tcW w:type="dxa" w:w="2160"/>
          </w:tcPr>
          <w:p>
            <w:r>
              <w:t>4 Political dynamics - CL</w:t>
            </w:r>
          </w:p>
        </w:tc>
        <w:tc>
          <w:tcPr>
            <w:tcW w:type="dxa" w:w="2160"/>
          </w:tcPr>
          <w:p>
            <w:r>
              <w:t>Full (inter-cluster parity to plaza)</w:t>
            </w:r>
          </w:p>
        </w:tc>
        <w:tc>
          <w:tcPr>
            <w:tcW w:type="dxa" w:w="2160"/>
          </w:tcPr>
          <w:p>
            <w:r>
              <w:t>Adapted: candidate communal nodes identified first from configuration + AZA</w:t>
            </w:r>
          </w:p>
        </w:tc>
        <w:tc>
          <w:tcPr>
            <w:tcW w:type="dxa" w:w="2160"/>
          </w:tcPr>
          <w:p>
            <w:r>
              <w:t>Adapted: precinct-to-public-precinct depths</w:t>
            </w:r>
          </w:p>
        </w:tc>
      </w:tr>
      <w:tr>
        <w:tc>
          <w:tcPr>
            <w:tcW w:type="dxa" w:w="2160"/>
          </w:tcPr>
          <w:p>
            <w:r>
              <w:t>4 Political dynamics - ST</w:t>
            </w:r>
          </w:p>
        </w:tc>
        <w:tc>
          <w:tcPr>
            <w:tcW w:type="dxa" w:w="2160"/>
          </w:tcPr>
          <w:p>
            <w:r>
              <w:t>Full</w:t>
            </w:r>
          </w:p>
        </w:tc>
        <w:tc>
          <w:tcPr>
            <w:tcW w:type="dxa" w:w="2160"/>
          </w:tcPr>
          <w:p>
            <w:r>
              <w:t>Withheld if no communal node is identifiable; absence reported</w:t>
            </w:r>
          </w:p>
        </w:tc>
        <w:tc>
          <w:tcPr>
            <w:tcW w:type="dxa" w:w="2160"/>
          </w:tcPr>
          <w:p>
            <w:r>
              <w:t>Full on skeleton: residential zones to public/ceremonial precincts, candidate-node sensitivity</w:t>
            </w:r>
          </w:p>
        </w:tc>
      </w:tr>
      <w:tr>
        <w:tc>
          <w:tcPr>
            <w:tcW w:type="dxa" w:w="2160"/>
          </w:tcPr>
          <w:p>
            <w:r>
              <w:t>5 Production - HH</w:t>
            </w:r>
          </w:p>
        </w:tc>
        <w:tc>
          <w:tcPr>
            <w:tcW w:type="dxa" w:w="2160"/>
          </w:tcPr>
          <w:p>
            <w:r>
              <w:t>Full</w:t>
            </w:r>
          </w:p>
        </w:tc>
        <w:tc>
          <w:tcPr>
            <w:tcW w:type="dxa" w:w="2160"/>
          </w:tcPr>
          <w:p>
            <w:r>
              <w:t>Full (production evidence in houses/pits)</w:t>
            </w:r>
          </w:p>
        </w:tc>
        <w:tc>
          <w:tcPr>
            <w:tcW w:type="dxa" w:w="2160"/>
          </w:tcPr>
          <w:p>
            <w:r>
              <w:t>Adapted: within precincts</w:t>
            </w:r>
          </w:p>
        </w:tc>
      </w:tr>
      <w:tr>
        <w:tc>
          <w:tcPr>
            <w:tcW w:type="dxa" w:w="2160"/>
          </w:tcPr>
          <w:p>
            <w:r>
              <w:t>5 Production - CL</w:t>
            </w:r>
          </w:p>
        </w:tc>
        <w:tc>
          <w:tcPr>
            <w:tcW w:type="dxa" w:w="2160"/>
          </w:tcPr>
          <w:p>
            <w:r>
              <w:t>Full (kiln and processing loci)</w:t>
            </w:r>
          </w:p>
        </w:tc>
        <w:tc>
          <w:tcPr>
            <w:tcW w:type="dxa" w:w="2160"/>
          </w:tcPr>
          <w:p>
            <w:r>
              <w:t>Adapted: zones identified via AZA first</w:t>
            </w:r>
          </w:p>
        </w:tc>
        <w:tc>
          <w:tcPr>
            <w:tcW w:type="dxa" w:w="2160"/>
          </w:tcPr>
          <w:p>
            <w:r>
              <w:t>Full where craft precincts are documented</w:t>
            </w:r>
          </w:p>
        </w:tc>
      </w:tr>
      <w:tr>
        <w:tc>
          <w:tcPr>
            <w:tcW w:type="dxa" w:w="2160"/>
          </w:tcPr>
          <w:p>
            <w:r>
              <w:t>5 Production - ST</w:t>
            </w:r>
          </w:p>
        </w:tc>
        <w:tc>
          <w:tcPr>
            <w:tcW w:type="dxa" w:w="2160"/>
          </w:tcPr>
          <w:p>
            <w:r>
              <w:t>Full</w:t>
            </w:r>
          </w:p>
        </w:tc>
        <w:tc>
          <w:tcPr>
            <w:tcW w:type="dxa" w:w="2160"/>
          </w:tcPr>
          <w:p>
            <w:r>
              <w:t>Adapted: exposure-conditioned</w:t>
            </w:r>
          </w:p>
        </w:tc>
        <w:tc>
          <w:tcPr>
            <w:tcW w:type="dxa" w:w="2160"/>
          </w:tcPr>
          <w:p>
            <w:r>
              <w:t>Adapted: zone-resolution placement of craft areas relative to skeleton</w:t>
            </w:r>
          </w:p>
        </w:tc>
      </w:tr>
      <w:tr>
        <w:tc>
          <w:tcPr>
            <w:tcW w:type="dxa" w:w="2160"/>
          </w:tcPr>
          <w:p>
            <w:r>
              <w:t>6 Finance - HH</w:t>
            </w:r>
          </w:p>
        </w:tc>
        <w:tc>
          <w:tcPr>
            <w:tcW w:type="dxa" w:w="2160"/>
          </w:tcPr>
          <w:p>
            <w:r>
              <w:t>Full (household storage)</w:t>
            </w:r>
          </w:p>
        </w:tc>
        <w:tc>
          <w:tcPr>
            <w:tcW w:type="dxa" w:w="2160"/>
          </w:tcPr>
          <w:p>
            <w:r>
              <w:t>Full</w:t>
            </w:r>
          </w:p>
        </w:tc>
        <w:tc>
          <w:tcPr>
            <w:tcW w:type="dxa" w:w="2160"/>
          </w:tcPr>
          <w:p>
            <w:r>
              <w:t>Adapted: within precincts</w:t>
            </w:r>
          </w:p>
        </w:tc>
      </w:tr>
      <w:tr>
        <w:tc>
          <w:tcPr>
            <w:tcW w:type="dxa" w:w="2160"/>
          </w:tcPr>
          <w:p>
            <w:r>
              <w:t>6 Finance - CL</w:t>
            </w:r>
          </w:p>
        </w:tc>
        <w:tc>
          <w:tcPr>
            <w:tcW w:type="dxa" w:w="2160"/>
          </w:tcPr>
          <w:p>
            <w:r>
              <w:t>Full (pit placement vs clusters)</w:t>
            </w:r>
          </w:p>
        </w:tc>
        <w:tc>
          <w:tcPr>
            <w:tcW w:type="dxa" w:w="2160"/>
          </w:tcPr>
          <w:p>
            <w:r>
              <w:t>Full per sub-phase</w:t>
            </w:r>
          </w:p>
        </w:tc>
        <w:tc>
          <w:tcPr>
            <w:tcW w:type="dxa" w:w="2160"/>
          </w:tcPr>
          <w:p>
            <w:r>
              <w:t>Full: palace-attached vs residential storage contrast</w:t>
            </w:r>
          </w:p>
        </w:tc>
      </w:tr>
      <w:tr>
        <w:tc>
          <w:tcPr>
            <w:tcW w:type="dxa" w:w="2160"/>
          </w:tcPr>
          <w:p>
            <w:r>
              <w:t>6 Finance - ST</w:t>
            </w:r>
          </w:p>
        </w:tc>
        <w:tc>
          <w:tcPr>
            <w:tcW w:type="dxa" w:w="2160"/>
          </w:tcPr>
          <w:p>
            <w:r>
              <w:t>Full (295-pit register; placement vs CSR)</w:t>
            </w:r>
          </w:p>
        </w:tc>
        <w:tc>
          <w:tcPr>
            <w:tcW w:type="dxa" w:w="2160"/>
          </w:tcPr>
          <w:p>
            <w:r>
              <w:t>Adapted: exposure-conditioned placement tests</w:t>
            </w:r>
          </w:p>
        </w:tc>
        <w:tc>
          <w:tcPr>
            <w:tcW w:type="dxa" w:w="2160"/>
          </w:tcPr>
          <w:p>
            <w:r>
              <w:t>Adapted: storage precincts at zone resolution</w:t>
            </w:r>
          </w:p>
        </w:tc>
      </w:tr>
      <w:tr>
        <w:tc>
          <w:tcPr>
            <w:tcW w:type="dxa" w:w="2160"/>
          </w:tcPr>
          <w:p>
            <w:r>
              <w:t>7 Mortuary - HH</w:t>
            </w:r>
          </w:p>
        </w:tc>
        <w:tc>
          <w:tcPr>
            <w:tcW w:type="dxa" w:w="2160"/>
          </w:tcPr>
          <w:p>
            <w:r>
              <w:t>Full (grave-good Gini/CV, bootstrap)</w:t>
            </w:r>
          </w:p>
        </w:tc>
        <w:tc>
          <w:tcPr>
            <w:tcW w:type="dxa" w:w="2160"/>
          </w:tcPr>
          <w:p>
            <w:r>
              <w:t>Full</w:t>
            </w:r>
          </w:p>
        </w:tc>
        <w:tc>
          <w:tcPr>
            <w:tcW w:type="dxa" w:w="2160"/>
          </w:tcPr>
          <w:p>
            <w:r>
              <w:t>Adapted: published subsample; selection-bias assessment</w:t>
            </w:r>
          </w:p>
        </w:tc>
      </w:tr>
      <w:tr>
        <w:tc>
          <w:tcPr>
            <w:tcW w:type="dxa" w:w="2160"/>
          </w:tcPr>
          <w:p>
            <w:r>
              <w:t>7 Mortuary - CL</w:t>
            </w:r>
          </w:p>
        </w:tc>
        <w:tc>
          <w:tcPr>
            <w:tcW w:type="dxa" w:w="2160"/>
          </w:tcPr>
          <w:p>
            <w:r>
              <w:t>Adapted: cemetery zones not linkable to residential groups; context only</w:t>
            </w:r>
          </w:p>
        </w:tc>
        <w:tc>
          <w:tcPr>
            <w:tcW w:type="dxa" w:w="2160"/>
          </w:tcPr>
          <w:p>
            <w:r>
              <w:t>Full: interspersed burials permit spatial linkage</w:t>
            </w:r>
          </w:p>
        </w:tc>
        <w:tc>
          <w:tcPr>
            <w:tcW w:type="dxa" w:w="2160"/>
          </w:tcPr>
          <w:p>
            <w:r>
              <w:t>Adapted: cemetery precinct configuration partially known</w:t>
            </w:r>
          </w:p>
        </w:tc>
      </w:tr>
      <w:tr>
        <w:tc>
          <w:tcPr>
            <w:tcW w:type="dxa" w:w="2160"/>
          </w:tcPr>
          <w:p>
            <w:r>
              <w:t>7 Mortuary - ST</w:t>
            </w:r>
          </w:p>
        </w:tc>
        <w:tc>
          <w:tcPr>
            <w:tcW w:type="dxa" w:w="2160"/>
          </w:tcPr>
          <w:p>
            <w:r>
              <w:t>Adapted: settlement-level values linked interpretively</w:t>
            </w:r>
          </w:p>
        </w:tc>
        <w:tc>
          <w:tcPr>
            <w:tcW w:type="dxa" w:w="2160"/>
          </w:tcPr>
          <w:p>
            <w:r>
              <w:t>Full per sub-phase</w:t>
            </w:r>
          </w:p>
        </w:tc>
        <w:tc>
          <w:tcPr>
            <w:tcW w:type="dxa" w:w="2160"/>
          </w:tcPr>
          <w:p>
            <w:r>
              <w:t>Adapted: interpretive linkage, per Table 1</w:t>
            </w:r>
          </w:p>
        </w:tc>
      </w:tr>
      <w:tr>
        <w:tc>
          <w:tcPr>
            <w:tcW w:type="dxa" w:w="2160"/>
          </w:tcPr>
          <w:p>
            <w:r>
              <w:t>8 Ritual architecture - HH</w:t>
            </w:r>
          </w:p>
        </w:tc>
        <w:tc>
          <w:tcPr>
            <w:tcW w:type="dxa" w:w="2160"/>
          </w:tcPr>
          <w:p>
            <w:r>
              <w:t>Adapted: large communal buildings as candidates (e.g., F1)</w:t>
            </w:r>
          </w:p>
        </w:tc>
        <w:tc>
          <w:tcPr>
            <w:tcW w:type="dxa" w:w="2160"/>
          </w:tcPr>
          <w:p>
            <w:r>
              <w:t>Withheld: no identified ritual structures; portable/mortuary ritual instead</w:t>
            </w:r>
          </w:p>
        </w:tc>
        <w:tc>
          <w:tcPr>
            <w:tcW w:type="dxa" w:w="2160"/>
          </w:tcPr>
          <w:p>
            <w:r>
              <w:t>Full: ceremonial structures within palatial/ritual precincts</w:t>
            </w:r>
          </w:p>
        </w:tc>
      </w:tr>
      <w:tr>
        <w:tc>
          <w:tcPr>
            <w:tcW w:type="dxa" w:w="2160"/>
          </w:tcPr>
          <w:p>
            <w:r>
              <w:t>8 Ritual architecture - CL</w:t>
            </w:r>
          </w:p>
        </w:tc>
        <w:tc>
          <w:tcPr>
            <w:tcW w:type="dxa" w:w="2160"/>
          </w:tcPr>
          <w:p>
            <w:r>
              <w:t>Adapted: plaza as candidate; capacity estimate Full</w:t>
            </w:r>
          </w:p>
        </w:tc>
        <w:tc>
          <w:tcPr>
            <w:tcW w:type="dxa" w:w="2160"/>
          </w:tcPr>
          <w:p>
            <w:r>
              <w:t>Withheld unless candidates emerge from AZA; absence itself reported</w:t>
            </w:r>
          </w:p>
        </w:tc>
        <w:tc>
          <w:tcPr>
            <w:tcW w:type="dxa" w:w="2160"/>
          </w:tcPr>
          <w:p>
            <w:r>
              <w:t>Full: observatory/altar precinct; capacity estimable</w:t>
            </w:r>
          </w:p>
        </w:tc>
      </w:tr>
      <w:tr>
        <w:tc>
          <w:tcPr>
            <w:tcW w:type="dxa" w:w="2160"/>
          </w:tcPr>
          <w:p>
            <w:r>
              <w:t>8 Ritual architecture - ST</w:t>
            </w:r>
          </w:p>
        </w:tc>
        <w:tc>
          <w:tcPr>
            <w:tcW w:type="dxa" w:w="2160"/>
          </w:tcPr>
          <w:p>
            <w:r>
              <w:t>Full: plaza integration/VGA/capacity</w:t>
            </w:r>
          </w:p>
        </w:tc>
        <w:tc>
          <w:tcPr>
            <w:tcW w:type="dxa" w:w="2160"/>
          </w:tcPr>
          <w:p>
            <w:r>
              <w:t>Withheld (as above)</w:t>
            </w:r>
          </w:p>
        </w:tc>
        <w:tc>
          <w:tcPr>
            <w:tcW w:type="dxa" w:w="2160"/>
          </w:tcPr>
          <w:p>
            <w:r>
              <w:t>Adapted: precinct placement on skeleton; VGA within exposures</w:t>
            </w:r>
          </w:p>
        </w:tc>
      </w:tr>
      <w:tr>
        <w:tc>
          <w:tcPr>
            <w:tcW w:type="dxa" w:w="2160"/>
          </w:tcPr>
          <w:p>
            <w:r>
              <w:t>9 Legitimation &amp; ideology - HH</w:t>
            </w:r>
          </w:p>
        </w:tc>
        <w:tc>
          <w:tcPr>
            <w:tcW w:type="dxa" w:w="2160"/>
          </w:tcPr>
          <w:p>
            <w:r>
              <w:t>Full (Choice/Control per house)</w:t>
            </w:r>
          </w:p>
        </w:tc>
        <w:tc>
          <w:tcPr>
            <w:tcW w:type="dxa" w:w="2160"/>
          </w:tcPr>
          <w:p>
            <w:r>
              <w:t>Full (reduced n)</w:t>
            </w:r>
          </w:p>
        </w:tc>
        <w:tc>
          <w:tcPr>
            <w:tcW w:type="dxa" w:w="2160"/>
          </w:tcPr>
          <w:p>
            <w:r>
              <w:t>Adapted: within precincts</w:t>
            </w:r>
          </w:p>
        </w:tc>
      </w:tr>
      <w:tr>
        <w:tc>
          <w:tcPr>
            <w:tcW w:type="dxa" w:w="2160"/>
          </w:tcPr>
          <w:p>
            <w:r>
              <w:t>9 Legitimation &amp; ideology - CL</w:t>
            </w:r>
          </w:p>
        </w:tc>
        <w:tc>
          <w:tcPr>
            <w:tcW w:type="dxa" w:w="2160"/>
          </w:tcPr>
          <w:p>
            <w:r>
              <w:t>Full (per residential group)</w:t>
            </w:r>
          </w:p>
        </w:tc>
        <w:tc>
          <w:tcPr>
            <w:tcW w:type="dxa" w:w="2160"/>
          </w:tcPr>
          <w:p>
            <w:r>
              <w:t>Adapted: per sub-phase clusters</w:t>
            </w:r>
          </w:p>
        </w:tc>
        <w:tc>
          <w:tcPr>
            <w:tcW w:type="dxa" w:w="2160"/>
          </w:tcPr>
          <w:p>
            <w:r>
              <w:t>Full: per precinct</w:t>
            </w:r>
          </w:p>
        </w:tc>
      </w:tr>
      <w:tr>
        <w:tc>
          <w:tcPr>
            <w:tcW w:type="dxa" w:w="2160"/>
          </w:tcPr>
          <w:p>
            <w:r>
              <w:t>9 Legitimation &amp; ideology - ST</w:t>
            </w:r>
          </w:p>
        </w:tc>
        <w:tc>
          <w:tcPr>
            <w:tcW w:type="dxa" w:w="2160"/>
          </w:tcPr>
          <w:p>
            <w:r>
              <w:t>Full (agent passage frequency)</w:t>
            </w:r>
          </w:p>
        </w:tc>
        <w:tc>
          <w:tcPr>
            <w:tcW w:type="dxa" w:w="2160"/>
          </w:tcPr>
          <w:p>
            <w:r>
              <w:t>Adapted: agent runs within exposure edges</w:t>
            </w:r>
          </w:p>
        </w:tc>
        <w:tc>
          <w:tcPr>
            <w:tcW w:type="dxa" w:w="2160"/>
          </w:tcPr>
          <w:p>
            <w:r>
              <w:t>Adapted: segment Choice substitutes for agent simulation on skeleton graphs</w:t>
            </w:r>
          </w:p>
        </w:tc>
      </w:tr>
      <w:tr>
        <w:tc>
          <w:tcPr>
            <w:tcW w:type="dxa" w:w="2160"/>
          </w:tcPr>
          <w:p>
            <w:r>
              <w:t>10 Symbols - HH</w:t>
            </w:r>
          </w:p>
        </w:tc>
        <w:tc>
          <w:tcPr>
            <w:tcW w:type="dxa" w:w="2160"/>
          </w:tcPr>
          <w:p>
            <w:r>
              <w:t>Full (painted-pottery distribution x visibility)</w:t>
            </w:r>
          </w:p>
        </w:tc>
        <w:tc>
          <w:tcPr>
            <w:tcW w:type="dxa" w:w="2160"/>
          </w:tcPr>
          <w:p>
            <w:r>
              <w:t>Adapted: symbols concentrated in mortuary domain; joint type-context reading</w:t>
            </w:r>
          </w:p>
        </w:tc>
        <w:tc>
          <w:tcPr>
            <w:tcW w:type="dxa" w:w="2160"/>
          </w:tcPr>
          <w:p>
            <w:r>
              <w:t>Full within precincts (display contexts)</w:t>
            </w:r>
          </w:p>
        </w:tc>
      </w:tr>
      <w:tr>
        <w:tc>
          <w:tcPr>
            <w:tcW w:type="dxa" w:w="2160"/>
          </w:tcPr>
          <w:p>
            <w:r>
              <w:t>10 Symbols - CL</w:t>
            </w:r>
          </w:p>
        </w:tc>
        <w:tc>
          <w:tcPr>
            <w:tcW w:type="dxa" w:w="2160"/>
          </w:tcPr>
          <w:p>
            <w:r>
              <w:t>Full</w:t>
            </w:r>
          </w:p>
        </w:tc>
        <w:tc>
          <w:tcPr>
            <w:tcW w:type="dxa" w:w="2160"/>
          </w:tcPr>
          <w:p>
            <w:r>
              <w:t>Adapted (as above)</w:t>
            </w:r>
          </w:p>
        </w:tc>
        <w:tc>
          <w:tcPr>
            <w:tcW w:type="dxa" w:w="2160"/>
          </w:tcPr>
          <w:p>
            <w:r>
              <w:t>Full: per precinct</w:t>
            </w:r>
          </w:p>
        </w:tc>
      </w:tr>
      <w:tr>
        <w:tc>
          <w:tcPr>
            <w:tcW w:type="dxa" w:w="2160"/>
          </w:tcPr>
          <w:p>
            <w:r>
              <w:t>10 Symbols - ST</w:t>
            </w:r>
          </w:p>
        </w:tc>
        <w:tc>
          <w:tcPr>
            <w:tcW w:type="dxa" w:w="2160"/>
          </w:tcPr>
          <w:p>
            <w:r>
              <w:t>Full (VGA visual integration of open space)</w:t>
            </w:r>
          </w:p>
        </w:tc>
        <w:tc>
          <w:tcPr>
            <w:tcW w:type="dxa" w:w="2160"/>
          </w:tcPr>
          <w:p>
            <w:r>
              <w:t>Adapted: exposure-conditioned VGA</w:t>
            </w:r>
          </w:p>
        </w:tc>
        <w:tc>
          <w:tcPr>
            <w:tcW w:type="dxa" w:w="2160"/>
          </w:tcPr>
          <w:p>
            <w:r>
              <w:t>Adapted: monumental walls/gates VGA, reconstruction-dependent</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