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Theoretical Framework</w:t>
      </w:r>
    </w:p>
    <w:p>
      <w:r>
        <w:t>This chapter builds the apparatus of the dissertation. It moves from a general anthropological problem to the machinery constructed to study it, and it treats Neolithic China throughout as the testing ground rather than the source of the question. The problem is old and comparative: societies of similar scale organize power, cooperation, and access to resources in profoundly different ways, and archaeology has yet to explain how the cooperative arrangements of early villages fare when centralized polities emerge from them. The machinery is new in its combination: a dimensional account of corporate political organization, joined to a configurational theory of settlement space, and operationalized in a single hypothesis table that converts theoretical expectations into measurements.</w:t>
      </w:r>
    </w:p>
    <w:p>
      <w:r>
        <w:t>The order of the chapter is the order of the reasoning. Social complexity, understood after its nonlinear turn as a multidimensional outcome reached along multiple pathways, poses the comparative problem, and socio-political organization names the dimension of complexity this dissertation can analyze (Section 1). Dual-processual theory supplies the vocabulary for variation in socio-political organization, and its corporate pole carries a specific, fourfold theoretical gap (Section 2). Three research questions follow from that gap, and the Yellow River sequence of Jiahu, Jiangzhai, and Taosi is selected as the venue in which they can be answered (Section 3). The remainder of the chapter builds the answering apparatus: an account of corporate organization as a position along five analytical dimensions (Section 4), the social logic of space joined to Activity Zone Analysis as a theory of the evidence (Section 5), and the middle-range bridge whose operational form is Table 1 (Section 6). The chapter closes with the competing hypotheses for the core diachronic question (Section 7) and with the contributions the study anticipates and the conditions that bound them (Section 8).</w:t>
      </w:r>
    </w:p>
    <w:p>
      <w:pPr>
        <w:pStyle w:val="Heading1"/>
      </w:pPr>
      <w:r>
        <w:t>1. Social Complexity and Socio-Political Organization</w:t>
      </w:r>
    </w:p>
    <w:p>
      <w:pPr>
        <w:pStyle w:val="Heading2"/>
      </w:pPr>
      <w:r>
        <w:t>1.1 The Nonlinear Turn in Complexity Research</w:t>
      </w:r>
    </w:p>
    <w:p>
      <w:r>
        <w:t>The mid-twentieth-century evolutionary schemes of Service (1962) and Fried (1967) gave archaeology its first shared comparative vocabulary. Band, tribe, chiefdom, and state, or egalitarian, ranked, and stratified society, allowed researchers working on unrelated sequences to talk to one another, and the ambition of that generation should not be understated simply because its assumptions did not survive. The processual critique that followed relocated complexity from typological labels to systemic properties: for Flannery (1972), the evolution of complex societies was a matter of segregation, the internal differentiation and specialization of subsystems, and centralization, the degree of linkage between those subsystems and the highest-order controls that regulate them. A society was more complex not because it occupied a higher rung on a ladder but because its parts were more differentiated and more tightly integrated. I rehearse this background only briefly, because the framework of this dissertation begins where the unilinear assumption ends.</w:t>
      </w:r>
    </w:p>
    <w:p>
      <w:r>
        <w:t>The decisive development came when comparative evidence made the unilinear assumption untenable. Drennan's (1995) comparison of chiefdoms in northern South America showed that polities of similar demographic scale constituted power in fundamentally different ways: some through control of subsistence economies, others through ritual authority or warfare, with correspondingly different material signatures. Crumley (1995) introduced heterarchy to name organizational forms whose elements are unranked, or rankable in multiple ways, and in doing so decoupled complexity from hierarchy in principle; the African sequences assembled in McIntosh (1999) substantiate that decoupling at regional scale, documenting trajectories that reached considerable scale and differentiation without converging on apex hierarchy. Feinman (2013) showed with cross-cultural data that the relationship between population size and organizational complexity, robust across broad demographic ranges, weakens within narrower bands, so that communities of equivalent size can be organized in fundamentally different ways. And the comparative settlement record shows patterned variation among regional trajectories of community growth rather than convergence on a single sequence (Peterson &amp; Drennan, 2012). On this view, complexity is the scale and differentiation of societal roles and interactions, emergent and nonlinear rather than staged, as the complex systems literature in archaeology now frames it (Davis, 2024). The productive comparative question is no longer what stage a society reached but by what organizational pathway its complexity was constituted.</w:t>
      </w:r>
    </w:p>
    <w:p>
      <w:r>
        <w:t>If pathways differ, the analysis needs a name for what exactly differs among them. That object is socio-political organization.</w:t>
      </w:r>
    </w:p>
    <w:p>
      <w:pPr>
        <w:pStyle w:val="Heading2"/>
      </w:pPr>
      <w:r>
        <w:t>1.2 Socio-Political Organization: The Object of Analysis</w:t>
      </w:r>
    </w:p>
    <w:p>
      <w:r>
        <w:t>I define socio-political organization as the patterned arrangements through which a community organizes power, decision-making, cooperation, labor, and access to resources. The definition is deliberately organizational rather than institutional or ideological in emphasis: it targets the durable, recurrent arrangements that structured collective life, not the beliefs that legitimated them or the events through which they were contested.</w:t>
      </w:r>
    </w:p>
    <w:p>
      <w:r>
        <w:t>The concept does work in three directions at once, and for that reason it is the hinge of the framework. Looking back toward the nonlinear turn, socio-political organization is the dimension along which the multiple pathways of complexification actually diverge. When Drennan's chiefdoms of similar scale differ, they differ precisely in how authority is constituted, how cooperation is mobilized, and how benefits are distributed. Looking forward toward dual-processual theory, socio-political organization is the object whose variation the theory describes: corporate and network strategies, introduced in the next section, are alternative logics of socio-political organization, not alternative levels of complexity. And looking toward the analytical chapters, socio-political organization is what built environment analysis is ultimately after. Because the arrangements in question are regularized and recurrent, they impose recurring requirements on co-presence, access, movement, and oversight, and these requirements become legible in the configuration of settlement space and in the placement of activities within it. Section 5 develops that claim; here it is enough to register that the definition was chosen with the evidence in mind.</w:t>
      </w:r>
    </w:p>
    <w:p>
      <w:r>
        <w:t>Defining the object this way also bounds the dissertation's claims. The analysis does not promise access to kinship systems, to belief, or to individual events. It targets organizational arrangements at the scales where the built environment records them: the household, the residential cluster, and the settlement. This restraint is what allows the inferences of later chapters to be disciplined rather than speculative, and I return to it as a scope condition in Section 8.</w:t>
      </w:r>
    </w:p>
    <w:p>
      <w:r>
        <w:t>With the object defined, the framework needs a theory of its variation. Dual-processual theory provides it.</w:t>
      </w:r>
    </w:p>
    <w:p>
      <w:pPr>
        <w:pStyle w:val="Heading1"/>
      </w:pPr>
      <w:r>
        <w:t>2. Dual-Processual Theory: The Model and Its Gap</w:t>
      </w:r>
    </w:p>
    <w:p>
      <w:pPr>
        <w:pStyle w:val="Heading2"/>
      </w:pPr>
      <w:r>
        <w:t>2.1 The Model: Strategies, Not Types</w:t>
      </w:r>
    </w:p>
    <w:p>
      <w:r>
        <w:t>Dual-processual theory distinguishes two strategies by which actors pursue and constrain power (Blanton et al., 1996). Its recognized ancestor is Renfrew's (1974) contrast between group-oriented and individualizing chiefdoms, which registered, a generation earlier, that the societies of prehistoric Europe invested in two different directions: some in communal monuments with little trace of personal wealth, others in the aggrandizement and rich burial of individuals. Blanton and colleagues generalized the contrast and gave it a political mechanism. Under an exclusionary or network strategy, aspirants monopolize advantage through personal exchange networks, prestige goods, and individual aggrandizement; power flows through persons and the relationships they control. Under a corporate strategy, power is distributed across groups and sectors of the community, wealth differences are muted, and legitimation emphasizes the collective whole; power flows through structures that no single person owns.</w:t>
      </w:r>
    </w:p>
    <w:p>
      <w:r>
        <w:t>Three properties of the original formulation matter for everything that follows. First, the strategies are pursued by actors within any society; they are not types of society. A single community can harbor both, and the analytical question is which strategy predominates in which domain. Second, the two strategies form a continuum of emphasis rather than a dichotomy, so that cases are placed along an axis rather than sorted into boxes. Third, the corporate-network axis is orthogonal to scale and to hierarchy: a community can be large and corporate, small and exclusionary, hierarchical and corporate at once, and it can move along the axis through time (Feinman, 2000, 2001). This orthogonality is what suits the framework to a sequence, like the one studied here, in which scale and strategy may change independently.</w:t>
      </w:r>
    </w:p>
    <w:p>
      <w:r>
        <w:t>The framework has continued to develop, most prominently in the collective action research that reframed corporate questions as questions about how cooperation is funded and governed (Blanton &amp; Fargher, 2008; Carballo &amp; Feinman, 2016). This dissertation acknowledges that direction but does not pursue it. Its concern is the corporate organization strand of the tradition (Feinman, 2000; Fargher, 2016): the internal structure and historical dynamics of the corporate mode itself, which I argue has remained analytically thinner than the network pole it was paired with. Stating precisely what analytically thinner means is the work of the next section, because the dissertation's questions arise from it.</w:t>
      </w:r>
    </w:p>
    <w:p>
      <w:pPr>
        <w:pStyle w:val="Heading2"/>
      </w:pPr>
      <w:r>
        <w:t>2.2 The Theoretical Gap</w:t>
      </w:r>
    </w:p>
    <w:p>
      <w:r>
        <w:t>Set against the maturity of the framework's network pole, four weaknesses define the gap this dissertation addresses.</w:t>
      </w:r>
    </w:p>
    <w:p>
      <w:r>
        <w:t>The first is asymmetric development. The network strategy is richly specified. Aggrandizers, prestige-goods circulation, wealth finance, and individualizing monuments give it a dense indicator vocabulary, and an analyst confronting a network-oriented case knows what to look for and how to grade it. The corporate strategy, by contrast, is characterized largely by muting and absence: suppressed wealth differences, faceless monuments, anonymized leadership (Blanton et al., 1996; Feinman, 2000). The characterization is drawn in the negative, and a mode defined mainly by what it lacks cannot support fine-grained comparison among corporate cases. Two corporate villages may differ from each other as profoundly as either differs from a network-oriented center, and the framework as it stands offers little vocabulary for saying how.</w:t>
      </w:r>
    </w:p>
    <w:p>
      <w:r>
        <w:t>The second is synchronic use. In practice the corporate-network axis has served mostly to classify cases at single moments. Movement along the axis is documented; the shift at Cahokia from group-oriented mound construction to prestige-goods strategies is the best-known example (Trubitt, 2000). But the framework offers little apparatus for describing how corporate organization itself changes: what, other than "toward network," a corporate transformation consists of.</w:t>
      </w:r>
    </w:p>
    <w:p>
      <w:r>
        <w:t>The third is an unanswered general question. When centralized, hierarchical polities emerge in a sequence that began with cooperative villages, the corporate arrangements of the preceding period must have gone somewhere. They may have dissolved. They may have been rescaled and formalized into the fabric of the new centers. They may have persisted alongside exclusionary strategies at other scales of the same settlements. Comparative cases document each outcome locally: the emergence of corporate buildings alongside deepening household autonomy in Southwest Asian villages (Byrd, 1994), the Cahokian shift (Trubitt, 2000), scalar coexistence at Teotihuacan (Manzanilla, 2015), and communality under tension in Neolithic European agglomerations (Furholt et al., 2020). But the question has not been given a systematic analytical form. It is posed case by case and answered narratively, and no protocol exists for deciding among the outcomes on evidence.</w:t>
      </w:r>
    </w:p>
    <w:p>
      <w:r>
        <w:t>The fourth is undeveloped spatial operationalization. The framework's material tendencies are stated mainly in terms of portable artifacts, burials, and monument styles (Blanton et al., 1996; Feinman, 2000). Yet the strategies' most direct material consequences are configurational. Corporate and network arrangements make opposite demands on assembly, access, movement, and oversight, and these are properties of settlement space that have barely been operationalized for strategy assessment (cf. Fisher, 2009).</w:t>
      </w:r>
    </w:p>
    <w:p>
      <w:r>
        <w:t>The four weaknesses form a chain. An underspecified corporate mode cannot have its transformations described; undescribed transformations cannot be traced through episodes of centralization; and none of this can be tested without operational measures. Addressing the chain requires questions that target each link, and a venue in which the answers are empirically accessible.</w:t>
      </w:r>
    </w:p>
    <w:p>
      <w:pPr>
        <w:pStyle w:val="Heading1"/>
      </w:pPr>
      <w:r>
        <w:t>3. Research Questions and the Testing Ground</w:t>
      </w:r>
    </w:p>
    <w:p>
      <w:pPr>
        <w:pStyle w:val="Heading2"/>
      </w:pPr>
      <w:r>
        <w:t>3.1 The Testing Ground: The Yellow River Sequence</w:t>
      </w:r>
    </w:p>
    <w:p>
      <w:r>
        <w:t>A venue for these questions must satisfy demanding conditions: settlement plans complete enough for configurational measurement, artifact provenience published at feature level, and a documented sequence running from early cooperative villages to a centralized polity. The middle reaches of the Yellow River basin satisfy all three, and they do so because of the discipline's own history there. Settlement-based reasoning about social organization has been an actively developed research program in Chinese archaeology since K. C. Chang introduced settlement patterns as both subject and method and Yan Wenming theorized settlement archaeology as a route to social structure (Chang, 1958, 1968, 1986; Yan, 1997a, 1997b; Hein, 2022). Two generations of regional survey and household-scale analysis then built secure chronologies and quantified village interiors (Liu, 1996, 2004; Liu et al., 2002, 2019; Drennan &amp; Dai, 2010; Underhill et al., 2008; Peterson &amp; Drennan, 2012; Peterson &amp; Shelach, 2012; Lee, 2007). The resulting record includes village plans of unusual completeness with feature-level provenience in full excavation reports, exactly what a joint configurational and functional analysis requires (Xi'an Banpo Museum et al., 1988; Henan Provincial Institute of Cultural Relics and Archaeology, 1999; Institute of Archaeology, Chinese Academy of Social Sciences, &amp; Shanxi Provincial Linfen Municipal Bureau of Cultural Relics, 2015). For Taosi, the 1978-1985 report is supplemented by the published results of the subsequent seasons that exposed the walled enclosure and the palatial precinct (He, 2018; Liu &amp; Chen, 2012).</w:t>
      </w:r>
    </w:p>
    <w:p>
      <w:r>
        <w:t>Three sites anchor the test. Jiahu (ca. 7000-5700 BC) documents an extensively exposed early sedentary village. Jiangzhai (ca. 4700-4400 BC) preserves the canonical centripetal village plan of the Banpo type, five clusters of dwellings opening onto a central plaza. Taosi (ca. 2300-1900 BC) is a walled center with palatial architecture and pronounced mortuary differentiation (Zhang &amp; Cui, 2013; Peterson &amp; Shelach, 2012; Lee, 2007; Liu &amp; Chen, 2012; He, 2018). The sequence spans precisely the transition the general question concerns: from cooperative village to centralized polity within a single macro-region.</w:t>
      </w:r>
    </w:p>
    <w:p>
      <w:r>
        <w:t>Two further features make the venue apt rather than merely adequate. The prevailing account of Chinese complexification is a narrative of gradual development toward centralized authority, classically theorized as the progressive monopolization of ritual communication (Chang, 1983; Liu, 2004, 2009; Underhill, 1997). Under that narrative, the cooperative substrate of the sequence has been described but not analyzed in its own right; the early villages appear as a baseline from which hierarchy departs, not as organizational achievements with structures and dynamics of their own. And configurational methods remain almost unapplied to this record, so the measurements themselves break new ground (Meng &amp; Zhang, 2025; Song &amp; Zhang, 2022). The choice is a reasoned selection of a testing ground, not a claim that the Yellow River case is unique; Section 8 states the terms on which its results may travel.</w:t>
      </w:r>
    </w:p>
    <w:p>
      <w:pPr>
        <w:pStyle w:val="Heading2"/>
      </w:pPr>
      <w:r>
        <w:t>3.2 The Questions</w:t>
      </w:r>
    </w:p>
    <w:p>
      <w:r>
        <w:t>Three research questions target the gap at its links. They are stated here in the form in which the dissertation will answer them; the apparatus they presuppose occupies Sections 4 through 6, and the competing hypotheses for the second question are developed in Section 7.</w:t>
      </w:r>
    </w:p>
    <w:p>
      <w:r>
        <w:t>RQ1. In what ways did spatial configurations at Jiahu, Jiangzhai, and Taosi structure the distribution of power, access, and coordination, and do these patterns align more closely with corporate or network strategies?</w:t>
      </w:r>
    </w:p>
    <w:p>
      <w:r>
        <w:t>RQ1 addresses the operationalization weakness. It asks for strategy assessment from measured configuration and provenienced function, at each settlement and at each analytical scale, and it can be answered only if the framework's tendencies are first translated into configurational and functional expectations.</w:t>
      </w:r>
    </w:p>
    <w:p>
      <w:r>
        <w:t>RQ2. How did the spatial expression of political authority change from Jiahu to Jiangzhai to Taosi? Do these changes indicate a shift between corporate and network strategies, increasing formalization, or hybrid forms?</w:t>
      </w:r>
    </w:p>
    <w:p>
      <w:r>
        <w:t>RQ2 is the dissertation's core question, and it addresses the transformation and fate weaknesses together. It converts the general question of corporate organization's career under centralization into an empirically decidable comparison across the sequence: the three alternatives named in the question become, in Section 7, three competing hypotheses paired with the evidence that would refute each.</w:t>
      </w:r>
    </w:p>
    <w:p>
      <w:r>
        <w:t>RQ3. What do the diachronic spatial and organizational patterns across the Jiahu, Jiangzhai, and Taosi sequence reveal about the pathways of social complexification in early agricultural societies, and how do they compare with broader cross-cultural patterns of corporate and network strategies in political trajectories?</w:t>
      </w:r>
    </w:p>
    <w:p>
      <w:r>
        <w:t>RQ3 returns the result to the comparative problem of Section 1, asking what the Yellow River trajectory contributes to the cross-cultural understanding of cooperation and its fate in early agricultural societies.</w:t>
      </w:r>
    </w:p>
    <w:p>
      <w:r>
        <w:t>The questions are posed and the venue is fixed. What follows builds the means of answering: first internal structure for the corporate mode, then a theory of spatial evidence, then their operational junction.</w:t>
      </w:r>
    </w:p>
    <w:p>
      <w:pPr>
        <w:pStyle w:val="Heading1"/>
      </w:pPr>
      <w:r>
        <w:t>4. The Dynamics of Corporate Organization: A Dimensional Account</w:t>
      </w:r>
    </w:p>
    <w:p>
      <w:pPr>
        <w:pStyle w:val="Heading2"/>
      </w:pPr>
      <w:r>
        <w:t>4.1 Five Dimensions of Variation and Transformation</w:t>
      </w:r>
    </w:p>
    <w:p>
      <w:r>
        <w:t>The first requirement the research questions impose is internal structure for the corporate mode, whose absence constitutes the first two weaknesses of Section 2.2. A binary corporate-or-network diagnosis would be uninformative for most of the Chinese Neolithic sequence, where prior readings already place the early villages on the egalitarian-to-corporate side even as they differ on how far household-level differentiation qualifies that reading (Lee, 2007; Peterson &amp; Shelach, 2012; Zhang &amp; Cui, 2013). To classify Jiangzhai as corporate is to say almost nothing that its excavators did not already assume. The productive question is how corporate organization differed and transformed across the sequence.</w:t>
      </w:r>
    </w:p>
    <w:p>
      <w:r>
        <w:t>I therefore treat the corporate mode not as one thing but as a position along five analytical dimensions. These are dimensions of a single strategy, not subtypes. A community's corporate organization is characterized by its position on each, and transformation is movement along them. The dimensions are constructed from the comparative literature, and each will later anchor a set of expectations in Table 1.</w:t>
      </w:r>
    </w:p>
    <w:p>
      <w:r>
        <w:t>The first dimension is the scale of the cooperating unit. Corporate arrangements can knit together households, residential clusters, whole settlements, or multi-settlement groups, and ethnographic and archaeological work shows corporate groups forming and operating at sharply different scales, with different material footprints at each (Hayden &amp; Cannon, 1982; Gillespie, 2000). Scale is not organizationally neutral. As the cooperating unit grows, the information load of face-to-face coordination rises nonlinearly, so that enlargement forces either segmentation or new integrative arrangements (Johnson, 1982), a dynamic documented comparatively for settlement nucleation across the Old World (Gyucha &amp; Salisbury, 2022). Rescaling, as when village-level cooperation absorbs or overrides cluster-level cooperation, is therefore one of the principal forms corporate transformation can take, and it is never merely quantitative.</w:t>
      </w:r>
    </w:p>
    <w:p>
      <w:r>
        <w:t>The second dimension is the economic base of cooperation. Corporate arrangements differ in what funds them: pooled staple production, shared storage, communal labor on land and water, or more specialized revenue. The resource base conditions whether cooperative ownership arrangements are viable at all and how robust they remain under environmental and demographic stress (Freeman &amp; Anderies, 2015), and finance-oriented work distinguishes staple-based from wealth-based provisioning as material signatures (D'Altroy &amp; Earle, 1985; Earle, 2016), a distinction the collective action literature ties to how governance itself is funded (Blanton &amp; Fargher, 2008). A corporate order funded by pooled staples and one funded by controlled exchange are different organizations even if both mute wealth display.</w:t>
      </w:r>
    </w:p>
    <w:p>
      <w:r>
        <w:t>The third dimension is the degree of formalization. Collective arrangements range from diffuse norms enacted in everyday practice to formalized offices, dedicated facilities, and dedicated spaces; this gradient of formality, durability, and resourcing is precisely what the institutional turn in archaeology proposes to measure (Holland-Lulewicz et al., 2020). Spatially, formalization is visible in whether coordination occupies purpose-built, persistent locations or is distributed through domestic space, and this dimension underwrites the legibility expectations developed in Section 6.</w:t>
      </w:r>
    </w:p>
    <w:p>
      <w:r>
        <w:t>The fourth dimension is scalar coexistence with exclusionary strategies. Corporate and network strategies can operate simultaneously at different scales of the same community, as Manzanilla (2015) has shown for Teotihuacan, where corporate neighborhood organization coexisted with more exclusionary dynamics at other levels of the city. A settlement is therefore assessed scale by scale, and cross-scale dissonance is an expected, meaningful outcome rather than a contradiction to be explained away.</w:t>
      </w:r>
    </w:p>
    <w:p>
      <w:r>
        <w:t>The fifth dimension is stability, tension, and strategic shift. Corporate arrangements can hold household differentiation in a stable frame, fracture under it, or give way to exclusionary strategies. Documented cases include the shift from group-oriented monument building to prestige-goods strategies at Cahokia (Trubitt, 2000) and the resolution of communal-household tension through enclosure and separation in Neolithic Europe (Furholt et al., 2020). Where a sequence moves on this dimension is the heart of RQ2.</w:t>
      </w:r>
    </w:p>
    <w:p>
      <w:r>
        <w:t>Five dimensions give the corporate mode internal structure, but they remain abstractions until each is tied to material evidence under explicit rules.</w:t>
      </w:r>
    </w:p>
    <w:p>
      <w:pPr>
        <w:pStyle w:val="Heading2"/>
      </w:pPr>
      <w:r>
        <w:t>4.2 The Discipline of Material Indicators</w:t>
      </w:r>
    </w:p>
    <w:p>
      <w:r>
        <w:t>Three rules govern how the dimensions are read from evidence, and they apply to every inference in the analytical chapters.</w:t>
      </w:r>
    </w:p>
    <w:p>
      <w:r>
        <w:t>The first rule is mechanism before indicator. No material pattern counts as evidence for a strategy unless the argument states why that strategy's arrangements would produce that pattern. Indicators inherit their meaning from mechanisms, not from precedent alone; a pattern that has served as a corporate indicator elsewhere earns no standing here until the mechanism that links it to corporate organization is stated and shown to apply.</w:t>
      </w:r>
    </w:p>
    <w:p>
      <w:r>
        <w:t>The second rule is convergence. A strategy assessment at any scale requires the alignment of multiple independent tendencies drawn from different evidence classes. Misalignment is reported as misalignment and treated as a finding about organizational heterogeneity rather than smoothed away in favor of the majority reading.</w:t>
      </w:r>
    </w:p>
    <w:p>
      <w:r>
        <w:t>The third rule is context-dependence. The same artifact class or spatial form can serve either strategy depending on its distribution and setting, so type and context are read jointly. Painted pottery concentrated in a few residences and painted pottery distributed across every household are different facts, although the sherds are the same.</w:t>
      </w:r>
    </w:p>
    <w:p>
      <w:r>
        <w:t>These rules are restated operationally in Section 6, where they govern the evaluation of the ten tendencies. What the strategy concepts still lack is a theory of the evidence itself: a reason why settlement space, of all records, should register socio-political organization. That reason is the subject of Section 5, and it answers the fourth weakness of Section 2.2.</w:t>
      </w:r>
    </w:p>
    <w:p>
      <w:pPr>
        <w:pStyle w:val="Heading1"/>
      </w:pPr>
      <w:r>
        <w:t>5. The Social Logic of Space</w:t>
      </w:r>
    </w:p>
    <w:p>
      <w:pPr>
        <w:pStyle w:val="Heading2"/>
      </w:pPr>
      <w:r>
        <w:t>5.1 Configuration as the Medium of Socio-Political Organization</w:t>
      </w:r>
    </w:p>
    <w:p>
      <w:r>
        <w:t>The built environment is uniquely suited to recording socio-political organization because it is simultaneously the product of organizational practice and the infrastructure that constrains future practice (Lawrence &amp; Low, 1990; Kent, 1990; Rapoport, 1990). A community builds the spaces its arrangements require, and then those spaces channel who meets whom, who passes where, and who can watch whom, long after the builders are gone. The social logic of space gives this intuition analytical form. A settlement layout is a configuration: a system of spatial relations whose properties shape the probabilistic field of encounter, movement, and oversight within which social life unfolds (Hillier &amp; Hanson, 1984; Hillier, 1996; Bafna, 2003).</w:t>
      </w:r>
    </w:p>
    <w:p>
      <w:r>
        <w:t>The framework's measures quantify exactly the properties that socio-political arrangements would need to govern. Integration measures how accessible each space is from all others, and therefore the potential of a space to assemble the community. Choice and Control measure the capacity of spaces to channel and gatekeep movement. Intelligibility, the correlation between local connectivity and global integration, measures whether the system's order is readable from within, and therefore whether spatial knowledge, and the coordination it carries, is widely shared or restricted (van Nes &amp; Yamu, 2021). Because corporate and network strategies make opposite demands on assembly, access, gatekeeping, and legibility, configuration is not a proxy for socio-political organization but its most direct material expression.</w:t>
      </w:r>
    </w:p>
    <w:p>
      <w:r>
        <w:t>A claim of this strength needs an epistemological position, a record of performance, and an honest account of its failure mode. The next two sections supply them in turn.</w:t>
      </w:r>
    </w:p>
    <w:p>
      <w:pPr>
        <w:pStyle w:val="Heading2"/>
      </w:pPr>
      <w:r>
        <w:t>5.2 Epistemological Position: Empirical Middle-Range Theory</w:t>
      </w:r>
    </w:p>
    <w:p>
      <w:r>
        <w:t>I position the social logic of space as empirical middle-range theory in Smith's (2011) sense: middle-range in Merton's meaning of tested propositions of intermediate generality that connect observable built form to social process, valuable precisely because it is neither grand theory nor mere technique. The usage must be kept distinct from the Binfordian, inferential sense of middle-range theory in which Section 6 builds its bridge, and I keep the two separate here as Smith himself urges: one names a body of theory, the other names a kind of argument.</w:t>
      </w:r>
    </w:p>
    <w:p>
      <w:r>
        <w:t>The archaeological track record supports the position. Configurational analysis has discriminated communal from restricted spatial orders, traced changing access regimes through architectural sequences, and identified gatekeeping structures, across contexts as different as historic Zuni pueblos, Iron Age Atlantic Scotland, Chacoan great houses, Inuit snow-house camps, Late Bronze Age Cyprus, and African urban landscapes (Ferguson, 1996; Foster, 1989; Van Dyke, 1999; Dawson, 2002; Fisher, 2009; Baumanova, 2016, 2020). These are not replications of a single demonstration; they span open and enclosed settlements, egalitarian and hierarchical polities, and architectural traditions with nothing in common but the fact of configuration. Using such a body of theory within a processual-plus pluralism that joins strategy theory to practice-informed spatial analysis is methodologically unremarkable rather than eclectic (Hegmon, 2003).</w:t>
      </w:r>
    </w:p>
    <w:p>
      <w:pPr>
        <w:pStyle w:val="Heading2"/>
      </w:pPr>
      <w:r>
        <w:t>5.3 The Limits and the Functional Corrective</w:t>
      </w:r>
    </w:p>
    <w:p>
      <w:r>
        <w:t>The framework's known failure mode is the inference from geometry alone, the objection pressed since Leach (1978): a configurational pattern does not announce which social process produced it, and identical syntactic profiles can serve different organizations. The objection is sound, and the design of this dissertation treats it as a design constraint rather than a rhetorical hazard. Two correctives discipline configurational inference here.</w:t>
      </w:r>
    </w:p>
    <w:p>
      <w:r>
        <w:t>The first is the prerequisite standard. Configurational analysis requires adequate plans, justified assumptions about openings and contemporaneity, and explicit formation-process assessment (Schiffer, 1987). These requirements are codified for configurational work in the critical methodological literature (Cutting, 2003, 2006), extended to histories of spatial modification and reuse (Fladd, 2017), and long established on the activity side, where assemblages must be shown to reflect the organization of activities rather than depositional accident before any functional reading (Binford, 1978; Carr, 1984). The Methods chapter states, site by site, how each requirement is met or where analysis is withheld because it cannot be.</w:t>
      </w:r>
    </w:p>
    <w:p>
      <w:r>
        <w:t>The second corrective is functional, and it is central to the dissertation's design. Space Syntax is never read alone. Every configurational claim is cross-examined against what was actually done, stored, and deposited in the spaces concerned, through Activity Zone Analysis of feature-level artifact provenience. A gatekeeping node that gatekeeps nothing of consequence is a geometric curiosity; a gatekeeping node through which storage, valuables, or ritual paraphernalia move is a political fact. The joint reading converts the equifinality problem from a fatal objection into a testable question, and it is what the expectations of Table 1 are built to exploit.</w:t>
      </w:r>
    </w:p>
    <w:p>
      <w:r>
        <w:t>Theory of organization and theory of evidence are now in place. What remains is to join them operationally.</w:t>
      </w:r>
    </w:p>
    <w:p>
      <w:pPr>
        <w:pStyle w:val="Heading1"/>
      </w:pPr>
      <w:r>
        <w:t>6. The Middle-Range Bridge: Table 1 as the Operational Core</w:t>
      </w:r>
    </w:p>
    <w:p>
      <w:r>
        <w:t>This section is the dissertation's middle-range theory in the Binfordian, inferential sense: arguments that link observable material patterns to the organizational dynamics that produced them (Binford, 1977). It converts the strategy concepts of Section 4 into falsifiable expectations stated in the measures of Section 5, organized as the ten tendencies of Table 1, which is reproduced in full below. The section proceeds in four steps: the form of the bridging argument (6.1), the table itself (6.2), the decision rules under which its expectations are evaluated (6.3), and a closing account of the table's internal logic (6.4).</w:t>
      </w:r>
    </w:p>
    <w:p>
      <w:pPr>
        <w:pStyle w:val="Heading2"/>
      </w:pPr>
      <w:r>
        <w:t>6.1 The Form of the Bridging Argument</w:t>
      </w:r>
    </w:p>
    <w:p>
      <w:r>
        <w:t>Each tendency instantiates one argument form: if a given political strategy organized this community, then a specified configurational-functional pattern should be observed, because the strategy's arrangements require particular regimes of co-presence, access, and oversight. Three checks apply to every instantiation. The bridging assumption must be independent, not presupposing the strategy it tests. Alternative dynamics that could generate the same pattern are listed in advance and, where possible, discriminated by additional expectations. And the pattern that would contradict the assumption is stated before analysis. The full inferential chain, from observed plan and provenience through formation-process assessment to configurational-functional pattern and finally to strategy assessment along the dimensions of Section 4.1, is assessable link by link, and its claims are conditional on the formation-process assessment developed in the Methods chapter.</w:t>
      </w:r>
    </w:p>
    <w:p>
      <w:r>
        <w:t>The mechanisms behind the expectations follow from Section 2. Corporate arrangements coordinate through broad participation and mutual visibility, so they require large-capacity communal nodes embedded in everyday circulation, a publicly legible spatial order, symmetric access from all residential segments, and provisioning facilities positioned within rather than sequestered from routine movement (Blanton et al., 1996; Hillier &amp; Hanson, 1984; Stone, 2000); the dedicated facilities that house such coordination are what institutional archaeology has recently described as the material anchors of broadly participatory governance (Holland-Lulewicz et al., 2022). Network strategies concentrate power through personal control of resources and relationships, so they require brokered movement through gatekeeping chokepoints, restricted high-control positions for valued activities, the dissociation of visibility from accessibility, and the capture of structural advantage by particular residences or precincts (Blanton et al., 1996; Fisher, 2009; Monroe, 2010). These are tendencies with mechanisms, not signatures with guarantees; the rules of Section 6.3 govern how much weight any single pattern carries.</w:t>
      </w:r>
    </w:p>
    <w:p>
      <w:pPr>
        <w:pStyle w:val="Heading2"/>
      </w:pPr>
      <w:r>
        <w:t>6.2 Table 1: Dual-Processual Tendencies with Space Syntax and Integrated SS + AZA Expected Features</w:t>
      </w:r>
    </w:p>
    <w:p>
      <w:r>
        <w:t>Table 1. Dual-Processual Tendencies with Space Syntax and Integrated SS + AZA Expected Features</w:t>
      </w:r>
    </w:p>
    <w:p>
      <w:r>
        <w:t>For each tendency, columns 4 and 5 state the expected spatial features under network and corporate strategies. Column 6 specifies the analytical methods and metrics used to evaluate each expectation.</w:t>
      </w:r>
    </w:p>
    <w:p>
      <w:r>
        <w:t>Note on AZA artifact classification. Columns 4 and 5 refer to artifact classes diagnostically associated with network or corporate strategies (following Feinman 2000; adapted to Chinese Neolithic assemblages after Shelach 2006; Peterson et al. 2016; Tu et al. 2022). Network-associated artifacts include items linked to personal accumulation and exclusive display: jade and stone personal ornaments (huang, jue, pendants, tube beads), turquoise inlay, alligator-skin drums (tuogu), stone chimes (teqing), painted pottery with restricted motifs (e.g., Taosi dragon-pattern vessels), lacquerware, exotic shell, and concentrated pig-mandible deposits in elite burials. Corporate-associated artifacts include items linked to collective provisioning, shared labor, and communal use: large cooking and serving vessels (deep-bellied jars, ding and li tripods), storage jars, grinding stones, agricultural tools (stone knives, bone spades), charred grain, faunal remains, spindle whorls, and widely shared painted pottery (e.g., Yangshao polychrome wares distributed across households). The diagnostic signal depends jointly on artifact type and spatial context: painted pottery, pig mandibles, and jade may indicate either strategy depending on whether they concentrate in individual residences and elite burials (network) or distribute evenly across households and communal spaces (corporate). Artifact lists are adjusted per site based on recovery context, while the network-corporate distinction is held constant across Jiahu, Jiangzhai, and Taosi.</w:t>
      </w:r>
    </w:p>
    <w:p>
      <w:r>
        <w:t>Note on analytical methods and metrics. The citations in column 6 index precedents for the Space Syntax analyses, that is, for the configurational measures (Integration, Choice, Control, step depth, intelligibility), for visibility graph analysis (Turner et al., 2001), and for agent-based movement analysis (Turner &amp; Penn, 2002), rather than for the statistical procedures that accompany them; the statistics are standard tests, and each is specified here by what it is used to evaluate. Spearman's rho tests whether the syntactic centrality of spaces (Integration, Choice, or Control) covaries with the density of a given artifact class, and therefore whether movement structure and accumulation are coupled, a network expectation, or decoupled, a corporate expectation. The coefficient of variation (CV) of Choice or Control values measures how evenly the capacity to channel and gatekeep movement is distributed across a settlement's spaces: a high CV means gatekeeping is concentrated in a few nodes, a low CV that it is broadly shared. The Kruskal-Wallis test evaluates whether Integration differs significantly among residential clusters, that is, whether any cluster occupies a systematically privileged position in the access structure. Step-depth comparison measures the topological distance from each residential cluster to the communal nodes, so that symmetry of depths indicates comparable access from all segments and asymmetry indicates privileged access. Intelligibility is quantified as the coefficient of determination (R2) of the correlation between local Connectivity and global Integration, measuring whether the settlement's overall structure is learnable from what is visible locally. The Gini coefficient and CV of grave-good counts measure how strongly mortuary wealth is concentrated in few burials. Agent-based simulation estimates the passage frequency each space would attract under natural movement, identifying spaces that capture disproportionate through-movement, and VGA visual integration measures how visually prominent each space is, so that the alignment or dissociation of VGA and Integration values tests whether visually prominent spaces are also physically accessible. Each procedure is thus fixed in advance to the organizational question its row poses.</w:t>
      </w:r>
    </w:p>
    <w:p>
      <w:r>
        <w:t>This table is adapted from Feinman (2000: Table 3.2, p. 39), with the corporate and network tendencies reorganized and operationalized through Space Syntax and Activity Zone Analysis (AZA) metrics.</w:t>
      </w:r>
    </w:p>
    <w:p>
      <w:pPr>
        <w:pStyle w:val="Heading2"/>
      </w:pPr>
      <w:r>
        <w:t>6.3 Convergence, Equifinality, Falsification, and Scale</w:t>
      </w:r>
    </w:p>
    <w:p>
      <w:r>
        <w:t>Four decision rules govern the evaluation of the ten tendencies, and they carry the discipline of Section 4.2 into practice.</w:t>
      </w:r>
    </w:p>
    <w:p>
      <w:r>
        <w:t>Convergence. A strategy assessment at any scale requires alignment of multiple tendencies drawn from different evidence classes. Misaligned tendencies are reported as misalignment and treated as findings about organizational heterogeneity, keeping every assessment exposed to refutation in the manner of the quantitative hypothesis test that Carleton et al. (2013) applied to social reconstructions at Çatalhöyük.</w:t>
      </w:r>
    </w:p>
    <w:p>
      <w:r>
        <w:t>Equifinality control. For each tendency, non-strategic generators of the same pattern are listed in advance and addressed with targeted checks: topographic constraint, growth history, preservation and excavation coverage, and the channeling of segmentation by vertical constraint on mounded sites (Steadman, 2000). The checks include terrain-conditioned comparisons, recovery-bias assessment, and phase-controlled analysis.</w:t>
      </w:r>
    </w:p>
    <w:p>
      <w:r>
        <w:t>Falsification. Each hypothesis of Section 7 is paired with the configurational-functional pattern that would contradict it. The framework is designed so that corporate transformation is a result the data could have refused.</w:t>
      </w:r>
    </w:p>
    <w:p>
      <w:r>
        <w:t>Scale stratification. Every tendency is evaluated at three nested scales, building or household, cluster or neighborhood, and settlement, because strategies can diverge across scales of one community (Manzanilla, 2015), and configurational analysis is established at each of these scales, down to the individual dwelling (Hanson, 1998). Cross-scale dissonance is an expected and theoretically meaningful outcome, particularly at Taosi.</w:t>
      </w:r>
    </w:p>
    <w:p>
      <w:pPr>
        <w:pStyle w:val="Heading2"/>
      </w:pPr>
      <w:r>
        <w:t>6.4 The Logic of the Prediction Table</w:t>
      </w:r>
    </w:p>
    <w:p>
      <w:r>
        <w:t>Table 1 is the framework's culmination, and its architecture encodes the framework's commitments; this closing section states how the table is to be read, so that the chapter ends where the analysis will begin.</w:t>
      </w:r>
    </w:p>
    <w:p>
      <w:r>
        <w:t>Read horizontally, each row is one independent, falsifiable test. The first three columns restate a tendency in Feinman's (2000) comparative terms: the dimension of socio-political organization at issue, and its characteristic network and corporate expressions. The fourth column translates those expressions into purely configurational expectations, the patterns Space Syntax alone should detect if the strategy operated. The fifth column states the stronger, joint expectation: what configuration and activity evidence should show together, with artifact classes read under the joint-diagnosticity principle of the table's classification note. The sixth column fixes, in advance of analysis, the metrics and tests by which the expectation will be evaluated. The separation of the fourth and fifth columns is deliberate, and it carries the framework's answer to the equifinality problem: a configurational pattern alone is suggestive but underdetermined, and only its conjunction with the predicted functional pattern counts as evidence for a strategy. The table thereby builds the corrective of Section 5.3 into every test rather than applying it after the fact.</w:t>
      </w:r>
    </w:p>
    <w:p>
      <w:r>
        <w:t>Read vertically, the rows are not interchangeable items on a checklist; they group into the dimensions of Section 4.1 and aggregate into the answers the research questions require. The legibility row operationalizes formalization. The political-dynamics row operationalizes the scale of the cooperating unit. The finance row operationalizes the economic base. And because every row is evaluated at three nested scales under the rules of Section 6.3, the wealth, power, legitimation, and symbols rows jointly register scalar coexistence wherever corporate and network profiles diverge across scales of one settlement. A site's row-by-row, scale-by-scale outcomes therefore compose the strategy profile that answers RQ1. The displacement of those profiles across Jiahu, Jiangzhai, and Taosi, read along the five dimensions, is the observation language in which the competing hypotheses of RQ2 are stated and discriminated. And because the rows, classes, and metrics are held constant across the three sites, the profiles are comparable by construction, which is what RQ3 presupposes. No analysis in the dissertation stands outside this table: every result either evaluates one of its cells or tests the formation-process conditions on which the evaluation depends.</w:t>
      </w:r>
    </w:p>
    <w:p>
      <w:pPr>
        <w:pStyle w:val="Heading1"/>
      </w:pPr>
      <w:r>
        <w:t>7. Competing Hypotheses and the Path to Methods</w:t>
      </w:r>
    </w:p>
    <w:p>
      <w:r>
        <w:t>The research questions of Section 3 are answered through the bridge in a fixed order: RQ1 first and site by site, RQ2 through three competing hypotheses stated in the bridge's terms, and RQ3 only afterward and only within what the first two license.</w:t>
      </w:r>
    </w:p>
    <w:p>
      <w:pPr>
        <w:pStyle w:val="Heading2"/>
      </w:pPr>
      <w:r>
        <w:t>7.1 Evaluating RQ1: Strategy Profiles</w:t>
      </w:r>
    </w:p>
    <w:p>
      <w:r>
        <w:t>RQ1 is answered by applying the ten tendencies of Table 1 site by site and scale by scale, producing for each case a strategy profile rather than a label. The profiles are intermediate products. They discipline RQ2 by establishing what, exactly, is changing across the sequence, and they record cross-scale dissonance wherever it occurs rather than resolving it prematurely.</w:t>
      </w:r>
    </w:p>
    <w:p>
      <w:pPr>
        <w:pStyle w:val="Heading2"/>
      </w:pPr>
      <w:r>
        <w:t>7.2 Hypotheses for RQ2: The Transformation of Corporate Organization</w:t>
      </w:r>
    </w:p>
    <w:p>
      <w:r>
        <w:t>RQ2's three alternatives, strategic shift, increasing formalization, and hybrid forms, are developed as three competing hypotheses; they correspond to the three conceivable fates of corporate organization posed in Section 2.2. The dissertation reads the question through the dimensional apparatus of Section 4.1: what changes from site to site is corporate organization's position on the five dimensions, and the hypotheses are alternative descriptions of that movement.</w:t>
      </w:r>
    </w:p>
    <w:p>
      <w:r>
        <w:t>H-A, corporate rescaling and formalization. Corporate arrangements persisted but were rescaled upward and formalized, so that Taosi should show large-capacity, high-integration communal nodes, legible order, and staple-oriented centrality at the settlement scale, with corporate expectations met at larger scales than at Jiahu or Jiangzhai. H-A is falsified if Taosi's communal-scale spaces are configurationally restricted, illegible, or coupled to prestige accumulation.</w:t>
      </w:r>
    </w:p>
    <w:p>
      <w:r>
        <w:t>H-B, strategic shift. Corporate organization was displaced by network strategies, so that Taosi should show gatekept movement, household-linked structural advantage, prestige-centrality coupling, and low intelligibility across scales: the shift toward prestige-goods politics documented elsewhere (Trubitt, 2000). H-B is falsified if corporate expectations are met at any scale above the household.</w:t>
      </w:r>
    </w:p>
    <w:p>
      <w:r>
        <w:t>H-C, scalar coexistence. Corporate and exclusionary strategies operated simultaneously at different scales, on the Teotihuacan model (Manzanilla, 2015), so that Taosi should show corporate profiles at neighborhood or sector scale, including legible, symmetric, provisioning-oriented residential zones, coexisting with exclusionary profiles at the palatial or settlement scale. H-C is falsified if profiles are concordant across scales in either direction. It is the hypothesis under which the question of what surviving corporate organization looked like receives its most detailed answer, in the dimensional terms of Section 4.1.</w:t>
      </w:r>
    </w:p>
    <w:p>
      <w:r>
        <w:t>The statistical machinery developed for the hypothesis evaluation, nested comparisons across sites and scales, maps directly onto H-A through H-C; what the dimensional framing changes is the interpretive target, from levels of complexity to positions and movements along the corporate dimensions.</w:t>
      </w:r>
    </w:p>
    <w:p>
      <w:pPr>
        <w:pStyle w:val="Heading2"/>
      </w:pPr>
      <w:r>
        <w:t>7.3 Answering RQ3: The Comparative Protocol</w:t>
      </w:r>
    </w:p>
    <w:p>
      <w:r>
        <w:t>The comparative protocol for RQ3 is fixed in advance: analytical units and scales are specified, comparability is justified structurally rather than by resemblance, and scope conditions are stated. The comparanda are cases where corporate dynamics have been traced materially, including the emergence of corporate buildings alongside deepening household autonomy in Southwest Asian villages (Byrd, 1994), the strategy shift at Cahokia (Trubitt, 2000), communality under tension in European agglomerations (Furholt et al., 2020), and scalar coexistence at Teotihuacan (Manzanilla, 2015). RQ3 is answered after, and only in the terms licensed by, RQ1 and RQ2.</w:t>
      </w:r>
    </w:p>
    <w:p>
      <w:r>
        <w:t>The chapter's obligations are now discharged in order: the gap produced the questions, the framework produced the bridge, and the bridge produced evaluable hypotheses. The Methods chapter takes over from here, operationalizing each tendency's metrics, the formation-process assessments, and the statistical procedures the hypotheses require.</w:t>
      </w:r>
    </w:p>
    <w:p>
      <w:pPr>
        <w:pStyle w:val="Heading1"/>
      </w:pPr>
      <w:r>
        <w:t>8. Anticipated Contributions and Scope Conditions</w:t>
      </w:r>
    </w:p>
    <w:p>
      <w:r>
        <w:t>Empirically, the dissertation delivers the first systematic configurational measurements of three canonical Chinese Neolithic settlements and a constant-protocol diachronic comparison across five millennia. Theoretically, it offers a workable apparatus for studying transformations of corporate organization, five dimensions, ten operationalized tendencies, and scale-stratified evaluation, addressing the recognized thinness of the corporate pole without subdividing it into types, and it gives the question of corporate organization's fate under centralization an empirical form. Methodologically, it demonstrates an integrated Space Syntax and Activity Zone protocol, with explicit equifinality and falsification rules, transferable to any settlement with adequate plans and provenience.</w:t>
      </w:r>
    </w:p>
    <w:p>
      <w:r>
        <w:t>The scope conditions are stated as predictions rather than apologies. The framework applies where plans are sufficiently complete, contemporaneity is assessable, and provenience is published; where these conditions weaken, the convergence rule withholds assessment rather than diluting it. The conclusions concern socio-political organization at the household, cluster, and settlement scales of three sites in one macro-region. Their extension beyond that scope is a hypothesis the protocol makes testable elsewhere, not a claim this dissertation asserts.</w:t>
      </w:r>
    </w:p>
    <w:p>
      <w:pPr>
        <w:pStyle w:val="Heading1"/>
      </w:pPr>
      <w:r>
        <w:t>References Cited</w:t>
      </w:r>
    </w:p>
    <w:p>
      <w:r>
        <w:t>Alpay, A. I. (2022). The interrelation between humans and their built environment in the Early Bronze Age of Bademağacı Höyük, Turkey. In Proceedings of the 13th Space Syntax Symposium (pp. 1-27).</w:t>
      </w:r>
    </w:p>
    <w:p>
      <w:r>
        <w:t>Bafna, S. (2003). Space syntax: A brief introduction to its logic and analytical techniques. Environment and Behavior, 35(1), 17-29. https://doi.org/10.1177/0013916502238863</w:t>
      </w:r>
    </w:p>
    <w:p>
      <w:r>
        <w:t>Baumanova, M. (2016). Space matters: A reflection on archaeological theory and method for interpreting the materiality of space. Interdisciplinaria Archaeologica - Natural Sciences in Archaeology (IANSA), VII(2), 209-216. https://doi.org/10.24916/iansa.2016.2.6</w:t>
      </w:r>
    </w:p>
    <w:p>
      <w:r>
        <w:t>Baumanova, M. (2020). Sensory synaesthesia: Combined analyses based on space syntax in African urban contexts. African Archaeological Review, 37(1), 125-141. https://doi.org/10.1007/s10437-020-09368-9</w:t>
      </w:r>
    </w:p>
    <w:p>
      <w:r>
        <w:t>Benech, C. (2007). New approach to the study of city planning and domestic dwellings in the ancient Near East. Archaeological Prospection, 14(2), 87-103. https://doi.org/10.1002/arp.306</w:t>
      </w:r>
    </w:p>
    <w:p>
      <w:r>
        <w:t>Binford, L. R. (Ed.). (1977). For theory building in archaeology: Essays on faunal remains, aquatic resources, spatial analysis, and systemic modeling. Academic Press.</w:t>
      </w:r>
    </w:p>
    <w:p>
      <w:r>
        <w:t>Binford, L. R. (1978). Dimensional analysis of behavior and site structure: Learning from an Eskimo hunting stand. American Antiquity, 43(3), 330-361. https://doi.org/10.2307/279390</w:t>
      </w:r>
    </w:p>
    <w:p>
      <w:r>
        <w:t>Blanton, R. E., &amp; Fargher, L. F. (2008). Collective action in the formation of pre-modern states. Springer. https://doi.org/10.1007/978-0-387-73877-2</w:t>
      </w:r>
    </w:p>
    <w:p>
      <w:r>
        <w:t>Blanton, R. E., Feinman, G. M., Kowalewski, S. A., &amp; Peregrine, P. N. (1996). A dual-processual theory for the evolution of Mesoamerican civilization. Current Anthropology, 37(1), 1-14. https://doi.org/10.1086/204471</w:t>
      </w:r>
    </w:p>
    <w:p>
      <w:r>
        <w:t>Byrd, B. F. (1994). Public and private, domestic and corporate: The emergence of the Southwest Asian village. American Antiquity, 59(4), 639-666. https://doi.org/10.2307/282338</w:t>
      </w:r>
    </w:p>
    <w:p>
      <w:r>
        <w:t>Carballo, D. M., &amp; Feinman, G. M. (2016). Cooperation, collective action, and the archeology of large-scale societies. Evolutionary Anthropology, 25(6), 288-296. https://doi.org/10.1002/evan.21506</w:t>
      </w:r>
    </w:p>
    <w:p>
      <w:r>
        <w:t>Carleton, W. C., Conolly, J., &amp; Collard, M. (2013). Corporate kin-groups, social memory, and "history houses"? A quantitative test of recent reconstructions of social organization and building function at Çatalhöyük during the PPNB. Journal of Archaeological Science, 40(4), 1816-1822. https://doi.org/10.1016/j.jas.2012.11.011</w:t>
      </w:r>
    </w:p>
    <w:p>
      <w:r>
        <w:t>Carr, C. (1984). The nature of organization of intrasite archaeological records and spatial analytic approaches to their investigation. Advances in Archaeological Method and Theory, 7, 103-222.</w:t>
      </w:r>
    </w:p>
    <w:p>
      <w:r>
        <w:t>Chang, K. C. (1958). Study of the Neolithic social grouping: Examples from the New World. American Anthropologist, 60(2), 298-334. https://doi.org/10.1525/aa.1958.60.2.02a00080</w:t>
      </w:r>
    </w:p>
    <w:p>
      <w:r>
        <w:t>Chang, K. C. (Ed.). (1968). Settlement archaeology. National Press Books.</w:t>
      </w:r>
    </w:p>
    <w:p>
      <w:r>
        <w:t>Chang, K. C. (1983). Art, myth, and ritual: The path to political authority in ancient China. Harvard University Press.</w:t>
      </w:r>
    </w:p>
    <w:p>
      <w:r>
        <w:t>Chang, K. C. (1986). The archaeology of ancient China (4th ed.). Yale University Press.</w:t>
      </w:r>
    </w:p>
    <w:p>
      <w:r>
        <w:t>Chapman, J. (1990). Social inequality on Bulgarian tells and the Varna problem. In R. Samson (Ed.), The Social Archaeology of Houses (pp. 49-92). Edinburgh University Press.</w:t>
      </w:r>
    </w:p>
    <w:p>
      <w:r>
        <w:t>Chatford Clark, D. L. (2007). Viewing the liturgy: A space syntax study of changing visibility and accessibility in the development of the Byzantine church in Jordan. World Archaeology, 39(1), 84-104. https://doi.org/10.1080/00438240601148798</w:t>
      </w:r>
    </w:p>
    <w:p>
      <w:r>
        <w:t>Crumley, C. L. (1995). Heterarchy and the analysis of complex societies. Archaeological Papers of the American Anthropological Association, 6(1), 1-5. https://doi.org/10.1525/ap3a.1995.6.1.1</w:t>
      </w:r>
    </w:p>
    <w:p>
      <w:r>
        <w:t>Cutting, M. (2003). The use of spatial analysis to study prehistoric settlement architecture. Oxford Journal of Archaeology, 22(1), 1-21. https://doi.org/10.1111/1468-0092.00001</w:t>
      </w:r>
    </w:p>
    <w:p>
      <w:r>
        <w:t>Cutting, M. (2006). More than one way to study a building: Approaches to prehistoric household and settlement space. Oxford Journal of Archaeology, 25(3), 225-246. https://doi.org/10.1111/j.1468-0092.2006.00259.x</w:t>
      </w:r>
    </w:p>
    <w:p>
      <w:r>
        <w:t>D'Altroy, T. N., &amp; Earle, T. K. (1985). Staple finance, wealth finance, and storage in the Inka political economy. Current Anthropology, 26(2), 187-206. https://doi.org/10.1086/203249</w:t>
      </w:r>
    </w:p>
    <w:p>
      <w:r>
        <w:t>Davis, D. S. (2024). Past, present, and future of complex systems theory in archaeology. Journal of Archaeological Research, 32(4), 549-596. https://doi.org/10.1007/s10814-023-09193-z</w:t>
      </w:r>
    </w:p>
    <w:p>
      <w:r>
        <w:t>Dawson, P. C. (2002). Space syntax analysis of Central Inuit snow houses. Journal of Anthropological Archaeology, 21(4), 464-480. https://doi.org/10.1016/S0278-4165(02)00009-0</w:t>
      </w:r>
    </w:p>
    <w:p>
      <w:r>
        <w:t>Drennan, R. D. (1995). Chiefdoms in northern South America. Journal of World Prehistory, 9(3), 301-340. https://doi.org/10.1007/BF02221116</w:t>
      </w:r>
    </w:p>
    <w:p>
      <w:r>
        <w:t>Drennan, R. D., &amp; Dai, X. (2010). Chiefdoms and states in the Yuncheng Basin and the Chifeng region: A comparative analysis of settlement systems in North China. Journal of Anthropological Archaeology, 29(4), 455-468. https://doi.org/10.1016/j.jaa.2010.08.001</w:t>
      </w:r>
    </w:p>
    <w:p>
      <w:r>
        <w:t>Earle, T. (2016). Pathways to power: Corporate and network strategies, staple and wealth finance, and primary and secondary states. In L. F. Fargher &amp; V. Y. Heredia Espinoza (Eds.), Alternative pathways to complexity: A collection of essays on architecture, economics, power, and cross-cultural analysis in honor of Richard E. Blanton (pp. 291-308). University Press of Colorado. https://doi.org/10.5876/9781607325338.c014</w:t>
      </w:r>
    </w:p>
    <w:p>
      <w:r>
        <w:t>Edwards, M. J. (2013). The configuration of built space at Pataraya and Wari provincial administration in Nasca. Journal of Anthropological Archaeology, 32(4), 565-576. https://doi.org/10.1016/j.jaa.2013.09.004</w:t>
      </w:r>
    </w:p>
    <w:p>
      <w:r>
        <w:t>Fargher, L. F. (2016). Corporate power strategies, collective action, and control of principals: A cross-cultural perspective. In L. F. Fargher &amp; V. Y. Heredia Espinoza (Eds.), Alternative pathways to complexity: A collection of essays on architecture, economics, power, and cross-cultural analysis in honor of Richard E. Blanton (pp. 309-326). University Press of Colorado. https://doi.org/10.5876/9781607325338.c015</w:t>
      </w:r>
    </w:p>
    <w:p>
      <w:r>
        <w:t>Feinman, G. M. (2000). Corporate/network: New perspectives on models of political action and the Puebloan Southwest. In M. B. Schiffer (Ed.), Social theory in archaeology (pp. 31-51). University of Utah Press.</w:t>
      </w:r>
    </w:p>
    <w:p>
      <w:r>
        <w:t>Feinman, G. M. (2001). Mesoamerican political complexity: The corporate-network dimension. In J. Haas (Ed.), From leaders to rulers (pp. 151-175). Kluwer Academic/Plenum Publishers.</w:t>
      </w:r>
    </w:p>
    <w:p>
      <w:r>
        <w:t>Feinman, G. M. (2013). The emergence of social complexity: Why more than population size matters. In D. M. Carballo (Ed.), Cooperation and collective action: Archaeological perspectives (pp. 35-56). University Press of Colorado.</w:t>
      </w:r>
    </w:p>
    <w:p>
      <w:r>
        <w:t>Ferguson, T. J. (1996). Historic Zuni architecture and society: An archaeological application of space syntax. Anthropological Papers of the University of Arizona, No. 60. University of Arizona Press.</w:t>
      </w:r>
    </w:p>
    <w:p>
      <w:r>
        <w:t>Fisher, K. D. (2009). Placing social interaction: An integrative approach to analyzing past built environments. Journal of Anthropological Archaeology, 28(4), 439-457. https://doi.org/10.1016/j.jaa.2009.09.001</w:t>
      </w:r>
    </w:p>
    <w:p>
      <w:r>
        <w:t>Fladd, S. G. (2017). Social syntax: An approach to spatial modification through the reworking of space syntax for archaeological applications. Journal of Anthropological Archaeology, 47, 127-138. https://doi.org/10.1016/j.jaa.2017.05.002</w:t>
      </w:r>
    </w:p>
    <w:p>
      <w:r>
        <w:t>Flannery, K. V. (1972). The cultural evolution of civilizations. Annual Review of Ecology and Systematics, 3, 399-426. https://doi.org/10.1146/annurev.es.03.110172.002151</w:t>
      </w:r>
    </w:p>
    <w:p>
      <w:r>
        <w:t>Foster, S. M. (1989). Analysis of spatial patterns in buildings (gamma analysis) as an insight into social structure: Examples from the Scottish Atlantic Iron Age. Antiquity, 63(238), 40-50.</w:t>
      </w:r>
    </w:p>
    <w:p>
      <w:r>
        <w:t>Fredrick, D., &amp; Vennarucci, R. G. (2021). Putting space syntax to the test: Digital embodiment and phenomenology in the Roman house. Studies in Digital Heritage (SDH), 4(2), 185-224. https://doi.org/10.14434/sdh.v4i2.31521</w:t>
      </w:r>
    </w:p>
    <w:p>
      <w:r>
        <w:t>Freeman, J., &amp; Anderies, J. M. (2015). A comparative ethnoarchaeological analysis of corporate territorial ownership. Journal of Archaeological Science, 54, 135-147. https://doi.org/10.1016/j.jas.2014.11.037</w:t>
      </w:r>
    </w:p>
    <w:p>
      <w:r>
        <w:t>Fried, M. H. (1967). The evolution of political society: An essay in political anthropology. Random House.</w:t>
      </w:r>
    </w:p>
    <w:p>
      <w:r>
        <w:t>Furholt, M., Müller-Scheeßel, N., Wunderlich, M., Cheben, I., &amp; Müller, J. (2020). Communality and discord in an early Neolithic settlement agglomeration: The LBK site of Vráble, Southwest Slovakia. Cambridge Archaeological Journal, 30(3), 469-489. https://doi.org/10.1017/S0959774320000049</w:t>
      </w:r>
    </w:p>
    <w:p>
      <w:r>
        <w:t>Gillespie, S. D. (2000). Rethinking ancient Maya social organization: Replacing "lineage" with "house." American Anthropologist, 102(3), 467-484. https://doi.org/10.1525/aa.2000.102.3.467</w:t>
      </w:r>
    </w:p>
    <w:p>
      <w:r>
        <w:t>Gyucha, A., &amp; Salisbury, R. B. (Eds.). (2022). The archaeology of nucleation in the Old World: Spatiality, community, and identity. Archaeopress.</w:t>
      </w:r>
    </w:p>
    <w:p>
      <w:r>
        <w:t>Hanson, J. (1998). Decoding homes and houses. Cambridge University Press.</w:t>
      </w:r>
    </w:p>
    <w:p>
      <w:r>
        <w:t>Hayden, B., &amp; Cannon, A. (1982). The corporate group as an archaeological unit. Journal of Anthropological Archaeology, 1(1), 132-158. https://doi.org/10.1016/0278-4165(82)90018-6</w:t>
      </w:r>
    </w:p>
    <w:p>
      <w:r>
        <w:t>He, N. (2018). Taosi: An archaeological example of urbanization as a political center in prehistoric China. Archaeological Research in Asia, 14, 20-32. https://doi.org/10.1016/j.ara.2017.03.001</w:t>
      </w:r>
    </w:p>
    <w:p>
      <w:r>
        <w:t>Hegmon, M. (2003). Setting theoretical egos aside: Issues and theory in North American archaeology. American Antiquity, 68(2), 213-243. https://doi.org/10.2307/3557080</w:t>
      </w:r>
    </w:p>
    <w:p>
      <w:r>
        <w:t>Hein, A. (2022). Theory and methods of settlement archaeology - the Chinese contribution. World Archaeology, 54(5), 667-679. https://doi.org/10.1080/00438243.2023.2216182</w:t>
      </w:r>
    </w:p>
    <w:p>
      <w:r>
        <w:t>Henan Provincial Institute of Cultural Relics and Archaeology. (1999). Wuyang Jiahu [舞阳贾湖 / Jiahu of Wuyang County]. Science Press. [In Chinese]</w:t>
      </w:r>
    </w:p>
    <w:p>
      <w:r>
        <w:t>Hillier, B. (1996). Space is the machine: A configurational theory of architecture. Cambridge University Press.</w:t>
      </w:r>
    </w:p>
    <w:p>
      <w:r>
        <w:t>Hillier, B. (2014). Spatial analysis and cultural information: The need for theory as well as method in space syntax analysis. In E. Paliou, U. Lieberwirth, &amp; S. Polla (Eds.), Spatial analysis and social spaces: Interdisciplinary approaches to the interpretation of prehistoric and historic built environments (pp. 19-48). De Gruyter. https://doi.org/10.1515/9783110266436.19</w:t>
      </w:r>
    </w:p>
    <w:p>
      <w:r>
        <w:t>Hillier, B., &amp; Hanson, J. (1984). The social logic of space. Cambridge University Press.</w:t>
      </w:r>
    </w:p>
    <w:p>
      <w:r>
        <w:t>Holland-Lulewicz, J., Conger, M. A., Birch, J., Kowalewski, S. A., &amp; Jones, T. W. (2020). An institutional approach for archaeology. Journal of Anthropological Archaeology, 58, 101163. https://doi.org/10.1016/j.jaa.2020.101163</w:t>
      </w:r>
    </w:p>
    <w:p>
      <w:r>
        <w:t>Holland-Lulewicz, J., Thompson, V. D., Birch, J., &amp; Grier, C. (2022). Keystone institutions of democratic governance across Indigenous North America. Frontiers in Political Science, 4, 840049. https://doi.org/10.3389/fpos.2022.840049</w:t>
      </w:r>
    </w:p>
    <w:p>
      <w:r>
        <w:t>Hu, D. (2019). Making space under the Inca: A space syntax analysis of a mitmaq settlement in Vilcas Huamán Province, Peru. Antiquity, 93(370), 990-1008. https://doi.org/10.15184/aqy.2019.82</w:t>
      </w:r>
    </w:p>
    <w:p>
      <w:r>
        <w:t>Institute of Archaeology, Chinese Academy of Social Sciences, &amp; Shanxi Provincial Linfen Municipal Bureau of Cultural Relics. (2015). Xiangfen Taosi: 1978-1985 nian kaogu fajue baogao [襄汾陶寺：1978～1985年考古发掘报告 / Xiangfen Taosi: Report on the 1978-1985 archaeological excavations] (Vols. 1-4). Cultural Relics Press (Wenwu Press). [In Chinese]</w:t>
      </w:r>
    </w:p>
    <w:p>
      <w:r>
        <w:t>Johnson, G. A. (1982). Organizational structure and scalar stress. In C. Renfrew, M. J. Rowlands, &amp; B. A. Segraves (Eds.), Theory and explanation in archaeology: The Southampton conference (pp. 389-421). Academic Press.</w:t>
      </w:r>
    </w:p>
    <w:p>
      <w:r>
        <w:t>Kent, S. (1990). Activity areas and architecture: An interdisciplinary view of the relationship between use of space and domestic built environments. In S. Kent (Ed.), Domestic architecture and the use of space: An interdisciplinary cross-cultural study (pp. 1-8). Cambridge University Press.</w:t>
      </w:r>
    </w:p>
    <w:p>
      <w:r>
        <w:t>Lawrence, D. L., &amp; Low, S. M. (1990). The built environment and spatial form. Annual Review of Anthropology, 19, 453-505. https://www.jstor.org/stable/2155973</w:t>
      </w:r>
    </w:p>
    <w:p>
      <w:r>
        <w:t>Leach, E. R. (1978). Does space syntax really "constitute the social"? In D. Green, C. Haselgrove, &amp; M. Spriggs (Eds.), Social organisation and settlement: Contributions from anthropology, archaeology and geography (pp. 385-401). British Archaeological Reports (BAR Supplementary Series 47).</w:t>
      </w:r>
    </w:p>
    <w:p>
      <w:r>
        <w:t>Lee, Y. K. (2007). Centripetal settlement and segmentary social formation of the Banpo tradition. Journal of Anthropological Archaeology, 26(4), 630-675. https://doi.org/10.1016/j.jaa.2007.03.001</w:t>
      </w:r>
    </w:p>
    <w:p>
      <w:r>
        <w:t>Liebmann, M., Ferguson, T. J., &amp; Preucel, R. W. (2005). Pueblo settlement, architecture, and social change in the Pueblo Revolt era, A.D. 1680 to 1696. Journal of Field Archaeology, 30(1), 45-60. https://doi.org/10.1179/009346905791072459</w:t>
      </w:r>
    </w:p>
    <w:p>
      <w:r>
        <w:t>Liu, L. (1996). Settlement patterns, chiefdom variability, and the development of early states in North China. Journal of Anthropological Archaeology, 15(3), 237-288. https://doi.org/10.1006/jaar.1996.0010</w:t>
      </w:r>
    </w:p>
    <w:p>
      <w:r>
        <w:t>Liu, L. (2004). The Chinese Neolithic: Trajectories to Early States. Cambridge University Press.</w:t>
      </w:r>
    </w:p>
    <w:p>
      <w:r>
        <w:t>Liu, L. (2009). State emergence in early China. Annual Review of Anthropology, 38, 217-232. https://doi.org/10.1146/annurev-anthro-091908-164513</w:t>
      </w:r>
    </w:p>
    <w:p>
      <w:r>
        <w:t>Liu, L., &amp; Chen, X. (2012). The archaeology of China: From the Late Paleolithic to the Early Bronze Age. Cambridge University Press. https://doi.org/10.1017/CBO9781139015301</w:t>
      </w:r>
    </w:p>
    <w:p>
      <w:r>
        <w:t>Liu, L., Chen, X., Lee, Y. K., Wright, H., &amp; Rosen, A. (2002). Settlement Patterns and Development of Social Complexity in the Yiluo Region, North China. Journal of Field Archaeology, 29(1/2), 75-100.</w:t>
      </w:r>
    </w:p>
    <w:p>
      <w:r>
        <w:t>Liu, L., Chen, X., Wright, H., Xu, H., Li, Y., Chen, G., Zhao, H., Kim, H., &amp; Lee, G.-A. (2019). Rise and fall of complex societies in the Yiluo region, North China: The spatial and temporal changes. Quaternary International, 521, 4-15. https://doi.org/10.1016/j.quaint.2019.05.025</w:t>
      </w:r>
    </w:p>
    <w:p>
      <w:r>
        <w:t>Manzanilla, L. R. (2015). Cooperation and tensions in multiethnic corporate societies using Teotihuacan, Central Mexico, as a case study. Proceedings of the National Academy of Sciences, 112(30), 9210-9215. https://doi.org/10.1073/pnas.1419881112</w:t>
      </w:r>
    </w:p>
    <w:p>
      <w:r>
        <w:t>McIntosh, S. K. (Ed.). (1999). Beyond chiefdoms: Pathways to complexity in Africa. Cambridge University Press.</w:t>
      </w:r>
    </w:p>
    <w:p>
      <w:r>
        <w:t>Meng, D., &amp; Zhang, J. (2025). The evolution of space syntax over the past two decades: evidence from China. Journal of Asian Architecture and Building Engineering, 24(5), 4606-4624. https://doi.org/10.1080/13467581.2024.2399739</w:t>
      </w:r>
    </w:p>
    <w:p>
      <w:r>
        <w:t>Monroe, J. C. (2010). Power by design: Architecture and politics in precolonial Dahomey. Journal of Social Archaeology, 10(3), 367-397. https://doi.org/10.1177/1469605310378959</w:t>
      </w:r>
    </w:p>
    <w:p>
      <w:r>
        <w:t>Moore, J. D. (1996). Architecture and power in the ancient Andes: The archaeology of public buildings. Cambridge University Press.</w:t>
      </w:r>
    </w:p>
    <w:p>
      <w:r>
        <w:t>Morton, S. G., Peuramaki-Brown, M. M., Dawson, P. C., &amp; Seibert, J. D. (2012). Civic and household community relationships at Teotihuacan, Mexico: A space syntax approach. Cambridge Archaeological Journal, 22(3), 387-400. https://doi.org/10.1017/S0959774312000467</w:t>
      </w:r>
    </w:p>
    <w:p>
      <w:r>
        <w:t>Osborne, J. F., &amp; Summers, G. D. (2014). Visibility graph analysis and monumentality in the Iron Age city at Kerkenes in Central Turkey. Journal of Field Archaeology, 39(3), 292-309. https://doi.org/10.1179/0093469014Z.00000000089</w:t>
      </w:r>
    </w:p>
    <w:p>
      <w:r>
        <w:t>Peterson, C. E., &amp; Drennan, R. D. (2012). Patterned variation in regional trajectories of community growth. In M. E. Smith (Ed.), The comparative archaeology of complex societies (pp. 88-137). Cambridge University Press. https://doi.org/10.1017/CBO9781139022712.008</w:t>
      </w:r>
    </w:p>
    <w:p>
      <w:r>
        <w:t>Peterson, C. E., &amp; Shelach, G. (2012). Jiangzhai: Social and economic organization of a Middle Neolithic Chinese village. Journal of Anthropological Archaeology, 31(3), 265-301.</w:t>
      </w:r>
    </w:p>
    <w:p>
      <w:r>
        <w:t>Peterson, C. E., Drennan, R. D., &amp; Bartel, K. L. (2016). Comparative analysis of Neolithic household artifact assemblage data from Northern China. Journal of Anthropological Research, 72(2), 200-225.</w:t>
      </w:r>
    </w:p>
    <w:p>
      <w:r>
        <w:t>Rapoport, A. (1990). Systems of activities and systems of settings. In S. Kent (Ed.), Domestic architecture and the use of space: An interdisciplinary cross-cultural study (pp. 9-20). Cambridge University Press.</w:t>
      </w:r>
    </w:p>
    <w:p>
      <w:r>
        <w:t>Renfrew, C. (1974). Beyond a subsistence economy: The evolution of social organization in prehistoric Europe. In C. B. Moore (Ed.), Reconstructing complex societies: An archaeological colloquium (pp. 69-84). Supplement to the Bulletin of the American Schools of Oriental Research 20.</w:t>
      </w:r>
    </w:p>
    <w:p>
      <w:r>
        <w:t>Schiffer, M. B. (1987). Formation processes of the archaeological record. University of New Mexico Press.</w:t>
      </w:r>
    </w:p>
    <w:p>
      <w:r>
        <w:t>Service, E. R. (1962). Primitive social organization: An evolutionary perspective. Random House.</w:t>
      </w:r>
    </w:p>
    <w:p>
      <w:r>
        <w:t>Shelach, G. (2006). Economic adaptation, community structure, and sharing strategies of households at early sedentary communities in northeast China. Journal of Anthropological Archaeology, 25(3), 318-345.</w:t>
      </w:r>
    </w:p>
    <w:p>
      <w:r>
        <w:t>Smith, M. E. (2011). Empirical urban theory for archaeologists. Journal of Archaeological Method and Theory, 18(3), 167-192. https://doi.org/10.1007/s10816-010-9097-5</w:t>
      </w:r>
    </w:p>
    <w:p>
      <w:r>
        <w:t>Song, J., &amp; Zhang, Y. (2022). Study on the spatial characteristics of prehistoric settlement sites based on spatial syntax: Taking Lower Xiajiadian culture as an example. China Ancient City, 36(6), 36-43. https://doi.org/10.19924/j.cnki.1674-4144.2022.06.005. [In Chinese]</w:t>
      </w:r>
    </w:p>
    <w:p>
      <w:r>
        <w:t>Steadman, S. R. (2000). Spatial patterning and social complexity on prehistoric Anatolian tell sites: Models for mounds. Journal of Anthropological Archaeology, 19(2), 164-199. https://doi.org/10.1006/jaar.2000.0363</w:t>
      </w:r>
    </w:p>
    <w:p>
      <w:r>
        <w:t>Stockett, M. K. (2005). Approaching social practice through access analysis at Las Canoas, Honduras. Latin American Antiquity, 16(4), 385-407. https://doi.org/10.2307/30042506</w:t>
      </w:r>
    </w:p>
    <w:p>
      <w:r>
        <w:t>Stone, T. (2000). Prehistoric community integration in the Point of Pines region of Arizona. Journal of Field Archaeology, 27(2), 197-208. https://doi.org/10.1179/jfa.2000.27.2.197</w:t>
      </w:r>
    </w:p>
    <w:p>
      <w:r>
        <w:t>Trubitt, M. B. D. (2000). Mound building and prestige goods exchange: Changing strategies in the Cahokia chiefdom. American Antiquity, 65(4), 669-690. https://doi.org/10.2307/2694421</w:t>
      </w:r>
    </w:p>
    <w:p>
      <w:r>
        <w:t>Tu, D., Shelach-Lavi, G., &amp; Fung, Y.-T. (2022). Economy, sharing strategies and community structure in the early Neolithic village of Chahai, Northeast China. Journal of Anthropological Archaeology, 67, 101420. https://doi.org/10.1016/j.jaa.2022.101420</w:t>
      </w:r>
    </w:p>
    <w:p>
      <w:r>
        <w:t>Turner, A., Doxa, M., O'Sullivan, D., &amp; Penn, A. (2001). From isovists to visibility graphs: A methodology for the analysis of architectural space. Environment and Planning B: Planning and Design, 28(1), 103-121. https://doi.org/10.1068/b2684</w:t>
      </w:r>
    </w:p>
    <w:p>
      <w:r>
        <w:t>Turner, A., &amp; Penn, A. (2002). Encoding natural movement as an agent-based system: An investigation into human pedestrian behaviour in the built environment. Environment and Planning B: Planning and Design, 29(4), 473-490. https://doi.org/10.1068/b12850</w:t>
      </w:r>
    </w:p>
    <w:p>
      <w:r>
        <w:t>Underhill, A. P. (1997). Current issues in Chinese Neolithic archaeology. Journal of World Prehistory, 11(2), 103-160. https://doi.org/10.1007/BF02221203</w:t>
      </w:r>
    </w:p>
    <w:p>
      <w:r>
        <w:t>Underhill, A. P., Feinman, G. M., Nicholas, L. M., Fang, H., Luan, F., Yu, H., &amp; Cai, F. (2008). Changes in regional settlement patterns and the development of complex societies in southeastern Shandong, China. Journal of Anthropological Archaeology, 27(1), 1-29. https://doi.org/10.1016/j.jaa.2006.11.002</w:t>
      </w:r>
    </w:p>
    <w:p>
      <w:r>
        <w:t>Van Dyke, R. M. (1999). Space syntax analysis at the Chacoan outlier of Guadalupe. American Antiquity, 64(3), 461-473. https://doi.org/10.2307/2694146</w:t>
      </w:r>
    </w:p>
    <w:p>
      <w:r>
        <w:t>van Nes, A., &amp; Yamu, C. (2021). Introduction to space syntax in urban studies. Springer. https://doi.org/10.1007/978-3-030-59140-3</w:t>
      </w:r>
    </w:p>
    <w:p>
      <w:r>
        <w:t>Wernke, S. A. (2012). Spatial network analysis of a terminal prehispanic and early colonial settlement in highland Peru. Journal of Archaeological Science, 39(4), 1111-1122. https://doi.org/10.1016/j.jas.2011.12.014</w:t>
      </w:r>
    </w:p>
    <w:p>
      <w:r>
        <w:t>Xi'an Banpo Museum, Shaanxi Provincial Institute of Archaeology, and Lintong County Museum. (1988). Jiangzhai: Xinshiqi shidai yizhi fajue baogao [姜寨：新石器时代遗址发掘报告 / Jiangzhai: Excavation report of a Neolithic site]. Wenwu Press (Cultural Relics Publishing House). [In Chinese]</w:t>
      </w:r>
    </w:p>
    <w:p>
      <w:r>
        <w:t>Yan, W. M. (1997a). Settlement archaeology and the study of prehistoric societies. Cultural Relics, (6), 27-35. [In Chinese]</w:t>
      </w:r>
    </w:p>
    <w:p>
      <w:r>
        <w:t>Yan, W. M. (1997b). Recent advances in settlement archaeology. Archaeology and Cultural Relics, (2), 35-39. [In Chinese]</w:t>
      </w:r>
    </w:p>
    <w:p>
      <w:r>
        <w:t>Zhang, J., &amp; Cui, Q. (2013). The Jiahu site in the Huai River Area. In A. P. Underhill (Ed.), A Companion to Chinese Archaeology (pp. 194-212). Wiley-Blackwell. https://doi.org/10.1002/9781118325698.ch10</w:t>
      </w:r>
    </w:p>
    <w:sectPr w:rsidR="00FC693F" w:rsidRPr="0006063C" w:rsidSect="00034616">
      <w:pgSz w:w="12240" w:h="15840"/>
      <w:pgMar w:top="1440" w:right="1800" w:bottom="1440" w:left="1800" w:header="720" w:footer="720" w:gutter="0"/>
      <w:cols w:space="720"/>
      <w:docGrid w:linePitch="360"/>
    </w:sectPr>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5"/>
        <w:gridCol w:w="1321"/>
        <w:gridCol w:w="1309"/>
        <w:gridCol w:w="1903"/>
        <w:gridCol w:w="1757"/>
        <w:gridCol w:w="2485"/>
      </w:tblGrid>
      <w:tr w:rsidR="00DA7A34" w:rsidRPr="00714742" w14:paraId="35A3A85B" w14:textId="77777777" w:rsidTr="00D93F83">
        <w:tblPrEx>
          <w:tblCellMar>
            <w:top w:w="0" w:type="dxa"/>
            <w:bottom w:w="0" w:type="dxa"/>
          </w:tblCellMar>
        </w:tblPrEx>
        <w:trPr>
          <w:tblHeader/>
        </w:trPr>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B6B232" w14:textId="77777777" w:rsidR="00DA7A34" w:rsidRPr="00714742" w:rsidRDefault="00DA7A34" w:rsidP="00D93F83">
            <w:pPr>
              <w:spacing w:after="40" w:line="200" w:lineRule="auto"/>
            </w:pPr>
            <w:r w:rsidRPr="00714742">
              <w:rPr>
                <w:b/>
                <w:bCs/>
              </w:rPr>
              <w:t>Tendency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1DF1795" w14:textId="77777777" w:rsidR="00DA7A34" w:rsidRPr="00714742" w:rsidRDefault="00DA7A34" w:rsidP="00D93F83">
            <w:pPr>
              <w:spacing w:after="40" w:line="200" w:lineRule="auto"/>
            </w:pPr>
            <w:r w:rsidRPr="00714742">
              <w:rPr>
                <w:b/>
                <w:bCs/>
              </w:rPr>
              <w:t>Network</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6988CDE" w14:textId="77777777" w:rsidR="00DA7A34" w:rsidRPr="00714742" w:rsidRDefault="00DA7A34" w:rsidP="00D93F83">
            <w:pPr>
              <w:spacing w:after="40" w:line="200" w:lineRule="auto"/>
            </w:pPr>
            <w:r w:rsidRPr="00714742">
              <w:rPr>
                <w:b/>
                <w:bCs/>
              </w:rPr>
              <w:t>Corporate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560DD0A" w14:textId="77777777" w:rsidR="00DA7A34" w:rsidRPr="00714742" w:rsidRDefault="00DA7A34" w:rsidP="00D93F83">
            <w:pPr>
              <w:spacing w:after="40" w:line="200" w:lineRule="auto"/>
            </w:pPr>
            <w:r w:rsidRPr="00714742">
              <w:rPr>
                <w:b/>
                <w:bCs/>
              </w:rPr>
              <w:t>Space Syntax (SS) Expected Features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00CB1E9" w14:textId="77777777" w:rsidR="00DA7A34" w:rsidRPr="00714742" w:rsidRDefault="00DA7A34" w:rsidP="00D93F83">
            <w:pPr>
              <w:spacing w:after="40" w:line="200" w:lineRule="auto"/>
            </w:pPr>
            <w:r w:rsidRPr="00714742">
              <w:rPr>
                <w:b/>
                <w:bCs/>
              </w:rPr>
              <w:t>Integrated SS + AZA Expected Features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11F2FC" w14:textId="77777777" w:rsidR="00DA7A34" w:rsidRPr="00714742" w:rsidRDefault="00DA7A34" w:rsidP="00D93F83">
            <w:pPr>
              <w:spacing w:after="40" w:line="200" w:lineRule="auto"/>
            </w:pPr>
            <w:r w:rsidRPr="00714742">
              <w:rPr>
                <w:b/>
                <w:bCs/>
              </w:rPr>
              <w:t>Analytical Methods &amp; Metrics</w:t>
            </w:r>
          </w:p>
        </w:tc>
      </w:tr>
      <w:tr w:rsidR="00DA7A34" w:rsidRPr="00714742" w14:paraId="17FF8EFF"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27E79CE" w14:textId="77777777" w:rsidR="00DA7A34" w:rsidRPr="00714742" w:rsidRDefault="00DA7A34" w:rsidP="00D93F83">
            <w:pPr>
              <w:spacing w:after="40" w:line="200" w:lineRule="auto"/>
            </w:pPr>
            <w:r w:rsidRPr="00714742">
              <w:t>Wealth &amp; consumption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913D05E" w14:textId="77777777" w:rsidR="00DA7A34" w:rsidRPr="00714742" w:rsidRDefault="00DA7A34" w:rsidP="00D93F83">
            <w:pPr>
              <w:spacing w:after="40" w:line="200" w:lineRule="auto"/>
            </w:pPr>
            <w:r w:rsidRPr="00714742">
              <w:t>Concentrated wealth; ostentatious display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82D7BA3" w14:textId="77777777" w:rsidR="00DA7A34" w:rsidRPr="00714742" w:rsidRDefault="00DA7A34" w:rsidP="00D93F83">
            <w:pPr>
              <w:spacing w:after="40" w:line="200" w:lineRule="auto"/>
            </w:pPr>
            <w:r w:rsidRPr="00714742">
              <w:t>Even distribution; balanced accumulation</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ED2616" w14:textId="77777777" w:rsidR="00DA7A34" w:rsidRPr="00714742" w:rsidRDefault="00DA7A34" w:rsidP="00D93F83">
            <w:pPr>
              <w:spacing w:after="40" w:line="200" w:lineRule="auto"/>
            </w:pPr>
            <w:r w:rsidRPr="00714742">
              <w:t>Network: High-centrality nodes coincide with high artifact density; wealth concentrates in a few privileged nodes.</w:t>
            </w:r>
          </w:p>
          <w:p w14:paraId="3BDAD5DC" w14:textId="77777777" w:rsidR="00DA7A34" w:rsidRPr="00714742" w:rsidRDefault="00DA7A34" w:rsidP="00D93F83">
            <w:pPr>
              <w:spacing w:after="40" w:line="200" w:lineRule="auto"/>
            </w:pPr>
            <w:r w:rsidRPr="00714742">
              <w:t>Corporate: Centrality decoupled from wealth; spatial advantage broadly distributed.</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54B37C8" w14:textId="77777777" w:rsidR="00DA7A34" w:rsidRPr="00714742" w:rsidRDefault="00DA7A34" w:rsidP="00D93F83">
            <w:pPr>
              <w:spacing w:after="40" w:line="200" w:lineRule="auto"/>
            </w:pPr>
            <w:r w:rsidRPr="00714742">
              <w:t>Network: Prestige artifacts concentrate either at high-centrality nodes (movement hub = accumulation hub) or in low-Integration, high-Control enclaves; agent density correlates with artifact density in at least one pattern.</w:t>
            </w:r>
          </w:p>
          <w:p w14:paraId="41A7CBD9" w14:textId="77777777" w:rsidR="00DA7A34" w:rsidRPr="00714742" w:rsidRDefault="00DA7A34" w:rsidP="00D93F83">
            <w:pPr>
              <w:spacing w:after="40" w:line="200" w:lineRule="auto"/>
            </w:pPr>
            <w:r w:rsidRPr="00714742">
              <w:t>Corporate: Centrality decoupled from prestige artifacts (movement hub does not equal accumulation hub); center serves coordination, not extraction.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D4415A7" w14:textId="77777777" w:rsidR="00DA7A34" w:rsidRPr="00714742" w:rsidRDefault="00DA7A34" w:rsidP="00D93F83">
            <w:pPr>
              <w:spacing w:after="40" w:line="200" w:lineRule="auto"/>
            </w:pPr>
            <w:r w:rsidRPr="00714742">
              <w:t xml:space="preserve">Integration/Choice/Control x artifact density (Spearman rho, by class); VGA x artifact; agent simulation x artifact; spatial-material dissociation test (cf. Fisher 2009; Alpay 2022; van Nes &amp; </w:t>
            </w:r>
            <w:proofErr w:type="spellStart"/>
            <w:r w:rsidRPr="00714742">
              <w:t>Yamu</w:t>
            </w:r>
            <w:proofErr w:type="spellEnd"/>
            <w:r w:rsidRPr="00714742">
              <w:t xml:space="preserve"> 2021)</w:t>
            </w:r>
          </w:p>
        </w:tc>
      </w:tr>
      <w:tr w:rsidR="00DA7A34" w:rsidRPr="00714742" w14:paraId="756786B9"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21D929F" w14:textId="77777777" w:rsidR="00DA7A34" w:rsidRPr="00714742" w:rsidRDefault="00DA7A34" w:rsidP="00D93F83">
            <w:pPr>
              <w:spacing w:after="40" w:line="200" w:lineRule="auto"/>
            </w:pPr>
            <w:r w:rsidRPr="00714742">
              <w:t>Power arrangements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8EAA44" w14:textId="77777777" w:rsidR="00DA7A34" w:rsidRPr="00714742" w:rsidRDefault="00DA7A34" w:rsidP="00D93F83">
            <w:pPr>
              <w:spacing w:after="40" w:line="200" w:lineRule="auto"/>
            </w:pPr>
            <w:r w:rsidRPr="00714742">
              <w:t>Individual power</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326B7A4" w14:textId="77777777" w:rsidR="00DA7A34" w:rsidRPr="00714742" w:rsidRDefault="00DA7A34" w:rsidP="00D93F83">
            <w:pPr>
              <w:spacing w:after="40" w:line="200" w:lineRule="auto"/>
            </w:pPr>
            <w:r w:rsidRPr="00714742">
              <w:t>Shared power</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F5FC640" w14:textId="77777777" w:rsidR="00DA7A34" w:rsidRPr="00714742" w:rsidRDefault="00DA7A34" w:rsidP="00D93F83">
            <w:pPr>
              <w:spacing w:after="40" w:line="200" w:lineRule="auto"/>
            </w:pPr>
            <w:r w:rsidRPr="00714742">
              <w:t>Network: Choice/Control concentrated in few gatekeeping nodes (high CV); between-cluster differences significant.</w:t>
            </w:r>
          </w:p>
          <w:p w14:paraId="28455D84" w14:textId="77777777" w:rsidR="00DA7A34" w:rsidRPr="00714742" w:rsidRDefault="00DA7A34" w:rsidP="00D93F83">
            <w:pPr>
              <w:spacing w:after="40" w:line="200" w:lineRule="auto"/>
            </w:pPr>
            <w:r w:rsidRPr="00714742">
              <w:t>Corporate: Choice/Control broadly distributed (low CV); between-cluster differences non-significant.</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82169BF" w14:textId="77777777" w:rsidR="00DA7A34" w:rsidRPr="00714742" w:rsidRDefault="00DA7A34" w:rsidP="00D93F83">
            <w:pPr>
              <w:spacing w:after="40" w:line="200" w:lineRule="auto"/>
            </w:pPr>
            <w:r w:rsidRPr="00714742">
              <w:t>Network: Few bottleneck nodes dominate agent passage; flow asymmetric across sectors.</w:t>
            </w:r>
          </w:p>
          <w:p w14:paraId="04E2813C" w14:textId="77777777" w:rsidR="00DA7A34" w:rsidRPr="00714742" w:rsidRDefault="00DA7A34" w:rsidP="00D93F83">
            <w:pPr>
              <w:spacing w:after="40" w:line="200" w:lineRule="auto"/>
            </w:pPr>
            <w:r w:rsidRPr="00714742">
              <w:t>Corporate: Redundant routes carry agent passage; flow symmetric across sectors.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847ACC" w14:textId="77777777" w:rsidR="00DA7A34" w:rsidRPr="00714742" w:rsidRDefault="00DA7A34" w:rsidP="00D93F83">
            <w:pPr>
              <w:spacing w:after="40" w:line="200" w:lineRule="auto"/>
            </w:pPr>
            <w:r w:rsidRPr="00714742">
              <w:t>Choice/Control CV; cluster Integration (Kruskal-Wallis); step-depth symmetry (cf. Dawson 2002; Monroe 2010; Liebmann et al. 2005)</w:t>
            </w:r>
          </w:p>
        </w:tc>
      </w:tr>
      <w:tr w:rsidR="00DA7A34" w:rsidRPr="00714742" w14:paraId="75D60B2F"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FA86444" w14:textId="77777777" w:rsidR="00DA7A34" w:rsidRPr="00714742" w:rsidRDefault="00DA7A34" w:rsidP="00D93F83">
            <w:pPr>
              <w:spacing w:after="40" w:line="200" w:lineRule="auto"/>
            </w:pPr>
            <w:r w:rsidRPr="00714742">
              <w:t>Basis of status (spatial legibility)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A1B49B7" w14:textId="77777777" w:rsidR="00DA7A34" w:rsidRPr="00714742" w:rsidRDefault="00DA7A34" w:rsidP="00D93F83">
            <w:pPr>
              <w:spacing w:after="40" w:line="200" w:lineRule="auto"/>
            </w:pPr>
            <w:r w:rsidRPr="00714742">
              <w:t xml:space="preserve">Prestige goods; spatial knowledge as </w:t>
            </w:r>
            <w:r w:rsidRPr="00714742">
              <w:lastRenderedPageBreak/>
              <w:t>gatekeeping resource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3E7B01F" w14:textId="77777777" w:rsidR="00DA7A34" w:rsidRPr="00714742" w:rsidRDefault="00DA7A34" w:rsidP="00D93F83">
            <w:pPr>
              <w:spacing w:after="40" w:line="200" w:lineRule="auto"/>
            </w:pPr>
            <w:r w:rsidRPr="00714742">
              <w:lastRenderedPageBreak/>
              <w:t xml:space="preserve">Control of knowledge and cognitive codes; </w:t>
            </w:r>
            <w:r w:rsidRPr="00714742">
              <w:lastRenderedPageBreak/>
              <w:t>publicly legible spatial order</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A5C6969" w14:textId="77777777" w:rsidR="00DA7A34" w:rsidRPr="00714742" w:rsidRDefault="00DA7A34" w:rsidP="00D93F83">
            <w:pPr>
              <w:spacing w:after="40" w:line="200" w:lineRule="auto"/>
            </w:pPr>
            <w:r w:rsidRPr="00714742">
              <w:lastRenderedPageBreak/>
              <w:t xml:space="preserve">Network: Low intelligibility (weak Connectivity-Integration </w:t>
            </w:r>
            <w:r w:rsidRPr="00714742">
              <w:lastRenderedPageBreak/>
              <w:t>coupling); structure not publicly learnable; route knowledge becomes a gatekeeping resource.</w:t>
            </w:r>
          </w:p>
          <w:p w14:paraId="164493F3" w14:textId="77777777" w:rsidR="00DA7A34" w:rsidRPr="00714742" w:rsidRDefault="00DA7A34" w:rsidP="00D93F83">
            <w:pPr>
              <w:spacing w:after="40" w:line="200" w:lineRule="auto"/>
            </w:pPr>
            <w:r w:rsidRPr="00714742">
              <w:t>Corporate: High intelligibility (strong Connectivity-Integration coupling); structure publicly learnable; status from recognized position, not route knowledge.</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FEC8A99" w14:textId="77777777" w:rsidR="00DA7A34" w:rsidRPr="00714742" w:rsidRDefault="00DA7A34" w:rsidP="00D93F83">
            <w:pPr>
              <w:spacing w:after="40" w:line="200" w:lineRule="auto"/>
            </w:pPr>
            <w:r w:rsidRPr="00714742">
              <w:lastRenderedPageBreak/>
              <w:t xml:space="preserve">Network: Unpredictable structure; navigating the 'right paths' </w:t>
            </w:r>
            <w:r w:rsidRPr="00714742">
              <w:lastRenderedPageBreak/>
              <w:t>depends on privileged route knowledge.</w:t>
            </w:r>
          </w:p>
          <w:p w14:paraId="108DE7B3" w14:textId="77777777" w:rsidR="00DA7A34" w:rsidRPr="00714742" w:rsidRDefault="00DA7A34" w:rsidP="00D93F83">
            <w:pPr>
              <w:spacing w:after="40" w:line="200" w:lineRule="auto"/>
            </w:pPr>
            <w:r w:rsidRPr="00714742">
              <w:t>Corporate: Legible, publicly readable order; shared spatial knowledge supports routinized coordination.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EFE88E2" w14:textId="77777777" w:rsidR="00DA7A34" w:rsidRPr="00714742" w:rsidRDefault="00DA7A34" w:rsidP="00D93F83">
            <w:pPr>
              <w:spacing w:after="40" w:line="200" w:lineRule="auto"/>
            </w:pPr>
            <w:r w:rsidRPr="00714742">
              <w:lastRenderedPageBreak/>
              <w:t>Intelligibility R2 (Connectivity x Integration) (cf. Morton et al. 2012; Hillier 2014; Bafna 2003)</w:t>
            </w:r>
          </w:p>
        </w:tc>
      </w:tr>
      <w:tr w:rsidR="00DA7A34" w:rsidRPr="00714742" w14:paraId="5C9A49F4"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F77F60C" w14:textId="77777777" w:rsidR="00DA7A34" w:rsidRPr="00714742" w:rsidRDefault="00DA7A34" w:rsidP="00D93F83">
            <w:pPr>
              <w:spacing w:after="40" w:line="200" w:lineRule="auto"/>
            </w:pPr>
            <w:r w:rsidRPr="00714742">
              <w:t>Political dynamics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826FA76" w14:textId="77777777" w:rsidR="00DA7A34" w:rsidRPr="00714742" w:rsidRDefault="00DA7A34" w:rsidP="00D93F83">
            <w:pPr>
              <w:spacing w:after="40" w:line="200" w:lineRule="auto"/>
            </w:pPr>
            <w:r w:rsidRPr="00714742">
              <w:t>Patron-client factions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A633B02" w14:textId="77777777" w:rsidR="00DA7A34" w:rsidRPr="00714742" w:rsidRDefault="00DA7A34" w:rsidP="00D93F83">
            <w:pPr>
              <w:spacing w:after="40" w:line="200" w:lineRule="auto"/>
            </w:pPr>
            <w:r w:rsidRPr="00714742">
              <w:t>Corporate labor systems</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BDBBA21" w14:textId="77777777" w:rsidR="00DA7A34" w:rsidRPr="00714742" w:rsidRDefault="00DA7A34" w:rsidP="00D93F83">
            <w:pPr>
              <w:spacing w:after="40" w:line="200" w:lineRule="auto"/>
            </w:pPr>
            <w:r w:rsidRPr="00714742">
              <w:t>Network: Step depth from clusters to communal nodes is asymmetric; specific clusters hold privileged access.</w:t>
            </w:r>
          </w:p>
          <w:p w14:paraId="47806E50" w14:textId="77777777" w:rsidR="00DA7A34" w:rsidRPr="00714742" w:rsidRDefault="00DA7A34" w:rsidP="00D93F83">
            <w:pPr>
              <w:spacing w:after="40" w:line="200" w:lineRule="auto"/>
            </w:pPr>
            <w:r w:rsidRPr="00714742">
              <w:t>Corporate: Step depth symmetric; all clusters hold comparable access.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514C33D" w14:textId="77777777" w:rsidR="00DA7A34" w:rsidRPr="00714742" w:rsidRDefault="00DA7A34" w:rsidP="00D93F83">
            <w:pPr>
              <w:spacing w:after="40" w:line="200" w:lineRule="auto"/>
            </w:pPr>
            <w:r w:rsidRPr="00714742">
              <w:t>Network: Access to labor-mobilization spaces is gatekept; inter-cluster inequality high (factional channeling).</w:t>
            </w:r>
          </w:p>
          <w:p w14:paraId="2892BC46" w14:textId="77777777" w:rsidR="00DA7A34" w:rsidRPr="00714742" w:rsidRDefault="00DA7A34" w:rsidP="00D93F83">
            <w:pPr>
              <w:spacing w:after="40" w:line="200" w:lineRule="auto"/>
            </w:pPr>
            <w:r w:rsidRPr="00714742">
              <w:t>Corporate: Access to labor-mobilization spaces embedded in daily circulation; inter-cluster inequality low (corporate mobilization).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04D9D5A" w14:textId="77777777" w:rsidR="00DA7A34" w:rsidRPr="00714742" w:rsidRDefault="00DA7A34" w:rsidP="00D93F83">
            <w:pPr>
              <w:spacing w:after="40" w:line="200" w:lineRule="auto"/>
            </w:pPr>
            <w:r w:rsidRPr="00714742">
              <w:t>Integration of communal nodes; cluster step-depth comparison; inter-cluster parity test (cf. Stone 2000; Hu 2019; Wernke 2012; Liebmann et al. 2005)</w:t>
            </w:r>
          </w:p>
        </w:tc>
      </w:tr>
      <w:tr w:rsidR="00DA7A34" w:rsidRPr="00714742" w14:paraId="799549A6"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61401B0" w14:textId="77777777" w:rsidR="00DA7A34" w:rsidRPr="00714742" w:rsidRDefault="00DA7A34" w:rsidP="00D93F83">
            <w:pPr>
              <w:spacing w:after="40" w:line="200" w:lineRule="auto"/>
            </w:pPr>
            <w:r w:rsidRPr="00714742">
              <w:t>Production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89193ED" w14:textId="77777777" w:rsidR="00DA7A34" w:rsidRPr="00714742" w:rsidRDefault="00DA7A34" w:rsidP="00D93F83">
            <w:pPr>
              <w:spacing w:after="40" w:line="200" w:lineRule="auto"/>
            </w:pPr>
            <w:r w:rsidRPr="00714742">
              <w:t>Attached specialization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E4E6E1" w14:textId="77777777" w:rsidR="00DA7A34" w:rsidRPr="00714742" w:rsidRDefault="00DA7A34" w:rsidP="00D93F83">
            <w:pPr>
              <w:spacing w:after="40" w:line="200" w:lineRule="auto"/>
            </w:pPr>
            <w:r w:rsidRPr="00714742">
              <w:t>Food production emphasis</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F7A2246" w14:textId="77777777" w:rsidR="00DA7A34" w:rsidRPr="00714742" w:rsidRDefault="00DA7A34" w:rsidP="00D93F83">
            <w:pPr>
              <w:spacing w:after="40" w:line="200" w:lineRule="auto"/>
            </w:pPr>
            <w:r w:rsidRPr="00714742">
              <w:t>Network: Specialized production zones segregated and controlled (high Control, low Integration); access restricted.</w:t>
            </w:r>
          </w:p>
          <w:p w14:paraId="3B81BDC8" w14:textId="77777777" w:rsidR="00DA7A34" w:rsidRPr="00714742" w:rsidRDefault="00DA7A34" w:rsidP="00D93F83">
            <w:pPr>
              <w:spacing w:after="40" w:line="200" w:lineRule="auto"/>
            </w:pPr>
            <w:r w:rsidRPr="00714742">
              <w:t>Corporate: Provisioning spaces evenly embedded across sectors; no access restriction.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B5A8023" w14:textId="77777777" w:rsidR="00DA7A34" w:rsidRPr="00714742" w:rsidRDefault="00DA7A34" w:rsidP="00D93F83">
            <w:pPr>
              <w:spacing w:after="40" w:line="200" w:lineRule="auto"/>
            </w:pPr>
            <w:r w:rsidRPr="00714742">
              <w:t>Network: Production spaces in low-Integration, high-Control positions; accessed via restricted corridors.</w:t>
            </w:r>
          </w:p>
          <w:p w14:paraId="59F2C0CA" w14:textId="77777777" w:rsidR="00DA7A34" w:rsidRPr="00714742" w:rsidRDefault="00DA7A34" w:rsidP="00D93F83">
            <w:pPr>
              <w:spacing w:after="40" w:line="200" w:lineRule="auto"/>
            </w:pPr>
            <w:r w:rsidRPr="00714742">
              <w:t xml:space="preserve">Corporate: Production spaces embedded in routine circulation; no </w:t>
            </w:r>
            <w:r w:rsidRPr="00714742">
              <w:lastRenderedPageBreak/>
              <w:t>access restriction in Integration or step-depth profiles.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DAEBCF" w14:textId="77777777" w:rsidR="00DA7A34" w:rsidRPr="00714742" w:rsidRDefault="00DA7A34" w:rsidP="00D93F83">
            <w:pPr>
              <w:spacing w:after="40" w:line="200" w:lineRule="auto"/>
            </w:pPr>
            <w:r w:rsidRPr="00714742">
              <w:lastRenderedPageBreak/>
              <w:t xml:space="preserve">Integration/Control of production zones; Axial/Segment Integration; VGA zone classification (cf. Edwards 2013; Stockett 2005; </w:t>
            </w:r>
            <w:proofErr w:type="spellStart"/>
            <w:r w:rsidRPr="00714742">
              <w:t>Benech</w:t>
            </w:r>
            <w:proofErr w:type="spellEnd"/>
            <w:r w:rsidRPr="00714742">
              <w:t xml:space="preserve"> 2007)</w:t>
            </w:r>
          </w:p>
        </w:tc>
      </w:tr>
      <w:tr w:rsidR="00DA7A34" w:rsidRPr="00714742" w14:paraId="146D42A0"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F376342" w14:textId="77777777" w:rsidR="00DA7A34" w:rsidRPr="00714742" w:rsidRDefault="00DA7A34" w:rsidP="00D93F83">
            <w:pPr>
              <w:spacing w:after="40" w:line="200" w:lineRule="auto"/>
            </w:pPr>
            <w:r w:rsidRPr="00714742">
              <w:t>Finance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AE7C1DB" w14:textId="77777777" w:rsidR="00DA7A34" w:rsidRPr="00714742" w:rsidRDefault="00DA7A34" w:rsidP="00D93F83">
            <w:pPr>
              <w:spacing w:after="40" w:line="200" w:lineRule="auto"/>
            </w:pPr>
            <w:r w:rsidRPr="00714742">
              <w:t>Wealth finance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804B12B" w14:textId="77777777" w:rsidR="00DA7A34" w:rsidRPr="00714742" w:rsidRDefault="00DA7A34" w:rsidP="00D93F83">
            <w:pPr>
              <w:spacing w:after="40" w:line="200" w:lineRule="auto"/>
            </w:pPr>
            <w:r w:rsidRPr="00714742">
              <w:t>Staple finance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70DAAD2" w14:textId="77777777" w:rsidR="00DA7A34" w:rsidRPr="00714742" w:rsidRDefault="00DA7A34" w:rsidP="00D93F83">
            <w:pPr>
              <w:spacing w:after="40" w:line="200" w:lineRule="auto"/>
            </w:pPr>
            <w:r w:rsidRPr="00714742">
              <w:t>Network: Centrality (Integration/Choice) concentrates at nodes of wealth-goods circulation.</w:t>
            </w:r>
          </w:p>
          <w:p w14:paraId="025EF8DC" w14:textId="77777777" w:rsidR="00DA7A34" w:rsidRPr="00714742" w:rsidRDefault="00DA7A34" w:rsidP="00D93F83">
            <w:pPr>
              <w:spacing w:after="40" w:line="200" w:lineRule="auto"/>
            </w:pPr>
            <w:r w:rsidRPr="00714742">
              <w:t>Corporate: Centrality aligns with provisioning and coordination nodes, not wealth-capture locations.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7DB6BD" w14:textId="77777777" w:rsidR="00DA7A34" w:rsidRPr="00714742" w:rsidRDefault="00DA7A34" w:rsidP="00D93F83">
            <w:pPr>
              <w:spacing w:after="40" w:line="200" w:lineRule="auto"/>
            </w:pPr>
            <w:r w:rsidRPr="00714742">
              <w:t>Network: Centrality-wealth coupling: high Integration/Choice coincides with prestige artifacts.</w:t>
            </w:r>
          </w:p>
          <w:p w14:paraId="41D82796" w14:textId="77777777" w:rsidR="00DA7A34" w:rsidRPr="00714742" w:rsidRDefault="00DA7A34" w:rsidP="00D93F83">
            <w:pPr>
              <w:spacing w:after="40" w:line="200" w:lineRule="auto"/>
            </w:pPr>
            <w:r w:rsidRPr="00714742">
              <w:t>Corporate: Centrality-provisioning coupling: high Integration/Choice coincides with staple storage and processing artifacts.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737571" w14:textId="77777777" w:rsidR="00DA7A34" w:rsidRPr="00714742" w:rsidRDefault="00DA7A34" w:rsidP="00D93F83">
            <w:pPr>
              <w:spacing w:after="40" w:line="200" w:lineRule="auto"/>
            </w:pPr>
            <w:r w:rsidRPr="00714742">
              <w:t xml:space="preserve">Integration/Choice x artifact-class correlation (prestige vs. staple) (cf. Fisher 2009; Alpay 2022; van Nes &amp; </w:t>
            </w:r>
            <w:proofErr w:type="spellStart"/>
            <w:r w:rsidRPr="00714742">
              <w:t>Yamu</w:t>
            </w:r>
            <w:proofErr w:type="spellEnd"/>
            <w:r w:rsidRPr="00714742">
              <w:t xml:space="preserve"> 2021)</w:t>
            </w:r>
          </w:p>
        </w:tc>
      </w:tr>
      <w:tr w:rsidR="00DA7A34" w:rsidRPr="00714742" w14:paraId="50DE4EE3"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EA1AE0C" w14:textId="77777777" w:rsidR="00DA7A34" w:rsidRPr="00714742" w:rsidRDefault="00DA7A34" w:rsidP="00D93F83">
            <w:pPr>
              <w:spacing w:after="40" w:line="200" w:lineRule="auto"/>
            </w:pPr>
            <w:r w:rsidRPr="00714742">
              <w:t>Mortuary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B9EC57E" w14:textId="77777777" w:rsidR="00DA7A34" w:rsidRPr="00714742" w:rsidRDefault="00DA7A34" w:rsidP="00D93F83">
            <w:pPr>
              <w:spacing w:after="40" w:line="200" w:lineRule="auto"/>
            </w:pPr>
            <w:r w:rsidRPr="00714742">
              <w:t>Princely burials; high wealth concentration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50B6962" w14:textId="77777777" w:rsidR="00DA7A34" w:rsidRPr="00714742" w:rsidRDefault="00DA7A34" w:rsidP="00D93F83">
            <w:pPr>
              <w:spacing w:after="40" w:line="200" w:lineRule="auto"/>
            </w:pPr>
            <w:r w:rsidRPr="00714742">
              <w:t>Uniform burials; low wealth concentration</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1D6C30C" w14:textId="77777777" w:rsidR="00DA7A34" w:rsidRPr="00714742" w:rsidRDefault="00DA7A34" w:rsidP="00D93F83">
            <w:pPr>
              <w:spacing w:after="40" w:line="200" w:lineRule="auto"/>
            </w:pPr>
            <w:r w:rsidRPr="00714742">
              <w:t>Network: Elite burials in high-Control, low-Integration positions; mortuary zones restricted and gatekept.</w:t>
            </w:r>
          </w:p>
          <w:p w14:paraId="37057329" w14:textId="77777777" w:rsidR="00DA7A34" w:rsidRPr="00714742" w:rsidRDefault="00DA7A34" w:rsidP="00D93F83">
            <w:pPr>
              <w:spacing w:after="40" w:line="200" w:lineRule="auto"/>
            </w:pPr>
            <w:r w:rsidRPr="00714742">
              <w:t>Corporate: Burials spatially uniform; no privileged mortuary precinct; access open.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71FB087" w14:textId="77777777" w:rsidR="00DA7A34" w:rsidRPr="00714742" w:rsidRDefault="00DA7A34" w:rsidP="00D93F83">
            <w:pPr>
              <w:spacing w:after="40" w:line="200" w:lineRule="auto"/>
            </w:pPr>
            <w:r w:rsidRPr="00714742">
              <w:t>Network: Grave goods unequal (high Gini/CV); prestige items concentrate in few burials.</w:t>
            </w:r>
          </w:p>
          <w:p w14:paraId="45C41391" w14:textId="77777777" w:rsidR="00DA7A34" w:rsidRPr="00714742" w:rsidRDefault="00DA7A34" w:rsidP="00D93F83">
            <w:pPr>
              <w:spacing w:after="40" w:line="200" w:lineRule="auto"/>
            </w:pPr>
            <w:r w:rsidRPr="00714742">
              <w:t>Corporate: Grave goods even (low Gini/CV); prestige items rare or evenly spread.</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E2F8A6E" w14:textId="77777777" w:rsidR="00DA7A34" w:rsidRPr="00714742" w:rsidRDefault="00DA7A34" w:rsidP="00D93F83">
            <w:pPr>
              <w:spacing w:after="40" w:line="200" w:lineRule="auto"/>
            </w:pPr>
            <w:r w:rsidRPr="00714742">
              <w:t>Control/Integration of mortuary zones; grave-good Gini/CV; settlement-level SS values linked interpretively to grave-good distribution (cf. Chapman 1990)</w:t>
            </w:r>
          </w:p>
        </w:tc>
      </w:tr>
      <w:tr w:rsidR="00DA7A34" w:rsidRPr="00714742" w14:paraId="66BD1039"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B854BC1" w14:textId="77777777" w:rsidR="00DA7A34" w:rsidRPr="00714742" w:rsidRDefault="00DA7A34" w:rsidP="00D93F83">
            <w:pPr>
              <w:spacing w:after="40" w:line="200" w:lineRule="auto"/>
            </w:pPr>
            <w:r w:rsidRPr="00714742">
              <w:t>Ritual architecture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3B81D87" w14:textId="77777777" w:rsidR="00DA7A34" w:rsidRPr="00714742" w:rsidRDefault="00DA7A34" w:rsidP="00D93F83">
            <w:pPr>
              <w:spacing w:after="40" w:line="200" w:lineRule="auto"/>
            </w:pPr>
            <w:r w:rsidRPr="00714742">
              <w:t>Exclusive, closed, small-capacity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951ABF9" w14:textId="77777777" w:rsidR="00DA7A34" w:rsidRPr="00714742" w:rsidRDefault="00DA7A34" w:rsidP="00D93F83">
            <w:pPr>
              <w:spacing w:after="40" w:line="200" w:lineRule="auto"/>
            </w:pPr>
            <w:r w:rsidRPr="00714742">
              <w:t>Inclusive, open, large-capacity</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D3F2076" w14:textId="77777777" w:rsidR="00DA7A34" w:rsidRPr="00714742" w:rsidRDefault="00DA7A34" w:rsidP="00D93F83">
            <w:pPr>
              <w:spacing w:after="40" w:line="200" w:lineRule="auto"/>
            </w:pPr>
            <w:r w:rsidRPr="00714742">
              <w:t>Network: Ritual spaces in low-Integration, high-Control positions; small capacity; access selective and gatekept.</w:t>
            </w:r>
          </w:p>
          <w:p w14:paraId="19CD20C4" w14:textId="77777777" w:rsidR="00DA7A34" w:rsidRPr="00714742" w:rsidRDefault="00DA7A34" w:rsidP="00D93F83">
            <w:pPr>
              <w:spacing w:after="40" w:line="200" w:lineRule="auto"/>
            </w:pPr>
            <w:r w:rsidRPr="00714742">
              <w:t>Corporate: Ritual spaces in high-Integration positions; large capacity; embedded in settlement-wide circulation.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D6EC722" w14:textId="77777777" w:rsidR="00DA7A34" w:rsidRPr="00714742" w:rsidRDefault="00DA7A34" w:rsidP="00D93F83">
            <w:pPr>
              <w:spacing w:after="40" w:line="200" w:lineRule="auto"/>
            </w:pPr>
            <w:r w:rsidRPr="00714742">
              <w:t>Network: VGA and Integration dissociate: ritual loci visually prominent but not topologically reachable.</w:t>
            </w:r>
          </w:p>
          <w:p w14:paraId="4DDA4B94" w14:textId="77777777" w:rsidR="00DA7A34" w:rsidRPr="00714742" w:rsidRDefault="00DA7A34" w:rsidP="00D93F83">
            <w:pPr>
              <w:spacing w:after="40" w:line="200" w:lineRule="auto"/>
            </w:pPr>
            <w:r w:rsidRPr="00714742">
              <w:t>Corporate: VGA and Integration align at ritual nodes; ritual space both visually prominent and physically accessible.</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9239B7" w14:textId="77777777" w:rsidR="00DA7A34" w:rsidRPr="00714742" w:rsidRDefault="00DA7A34" w:rsidP="00D93F83">
            <w:pPr>
              <w:spacing w:after="40" w:line="200" w:lineRule="auto"/>
            </w:pPr>
            <w:r w:rsidRPr="00714742">
              <w:t xml:space="preserve">Integration/Control of ritual spaces; VGA; capacity estimate; VGA x Integration alignment (cf. </w:t>
            </w:r>
            <w:proofErr w:type="spellStart"/>
            <w:r w:rsidRPr="00714742">
              <w:t>Chatford</w:t>
            </w:r>
            <w:proofErr w:type="spellEnd"/>
            <w:r w:rsidRPr="00714742">
              <w:t xml:space="preserve"> Clark 2007; Osborne &amp; Summers 2014; Moore 1996; Morton et al. 2012)</w:t>
            </w:r>
          </w:p>
        </w:tc>
      </w:tr>
      <w:tr w:rsidR="00DA7A34" w:rsidRPr="00714742" w14:paraId="2E2F945B"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244660" w14:textId="77777777" w:rsidR="00DA7A34" w:rsidRPr="00714742" w:rsidRDefault="00DA7A34" w:rsidP="00D93F83">
            <w:pPr>
              <w:spacing w:after="40" w:line="200" w:lineRule="auto"/>
            </w:pPr>
            <w:r w:rsidRPr="00714742">
              <w:lastRenderedPageBreak/>
              <w:t>Legitimation &amp; ideology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ACD1C0" w14:textId="77777777" w:rsidR="00DA7A34" w:rsidRPr="00714742" w:rsidRDefault="00DA7A34" w:rsidP="00D93F83">
            <w:pPr>
              <w:spacing w:after="40" w:line="200" w:lineRule="auto"/>
            </w:pPr>
            <w:r w:rsidRPr="00714742">
              <w:t>Personal glorification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F79CC7" w14:textId="77777777" w:rsidR="00DA7A34" w:rsidRPr="00714742" w:rsidRDefault="00DA7A34" w:rsidP="00D93F83">
            <w:pPr>
              <w:spacing w:after="40" w:line="200" w:lineRule="auto"/>
            </w:pPr>
            <w:r w:rsidRPr="00714742">
              <w:t>Group cohesion; community identity; symbols of office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6463299" w14:textId="77777777" w:rsidR="00DA7A34" w:rsidRPr="00714742" w:rsidRDefault="00DA7A34" w:rsidP="00D93F83">
            <w:pPr>
              <w:spacing w:after="40" w:line="200" w:lineRule="auto"/>
            </w:pPr>
            <w:r w:rsidRPr="00714742">
              <w:t>Network: Individual houses or precincts hold extreme structural advantage (high Choice/Control); privilege is household-linked.</w:t>
            </w:r>
          </w:p>
          <w:p w14:paraId="4E0FC2D1" w14:textId="77777777" w:rsidR="00DA7A34" w:rsidRPr="00714742" w:rsidRDefault="00DA7A34" w:rsidP="00D93F83">
            <w:pPr>
              <w:spacing w:after="40" w:line="200" w:lineRule="auto"/>
            </w:pPr>
            <w:r w:rsidRPr="00714742">
              <w:t>Corporate: Structural advantage tied to public nodes; no household dominates access.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DB19E59" w14:textId="77777777" w:rsidR="00DA7A34" w:rsidRPr="00714742" w:rsidRDefault="00DA7A34" w:rsidP="00D93F83">
            <w:pPr>
              <w:spacing w:after="40" w:line="200" w:lineRule="auto"/>
            </w:pPr>
            <w:r w:rsidRPr="00714742">
              <w:t>Network: Specific residential precincts capture disproportionate passage frequency and Choice/Control.</w:t>
            </w:r>
          </w:p>
          <w:p w14:paraId="32148EAE" w14:textId="77777777" w:rsidR="00DA7A34" w:rsidRPr="00714742" w:rsidRDefault="00DA7A34" w:rsidP="00D93F83">
            <w:pPr>
              <w:spacing w:after="40" w:line="200" w:lineRule="auto"/>
            </w:pPr>
            <w:r w:rsidRPr="00714742">
              <w:t>Corporate: Passage frequency and centrality concentrate at public nodes; no household captures disproportionate through-movement.</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9B27496" w14:textId="77777777" w:rsidR="00DA7A34" w:rsidRPr="00714742" w:rsidRDefault="00DA7A34" w:rsidP="00D93F83">
            <w:pPr>
              <w:spacing w:after="40" w:line="200" w:lineRule="auto"/>
            </w:pPr>
            <w:r w:rsidRPr="00714742">
              <w:t>Choice/Control per precinct; agent simulation (passage frequency) (cf. Turner &amp; Penn 2002; Fredrick &amp; Vennarucci 2021; Monroe 2010)</w:t>
            </w:r>
            <w:proofErr w:type="spellStart"/>
            <w:r w:rsidRPr="00714742"/>
            <w:proofErr w:type="spellEnd"/>
            <w:r w:rsidRPr="00714742"/>
          </w:p>
        </w:tc>
      </w:tr>
      <w:tr w:rsidR="00DA7A34" w:rsidRPr="00714742" w14:paraId="21570824"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5B362E" w14:textId="77777777" w:rsidR="00DA7A34" w:rsidRPr="00714742" w:rsidRDefault="00DA7A34" w:rsidP="00D93F83">
            <w:pPr>
              <w:spacing w:after="40" w:line="200" w:lineRule="auto"/>
            </w:pPr>
            <w:r w:rsidRPr="00714742">
              <w:t>Symbols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03A7BB9" w14:textId="77777777" w:rsidR="00DA7A34" w:rsidRPr="00714742" w:rsidRDefault="00DA7A34" w:rsidP="00D93F83">
            <w:pPr>
              <w:spacing w:after="40" w:line="200" w:lineRule="auto"/>
            </w:pPr>
            <w:r w:rsidRPr="00714742">
              <w:t>Elite adornment</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EA9292B" w14:textId="77777777" w:rsidR="00DA7A34" w:rsidRPr="00714742" w:rsidRDefault="00DA7A34" w:rsidP="00D93F83">
            <w:pPr>
              <w:spacing w:after="40" w:line="200" w:lineRule="auto"/>
            </w:pPr>
            <w:r w:rsidRPr="00714742">
              <w:t>Symbols of office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9D42F8" w14:textId="77777777" w:rsidR="00DA7A34" w:rsidRPr="00714742" w:rsidRDefault="00DA7A34" w:rsidP="00D93F83">
            <w:pPr>
              <w:spacing w:after="40" w:line="200" w:lineRule="auto"/>
            </w:pPr>
            <w:r w:rsidRPr="00714742">
              <w:t>Network: Prestige display spaces: high VGA but low Integration and high Control; VGA and Integration dissociate.</w:t>
            </w:r>
          </w:p>
          <w:p w14:paraId="0E1EF099" w14:textId="77777777" w:rsidR="00DA7A34" w:rsidRPr="00714742" w:rsidRDefault="00DA7A34" w:rsidP="00D93F83">
            <w:pPr>
              <w:spacing w:after="40" w:line="200" w:lineRule="auto"/>
            </w:pPr>
            <w:r w:rsidRPr="00714742">
              <w:t>Corporate: Public office spaces: high VGA and high Integration; VGA and Integration align.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400E284" w14:textId="77777777" w:rsidR="00DA7A34" w:rsidRPr="00714742" w:rsidRDefault="00DA7A34" w:rsidP="00D93F83">
            <w:pPr>
              <w:spacing w:after="40" w:line="200" w:lineRule="auto"/>
            </w:pPr>
            <w:r w:rsidRPr="00714742">
              <w:t>Network: Display corridors gatekept; symbols seen from a distance but reached only through controlled routes.</w:t>
            </w:r>
          </w:p>
          <w:p w14:paraId="40FEBFFD" w14:textId="77777777" w:rsidR="00DA7A34" w:rsidRPr="00714742" w:rsidRDefault="00DA7A34" w:rsidP="00D93F83">
            <w:pPr>
              <w:spacing w:after="40" w:line="200" w:lineRule="auto"/>
            </w:pPr>
            <w:r w:rsidRPr="00714742">
              <w:t>Corporate: Shared communal nodes seen and reached by all residents; symbols embedded in public circulation.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818252E" w14:textId="77777777" w:rsidR="00DA7A34" w:rsidRPr="00714742" w:rsidRDefault="00DA7A34" w:rsidP="00D93F83">
            <w:pPr>
              <w:spacing w:after="40" w:line="200" w:lineRule="auto"/>
            </w:pPr>
            <w:r w:rsidRPr="00714742">
              <w:t xml:space="preserve">Control; VGA visual integration; Axial/Segment Choice (cf. Osborne &amp; Summers 2014; </w:t>
            </w:r>
            <w:proofErr w:type="spellStart"/>
            <w:r w:rsidRPr="00714742">
              <w:t>Chatford</w:t>
            </w:r>
            <w:proofErr w:type="spellEnd"/>
            <w:r w:rsidRPr="00714742">
              <w:t xml:space="preserve"> Clark 2007; </w:t>
            </w:r>
            <w:proofErr w:type="spellStart"/>
            <w:r w:rsidRPr="00714742">
              <w:t>Baumanova</w:t>
            </w:r>
            <w:proofErr w:type="spellEnd"/>
            <w:r w:rsidRPr="00714742">
              <w:t xml:space="preserve"> 2020)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