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Space to Society: Settlement Structure and Social Organization in Neolithic China</w:t>
      </w:r>
    </w:p>
    <w:p>
      <w:r>
        <w:t>Methods Chapter Outline (Dissertation Working Document, v1)</w:t>
      </w:r>
    </w:p>
    <w:p>
      <w:r>
        <w:t>This outline presents the argument of the Methods chapter in near-prose form, continuous with the Theoretical Framework Outline (v5). Its operational core is Table 1 of the framework chapter: every procedure described here exists to evaluate one of the ten tendencies, at one of the three nested scales, under the decision rules of framework Section 6.3. The completed Jiangzhai Phase I study (Bai, in preparation) serves throughout as the reference implementation of the protocol; the chapter generalizes that implementation to Jiahu and Taosi and states explicitly, at each step, where differences in preservation and excavation coverage require the protocol to be adapted, restricted, or withheld. Site-specific adaptations are marked "Site note" and consolidated in Section 6.</w:t>
      </w:r>
    </w:p>
    <w:p>
      <w:pPr>
        <w:pStyle w:val="Heading1"/>
      </w:pPr>
      <w:r>
        <w:t>0. Overview: The Argument of the Chapter</w:t>
      </w:r>
    </w:p>
    <w:p>
      <w:r>
        <w:t>The chapter answers one question: how, concretely, are the falsifiable expectations of Table 1 evaluated against the published records of Jiahu, Jiangzhai, and Taosi? It proceeds from design to data to method to inference. Section 1 restates the design commitments the framework imposes: hypothesis-first measurement, convergence across independent methods, and a constant protocol run over data of unequal completeness. Section 2 specifies the datasets and the digitization, contemporaneity, and formation-process work that must precede any analysis. Section 3 specifies the configurational battery (four Space Syntax methods); Section 4 the Activity Zone Analysis and the feature-based datasets (storage and mortuary) that extend it; Section 5 the statistics by which configuration and function are joined and the robustness battery that disciplines them. Section 6 consolidates the three site protocols and the data-completeness tiering. Section 7 states the workflow by which row-by-row outcomes aggregate into the strategy profiles of RQ1 and the hypothesis tests of RQ2 and RQ3. Section 8 covers reproducibility and data management.</w:t>
      </w:r>
    </w:p>
    <w:p>
      <w:r>
        <w:t>One principle governs the whole chapter: the protocol is held constant and the data are graded, never the reverse. Where a site cannot meet a prerequisite, the affected cell of Table 1 is not diluted to fit; it is evaluated with the methods that remain licensed, or explicitly withheld, following the scope conditions of the framework (Section 8 there). Comparability across the three sites is therefore by construction, and every departure from the reference implementation is documented as such.</w:t>
      </w:r>
    </w:p>
    <w:p>
      <w:pPr>
        <w:pStyle w:val="Heading1"/>
      </w:pPr>
      <w:r>
        <w:t>1. Research Design: From Hypothesis Table to Measurement Protocol</w:t>
      </w:r>
    </w:p>
    <w:p>
      <w:pPr>
        <w:pStyle w:val="Heading2"/>
      </w:pPr>
      <w:r>
        <w:t>1.1 Hypothesis-First Measurement</w:t>
      </w:r>
    </w:p>
    <w:p>
      <w:r>
        <w:t>The design is hypothesis-first in the sense established by the framework and executed in the Jiangzhai study (Bai, in preparation): before any measurement, each of the ten tendencies of Table 1 is restated as a pair of opposed, falsifiable expectations, corporate and network (Blanton et al., 1996; Feinman, 2000), each bound to named measures. The Methods chapter therefore contains no exploratory license; every test reported in the Results chapters traces to a pre-declared cell of Table 1, and the two readings of each cell fail under opposite outcomes.</w:t>
      </w:r>
    </w:p>
    <w:p>
      <w:pPr>
        <w:pStyle w:val="Heading2"/>
      </w:pPr>
      <w:r>
        <w:t>1.2 Convergence Across Independent Methods</w:t>
      </w:r>
    </w:p>
    <w:p>
      <w:r>
        <w:t>Because no single spatial model of an open Neolithic settlement is beyond challenge, the design derives its force from convergence: four configurational methods resting on different assumptions (Section 3), joined to functional evidence of independent origin (Section 4), evaluated under common statistics (Section 5). Agreement among methods marks a property of the plan rather than an artifact of one model; disagreement localizes which assumption is doing the work and is reported as a finding, not smoothed away. This is the operational form of the convergence rule of framework Section 6.3.</w:t>
      </w:r>
    </w:p>
    <w:p>
      <w:pPr>
        <w:pStyle w:val="Heading2"/>
      </w:pPr>
      <w:r>
        <w:t>1.3 Constant Protocol over Tiered Data</w:t>
      </w:r>
    </w:p>
    <w:p>
      <w:r>
        <w:t>The three sites enter the analysis at unequal completeness, and the design absorbs this by tiering the data, not by bending the protocol. Tier 1 is a georeferenceable village plan with feature-level provenience across most of the occupied area (Jiangzhai Phase I). Tier 2 is a substantial but partial and multi-phase exposure (Jiahu). Tier 3 is a large site known from targeted excavation plus systematic coring, where the settlement-scale structure and the excavated precincts are documented at different resolutions (Taosi). Each method in Sections 3 through 5 carries a prerequisite statement (following the standard of Cutting, 2003, 2006), and Table M1 in Section 6.4 records, cell by cell, which prerequisites each site meets. All three scales of the framework, building or household, cluster or neighborhood, and settlement, are analyzed wherever licensed (Manzanilla, 2015; Hanson, 1998).</w:t>
      </w:r>
    </w:p>
    <w:p>
      <w:pPr>
        <w:pStyle w:val="Heading1"/>
      </w:pPr>
      <w:r>
        <w:t>2. Data Sources, Digitization, and Pre-Analysis Assessment</w:t>
      </w:r>
    </w:p>
    <w:p>
      <w:pPr>
        <w:pStyle w:val="Heading2"/>
      </w:pPr>
      <w:r>
        <w:t>2.1 Published Sources</w:t>
      </w:r>
    </w:p>
    <w:p>
      <w:r>
        <w:t>All data derive from published excavation reports and subsequent published results; no unpublished archival material is required. Jiangzhai: the final report (Xi'an Banpo Museum et al., 1988), supplemented by the household-scale literature (Lee, 2007; Peterson &amp; Shelach, 2012). Jiahu: the two-volume final report (Henan Provincial Institute of Cultural Relics and Archaeology, 1999) and the synthetic literature (Zhang &amp; Cui, 2013). Taosi: the 1978-1985 report (Institute of Archaeology, Chinese Academy of Social Sciences, &amp; Shanxi Provincial Linfen Municipal Bureau of Cultural Relics, 2015) together with the published results of the subsequent seasons that identified the walled circuits, the palatial precinct, and the special-function areas (He, 2018; Liu &amp; Chen, 2012).</w:t>
      </w:r>
    </w:p>
    <w:p>
      <w:r>
        <w:rPr>
          <w:i/>
        </w:rPr>
        <w:t>Site note — Taosi: the 1978-1985 report documents residential remains and a large Early-period cemetery; the town walls (Early town ca. 56 ha; Middle town ca. 280 ha) and the palatial precinct (ca. 13 ha) rest on later coring and targeted excavation published at coarser spatial resolution (He, 2018). The two resolutions are kept apart in the database and never silently merged.</w:t>
      </w:r>
    </w:p>
    <w:p>
      <w:pPr>
        <w:pStyle w:val="Heading2"/>
      </w:pPr>
      <w:r>
        <w:t>2.2 Digitization Workflow</w:t>
      </w:r>
    </w:p>
    <w:p>
      <w:r>
        <w:t>Plans are georeferenced and digitized into a structured spatial database: one polygon or point per architectural or feature unit, one row per unit in linked registers (houses, storage pits, burials, other features), with the report's own identifiers preserved as persistent keys. Artifact records are held at two resolutions, artifact-level (type, sub-type, quantity, provenience) and unit-level aggregates. The Jiangzhai implementation defines the standard: registers reconciled against report tables before analysis; duplicate register numbers resolved; units lacking usable dimensions excluded rather than imputed; the match between digitized geometry and register entries verified by coordinate matching (mean matching error 0.18 m at Jiangzhai). The same conventions apply at Jiahu and Taosi.</w:t>
      </w:r>
    </w:p>
    <w:p>
      <w:r>
        <w:rPr>
          <w:i/>
        </w:rPr>
        <w:t>Site note — Jiahu: house floor plans are more often incomplete than at Jiangzhai; the exclusion-over-imputation rule will therefore remove a larger fraction of units, and the surviving-sample size is reported per analysis with its power consequences (Section 5.4). — Taosi: digitization proceeds separately for (i) the contiguously excavated precincts, at feature resolution, and (ii) the settlement-scale skeleton (walls, gates, road corridors, functional zones) reconstructed from coring and published plans, at zone resolution.</w:t>
      </w:r>
    </w:p>
    <w:p>
      <w:pPr>
        <w:pStyle w:val="Heading2"/>
      </w:pPr>
      <w:r>
        <w:t>2.3 Openings, Boundaries, and Contemporaneity</w:t>
      </w:r>
    </w:p>
    <w:p>
      <w:r>
        <w:t>Three assumption classes are declared before analysis, per the prerequisite standard (Cutting, 2003, 2006) and with attention to histories of modification and reuse (Fladd, 2017). Openings: documented doorway positions are used where the report records them; analyses that depend on doorways are run alongside doorway-independent constructions (Section 3.4) so that results never rest on undocumented openings alone. Boundaries: analysis extents follow the excavated or reliably cored perimeter (moat, wall, or exposure edge), and edge effects are checked by buffer sensitivity (Section 5.4). Contemporaneity: each analysis names the occupation phase it addresses and treats the phase as a maintained spatial order, a palimpsest of some duration, rather than a single synchronic moment; sensitivity of coefficient values to occupation simultaneity is acknowledged as a limit, and finer intra-phase chronology (cf. Lee, 2007) is flagged as a refinement path.</w:t>
      </w:r>
    </w:p>
    <w:p>
      <w:r>
        <w:rPr>
          <w:i/>
        </w:rPr>
        <w:t>Site note — Jiangzhai: the analysis is confined to Phase I, as in the reference study. — Jiahu: the occupation divides into three sub-phases; the full battery is run per sub-phase where sample sizes license it, and only pooled with explicit justification. — Taosi: the Early, Middle, and Late periods differ structurally (walling, palatial construction, destruction episode); no cross-period pooling is permitted, and the diachronic comparison of RQ2 uses the periods as separate analytical units.</w:t>
      </w:r>
    </w:p>
    <w:p>
      <w:pPr>
        <w:pStyle w:val="Heading2"/>
      </w:pPr>
      <w:r>
        <w:t>2.4 Formation-Process Assessment</w:t>
      </w:r>
    </w:p>
    <w:p>
      <w:r>
        <w:t>Before any functional reading, each dataset receives an explicit formation-process assessment (Schiffer, 1987): recovery and recording practices of the excavation, abandonment mode, post-depositional disturbance, and the resulting biases in artifact presence and density; on the activity side, assemblages must be shown to reflect the organization of activities rather than depositional accident (Binford, 1978; Carr, 1984). The Jiangzhai study supplies the template for arguing against preservation-only explanations: empty and rich units interleaved across centrality tiers rather than zoned; the same pattern replicated across independent spatial measures; and replication in feature classes with different recording histories. Zero-inflation of artifact counts is treated as a property of the record to be accommodated by the statistics (Section 5.1), not ignored.</w:t>
      </w:r>
    </w:p>
    <w:p>
      <w:pPr>
        <w:pStyle w:val="Heading1"/>
      </w:pPr>
      <w:r>
        <w:t>3. Configurational Analysis: The Space Syntax Battery</w:t>
      </w:r>
    </w:p>
    <w:p>
      <w:r>
        <w:t>Four methods, each resting on different assumptions about what connects spaces, are run on every licensed analytical extent (Hillier &amp; Hanson, 1984; Hillier, 1996; Bafna, 2003; van Nes &amp; Yamu, 2021). Software: depthmapX for visibility and agent analyses (Varoudis, 2012) and a Python stack (ezdxf, scipy, networkx, scikit-learn, pandas) for graph construction, measures, and statistics, as validated in the Jiangzhai implementation.</w:t>
      </w:r>
    </w:p>
    <w:p>
      <w:pPr>
        <w:pStyle w:val="Heading2"/>
      </w:pPr>
      <w:r>
        <w:t>3.1 Justified-Graph / Access Analysis on Discrete-Unit Graphs</w:t>
      </w:r>
    </w:p>
    <w:p>
      <w:r>
        <w:t>Open settlements without continuous party walls do not admit convex-map partition; spatial units (dwellings, communal structures, plaza or open-space nodes) are therefore modeled as nodes and adjacency is defined by Delaunay triangulation of unit centroids, a reproducible construction requiring no distance threshold (at Jiangzhai: 71 nodes, 198 edges). Measures per node: Connectivity k; Total and Mean Depth; RA = 2(MD-1)/(n-2); Integration [HH] = 1/RA (with RRA/D-value standardization where cross-system comparison requires it); Control = the sum over neighbors of 1/k; Choice as betweenness centrality; local Integration at radius 3. Intelligibility is the coefficient of determination (R2) of Connectivity against global Integration across nodes.</w:t>
      </w:r>
    </w:p>
    <w:p>
      <w:pPr>
        <w:pStyle w:val="Heading2"/>
      </w:pPr>
      <w:r>
        <w:t>3.2 Visibility Graph Analysis (VGA)</w:t>
      </w:r>
    </w:p>
    <w:p>
      <w:r>
        <w:t>A visibility graph is computed over open space within the analysis boundary, with architecture as visual barrier (Turner et al., 2001), in depthmapX. Grid values are brought to unit level as the mean visual connectivity within a 15 m buffer of each unit (the immediate-forecourt scale), with 10 m and 20 m buffers retained as sensitivity checks; the visual core is defined as the centroid of the top-decile connectivity cells, and each unit receives its distance to that core and a tertile visibility band.</w:t>
      </w:r>
    </w:p>
    <w:p>
      <w:r>
        <w:rPr>
          <w:i/>
        </w:rPr>
        <w:t>Site note — buffer calibration: the 15 m default reflects Jiangzhai's building density; at Taosi, whose open spaces and inter-feature distances are larger, buffer radii are recalibrated on the digitized plan before analysis and declared in advance, with the same three-radius sensitivity design.</w:t>
      </w:r>
    </w:p>
    <w:p>
      <w:pPr>
        <w:pStyle w:val="Heading2"/>
      </w:pPr>
      <w:r>
        <w:t>3.3 Agent-Based Movement Analysis</w:t>
      </w:r>
    </w:p>
    <w:p>
      <w:r>
        <w:t>One thousand agents with visually biased random walks are released onto the visibility graph (Turner &amp; Penn, 2002) in depthmapX; per-cell gate counts accumulate passage frequency, and each unit receives the summed gate count within a 10 m buffer as its movement-density value. The measure operationalizes the "passage frequency" expectations of the legitimation and wealth rows of Table 1.</w:t>
      </w:r>
    </w:p>
    <w:p>
      <w:pPr>
        <w:pStyle w:val="Heading2"/>
      </w:pPr>
      <w:r>
        <w:t>3.4 Axial and Segment Analysis under Explicit Construction Assumptions</w:t>
      </w:r>
    </w:p>
    <w:p>
      <w:r>
        <w:t>Because open settlements offer no self-evident street network, axial models are generated under three declared constructions and always reported as a set: (A) the Voronoi skeleton of open space, a neutral equidistant-corridor model; (B) documented doorway positions connected by Delaunay triangulation, an intentional-orientation model; (C) their combination. Each line set receives axial Integration, Choice, and Control, and each is re-run as angular segment analysis, with turning angle rather than topological step as movement cost; line values reach units through the same buffer convention. Convergence across constructions demonstrates insensitivity to the network assumption; divergence localizes it. One warning from the reference implementation is carried forward as a standing check: doorway-Delaunay constructions can produce spuriously high intelligibility as a mathematical property of the triangulation, so intelligibility values from construction B are never interpreted alone.</w:t>
      </w:r>
    </w:p>
    <w:p>
      <w:r>
        <w:rPr>
          <w:i/>
        </w:rPr>
        <w:t>Site note — Jiahu: doorway documentation is sparser than at Jiangzhai, so construction B may be infeasible for some sub-phases; constructions A and C then carry the sensitivity design, and the restriction is recorded in Table M1. — Taosi (settlement scale): the axial/segment family is the primary instrument, run on the skeleton of walls, gates, and road corridors from coring and excavation; alternative plausible reconstructions of uncertain segments are analyzed as competing constructions in the same A/B/C spirit.</w:t>
      </w:r>
    </w:p>
    <w:p>
      <w:pPr>
        <w:pStyle w:val="Heading1"/>
      </w:pPr>
      <w:r>
        <w:t>4. Activity Zone Analysis and Feature Datasets</w:t>
      </w:r>
    </w:p>
    <w:p>
      <w:pPr>
        <w:pStyle w:val="Heading2"/>
      </w:pPr>
      <w:r>
        <w:t>4.1 Artifact Classification</w:t>
      </w:r>
    </w:p>
    <w:p>
      <w:r>
        <w:t>Artifact classes follow the classification note of Table 1: network-associated and corporate-associated classes held constant across the three sites, with per-site register adjustments documented (Feinman, 2000; Shelach, 2006; Peterson et al., 2016; Tu et al., 2022). For unit-level analysis, artifacts aggregate to functional classes (at Jiangzhai: ceramics, lithics, fauna, flora, prestige goods), and the domestic/production/storage/ritual functional domains organize zone interpretation (Kent, 1990; Rapoport, 1990; Binford, 1978). Diagnostic value is read jointly from type and context, per the framework.</w:t>
      </w:r>
    </w:p>
    <w:p>
      <w:pPr>
        <w:pStyle w:val="Heading2"/>
      </w:pPr>
      <w:r>
        <w:t>4.2 Standardization and Indices</w:t>
      </w:r>
    </w:p>
    <w:p>
      <w:r>
        <w:t>Counts are standardized before comparison: per-unit densities (artifacts per square meter of floor or feature area), unit richness, and declared composite indices whose weights are fixed in advance of analysis. Zero-inflation is reported per class, and classes too sparse to test (at Jiangzhai, prestige goods and flora) are excluded from formal testing rather than forced.</w:t>
      </w:r>
    </w:p>
    <w:p>
      <w:pPr>
        <w:pStyle w:val="Heading2"/>
      </w:pPr>
      <w:r>
        <w:t>4.3 Zone Classification and Local Clustering</w:t>
      </w:r>
    </w:p>
    <w:p>
      <w:r>
        <w:t>Two unsupervised partitions serve different questions: k-means on standardized artifact composition classifies units into activity types, and k-means on coordinates recovers spatial clusters for cluster-scale tests (at Jiangzhai, k=5, matching the reported residential groups). Local concentrations are screened with the Getis-Ord Gi* statistic (Getis &amp; Ord, 1992). Partition choices are validated by silhouette values and by robustness across linkage or initialization choices.</w:t>
      </w:r>
    </w:p>
    <w:p>
      <w:pPr>
        <w:pStyle w:val="Heading2"/>
      </w:pPr>
      <w:r>
        <w:t>4.4 Storage and Mortuary Datasets</w:t>
      </w:r>
    </w:p>
    <w:p>
      <w:r>
        <w:t>Storage: pit registers are analyzed for capacity inequality, morphological clustering (standardized dimensions and contents; Ward linkage with silhouette validation), and spatial placement, tested against complete spatial randomness by Monte Carlo simulation of pit-to-nearest-house distances within the occupied area. Mortuary: grave-good distributions are analyzed as measures of differentiation rather than wealth (Goldstein, 1981; Chapman, 1990): Gini and CV with bootstrap confidence intervals; rare valuables handled by interval estimation rather than sparse-cell chi-square tests; burial-to-residence linkage attempted only where the record licenses it.</w:t>
      </w:r>
    </w:p>
    <w:p>
      <w:r>
        <w:rPr>
          <w:i/>
        </w:rPr>
        <w:t>Site note — Jiangzhai: burials lie in separate cemetery zones that cannot be securely tied to specific residential groups; cemetery-zone differences are reported as context, not as political structure. — Jiahu: burials are interspersed among houses and sub-phased, permitting a closer mortuary-residential linkage than at Jiangzhai; this is the one respect in which Jiahu exceeds the reference case, and the mortuary row of Table 1 gains a spatial test there. — Taosi: the cemetery is large, strongly differentiated, and only partially published at burial level; mortuary analysis proceeds on the published subsample with explicit selection-bias assessment, and settlement-scale configurational values are linked to grave-good distributions interpretively, as Table 1 specifies.</w:t>
      </w:r>
    </w:p>
    <w:p>
      <w:pPr>
        <w:pStyle w:val="Heading1"/>
      </w:pPr>
      <w:r>
        <w:t>5. Joining Configuration to Function: Statistical Protocol</w:t>
      </w:r>
    </w:p>
    <w:p>
      <w:pPr>
        <w:pStyle w:val="Heading2"/>
      </w:pPr>
      <w:r>
        <w:t>5.1 Matching and the Choice of Statistics</w:t>
      </w:r>
    </w:p>
    <w:p>
      <w:r>
        <w:t>Configurational values and functional records are joined by coordinate matching into one analysis table per site and scale. Rank-based statistics are the default throughout, for declared reasons: artifact variables are non-normal, heavily zero-inflated, and contain extreme values; Spearman's rho is therefore the primary association measure, with Kendall's tau as a confirmatory alternative.</w:t>
      </w:r>
    </w:p>
    <w:p>
      <w:pPr>
        <w:pStyle w:val="Heading2"/>
      </w:pPr>
      <w:r>
        <w:t>5.2 The Test Battery, Row by Row</w:t>
      </w:r>
    </w:p>
    <w:p>
      <w:r>
        <w:t>Each statistic exists to answer one organizational question from Table 1, as fixed in the framework's methods note: Spearman's rho between syntactic centrality (Integration, Choice, Control) and artifact-class density tests whether movement structure and accumulation are coupled (network) or decoupled (corporate); the CV of Choice and Control measures whether gatekeeping capacity is concentrated or broadly shared; Kruskal-Wallis tests whether Integration differs among residential clusters; step-depth comparison tests whether access from clusters to communal nodes is symmetric; intelligibility R2 measures whether global structure is learnable from local observation; Gini and CV of grave goods measure mortuary concentration; agent gate counts identify spaces capturing disproportionate through-movement; and the alignment or dissociation of VGA visual integration with Integration tests whether visually prominent spaces are also physically accessible. The full crossing at the reference site (nine configurational measures by four artifact measures, 36 tests) defines the template; per-site crossings are declared before analysis.</w:t>
      </w:r>
    </w:p>
    <w:p>
      <w:pPr>
        <w:pStyle w:val="Heading2"/>
      </w:pPr>
      <w:r>
        <w:t>5.3 Error Control</w:t>
      </w:r>
    </w:p>
    <w:p>
      <w:r>
        <w:t>Screening attends only to coefficients significant at p &lt; 0.01; families of tests receive both Bonferroni and Benjamini-Hochberg control (Benjamini &amp; Hochberg, 1995), and both corrected and uncorrected results are reported so that the reader can see what survives each standard.</w:t>
      </w:r>
    </w:p>
    <w:p>
      <w:pPr>
        <w:pStyle w:val="Heading2"/>
      </w:pPr>
      <w:r>
        <w:t>5.4 Robustness Battery and Negative-Result Protocol</w:t>
      </w:r>
    </w:p>
    <w:p>
      <w:r>
        <w:t>Every headline result, and especially any negative (decoupling) result, carries the robustness battery validated at Jiangzhai: bootstrap confidence intervals (2,000 resamples); permutation tests (10,000 iterations); the Kendall alternative; re-estimation on the artifact-bearing subsample; buffer-radius sensitivity (10/15/20 m); network-construction sensitivity (axial A/B/C); and a power analysis stating which effect sizes the sample could and could not have detected. Where a null result is claimed, the claim is that coefficients are small and consistent across all methods, not merely non-significant.</w:t>
      </w:r>
    </w:p>
    <w:p>
      <w:pPr>
        <w:pStyle w:val="Heading2"/>
      </w:pPr>
      <w:r>
        <w:t>5.5 Convergence Bookkeeping</w:t>
      </w:r>
    </w:p>
    <w:p>
      <w:r>
        <w:t>Results are logged in a cross-method convergence matrix per site and scale: each Table 1 row receives a corporate/network/mixed/withheld outcome per method, and only method-convergent outcomes enter the strategy profile. Misalignment is carried forward as organizational heterogeneity, per framework Section 6.3.</w:t>
      </w:r>
    </w:p>
    <w:p>
      <w:pPr>
        <w:pStyle w:val="Heading1"/>
      </w:pPr>
      <w:r>
        <w:t>6. Site Protocols and Data-Completeness Adaptations</w:t>
      </w:r>
    </w:p>
    <w:p>
      <w:pPr>
        <w:pStyle w:val="Heading2"/>
      </w:pPr>
      <w:r>
        <w:t>6.1 Jiangzhai Phase I: The Reference Implementation (Tier 1)</w:t>
      </w:r>
    </w:p>
    <w:p>
      <w:r>
        <w:t>The complete protocol has been executed at Jiangzhai Phase I (Bai, in preparation): 70 georeferenced houses plus the central plaza as 71 spatial nodes; 295 registered Phase I storage pits (122 georeferenced); 174 burials; four configurational methods; the full statistical and robustness battery. The dissertation incorporates this analysis as its Tier 1 case and the calibration standard for the other two sites: its parameter choices (buffers, agent counts, screening thresholds) are the protocol defaults, and departures elsewhere are justified against it.</w:t>
      </w:r>
    </w:p>
    <w:p>
      <w:pPr>
        <w:pStyle w:val="Heading2"/>
      </w:pPr>
      <w:r>
        <w:t>6.2 Jiahu: Multi-Phase Partial Exposure (Tier 2)</w:t>
      </w:r>
    </w:p>
    <w:p>
      <w:r>
        <w:t>Jiahu's exposure is substantial but discontinuous and divides into three occupation sub-phases (Henan Provincial Institute of Cultural Relics and Archaeology, 1999; Zhang &amp; Cui, 2013). Adaptations: (i) phase-stratified analysis, with the battery run per sub-phase where unit counts license it and power reported where they do not; (ii) analysis extents follow exposure edges, with edge-effect checks, and settlement-scale claims are conditioned on the unexcavated fraction; (iii) doorway-dependent constructions may be unavailable (Section 3.4); (iv) the interspersed burials permit a genuinely spatial mortuary test, strengthening the mortuary row relative to the reference case. Expected profile: all ten rows evaluable at household and cluster scale in at least one sub-phase; settlement-scale rows evaluable with declared exposure caveats.</w:t>
      </w:r>
    </w:p>
    <w:p>
      <w:pPr>
        <w:pStyle w:val="Heading2"/>
      </w:pPr>
      <w:r>
        <w:t>6.3 Taosi: Targeted Excavation plus Coring (Tier 3)</w:t>
      </w:r>
    </w:p>
    <w:p>
      <w:r>
        <w:t>Taosi is analyzed at two resolutions that are never merged. Precinct scale: within contiguously excavated areas (ordinary residential areas, the palatial precinct, the cemetery), the full battery runs as at the reference site, per period. Settlement scale: a skeleton graph of walled circuits, gates, road corridors, and functional zones, built from the 1978-1985 report and the published later seasons (Institute of Archaeology, Chinese Academy of Social Sciences, &amp; Shanxi Provincial Linfen Municipal Bureau of Cultural Relics, 2015; He, 2018; Liu &amp; Chen, 2012), carries axial/segment and step-depth analysis, with competing reconstructions of uncertain segments analyzed as alternative constructions. Rows whose prerequisites the record cannot meet at a given scale are withheld rather than approximated, and the withholding is itself reported, since H-C (scalar coexistence) is evaluated precisely on the contrast between precinct-scale and settlement-scale profiles.</w:t>
      </w:r>
    </w:p>
    <w:p>
      <w:pPr>
        <w:pStyle w:val="Heading2"/>
      </w:pPr>
      <w:r>
        <w:t>6.4 Cross-Site Comparability and Table M1</w:t>
      </w:r>
    </w:p>
    <w:p>
      <w:r>
        <w:t>Comparability is by construction: identical rows, artifact classes, measures, and decision rules; graded data. Table M1 (below) is the protocol-applicability matrix, recording per site which data prerequisites are met, which methods are licensed, and where restrictions apply; it is completed during digitization, before analysis, and functions as the chapter's falsifiable statement about its own evidential basis.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Prerequisite / method</w:t>
            </w:r>
          </w:p>
        </w:tc>
        <w:tc>
          <w:tcPr>
            <w:tcW w:type="dxa" w:w="2160"/>
          </w:tcPr>
          <w:p>
            <w:r>
              <w:t>Jiangzhai Phase I (Tier 1)</w:t>
            </w:r>
          </w:p>
        </w:tc>
        <w:tc>
          <w:tcPr>
            <w:tcW w:type="dxa" w:w="2160"/>
          </w:tcPr>
          <w:p>
            <w:r>
              <w:t>Jiahu (Tier 2)</w:t>
            </w:r>
          </w:p>
        </w:tc>
        <w:tc>
          <w:tcPr>
            <w:tcW w:type="dxa" w:w="2160"/>
          </w:tcPr>
          <w:p>
            <w:r>
              <w:t>Taosi (Tier 3)</w:t>
            </w:r>
          </w:p>
        </w:tc>
      </w:tr>
      <w:tr>
        <w:tc>
          <w:tcPr>
            <w:tcW w:type="dxa" w:w="2160"/>
          </w:tcPr>
          <w:p>
            <w:r>
              <w:t>Georeferenceable plan of occupied area</w:t>
            </w:r>
          </w:p>
        </w:tc>
        <w:tc>
          <w:tcPr>
            <w:tcW w:type="dxa" w:w="2160"/>
          </w:tcPr>
          <w:p>
            <w:r>
              <w:t>Yes, near-complete village plan</w:t>
            </w:r>
          </w:p>
        </w:tc>
        <w:tc>
          <w:tcPr>
            <w:tcW w:type="dxa" w:w="2160"/>
          </w:tcPr>
          <w:p>
            <w:r>
              <w:t>Partial, discontinuous exposures; per sub-phase</w:t>
            </w:r>
          </w:p>
        </w:tc>
        <w:tc>
          <w:tcPr>
            <w:tcW w:type="dxa" w:w="2160"/>
          </w:tcPr>
          <w:p>
            <w:r>
              <w:t>Excavated precincts at feature resolution; settlement skeleton from coring at zone resolution</w:t>
            </w:r>
          </w:p>
        </w:tc>
      </w:tr>
      <w:tr>
        <w:tc>
          <w:tcPr>
            <w:tcW w:type="dxa" w:w="2160"/>
          </w:tcPr>
          <w:p>
            <w:r>
              <w:t>Feature-level artifact provenience</w:t>
            </w:r>
          </w:p>
        </w:tc>
        <w:tc>
          <w:tcPr>
            <w:tcW w:type="dxa" w:w="2160"/>
          </w:tcPr>
          <w:p>
            <w:r>
              <w:t>Yes (houses, pits, burials)</w:t>
            </w:r>
          </w:p>
        </w:tc>
        <w:tc>
          <w:tcPr>
            <w:tcW w:type="dxa" w:w="2160"/>
          </w:tcPr>
          <w:p>
            <w:r>
              <w:t>Yes (houses, pits, burials), phase-stratified</w:t>
            </w:r>
          </w:p>
        </w:tc>
        <w:tc>
          <w:tcPr>
            <w:tcW w:type="dxa" w:w="2160"/>
          </w:tcPr>
          <w:p>
            <w:r>
              <w:t>Yes within excavated precincts; partial for cemetery publication</w:t>
            </w:r>
          </w:p>
        </w:tc>
      </w:tr>
      <w:tr>
        <w:tc>
          <w:tcPr>
            <w:tcW w:type="dxa" w:w="2160"/>
          </w:tcPr>
          <w:p>
            <w:r>
              <w:t>Documented doorways (axial construction B)</w:t>
            </w:r>
          </w:p>
        </w:tc>
        <w:tc>
          <w:tcPr>
            <w:tcW w:type="dxa" w:w="2160"/>
          </w:tcPr>
          <w:p>
            <w:r>
              <w:t>Yes (38 doorway positions)</w:t>
            </w:r>
          </w:p>
        </w:tc>
        <w:tc>
          <w:tcPr>
            <w:tcW w:type="dxa" w:w="2160"/>
          </w:tcPr>
          <w:p>
            <w:r>
              <w:t>Partial; may be infeasible per sub-phase</w:t>
            </w:r>
          </w:p>
        </w:tc>
        <w:tc>
          <w:tcPr>
            <w:tcW w:type="dxa" w:w="2160"/>
          </w:tcPr>
          <w:p>
            <w:r>
              <w:t>Precinct scale only</w:t>
            </w:r>
          </w:p>
        </w:tc>
      </w:tr>
      <w:tr>
        <w:tc>
          <w:tcPr>
            <w:tcW w:type="dxa" w:w="2160"/>
          </w:tcPr>
          <w:p>
            <w:r>
              <w:t>Justified-graph / discrete-unit analysis</w:t>
            </w:r>
          </w:p>
        </w:tc>
        <w:tc>
          <w:tcPr>
            <w:tcW w:type="dxa" w:w="2160"/>
          </w:tcPr>
          <w:p>
            <w:r>
              <w:t>Full (71 nodes)</w:t>
            </w:r>
          </w:p>
        </w:tc>
        <w:tc>
          <w:tcPr>
            <w:tcW w:type="dxa" w:w="2160"/>
          </w:tcPr>
          <w:p>
            <w:r>
              <w:t>Per sub-phase, reduced n; power reported</w:t>
            </w:r>
          </w:p>
        </w:tc>
        <w:tc>
          <w:tcPr>
            <w:tcW w:type="dxa" w:w="2160"/>
          </w:tcPr>
          <w:p>
            <w:r>
              <w:t>Precinct scale full; settlement scale on skeleton graph</w:t>
            </w:r>
          </w:p>
        </w:tc>
      </w:tr>
      <w:tr>
        <w:tc>
          <w:tcPr>
            <w:tcW w:type="dxa" w:w="2160"/>
          </w:tcPr>
          <w:p>
            <w:r>
              <w:t>VGA and agent analysis</w:t>
            </w:r>
          </w:p>
        </w:tc>
        <w:tc>
          <w:tcPr>
            <w:tcW w:type="dxa" w:w="2160"/>
          </w:tcPr>
          <w:p>
            <w:r>
              <w:t>Full (15 m buffer default)</w:t>
            </w:r>
          </w:p>
        </w:tc>
        <w:tc>
          <w:tcPr>
            <w:tcW w:type="dxa" w:w="2160"/>
          </w:tcPr>
          <w:p>
            <w:r>
              <w:t>Within exposure edges; edge-effect checks</w:t>
            </w:r>
          </w:p>
        </w:tc>
        <w:tc>
          <w:tcPr>
            <w:tcW w:type="dxa" w:w="2160"/>
          </w:tcPr>
          <w:p>
            <w:r>
              <w:t>Within contiguous precincts; recalibrated buffers</w:t>
            </w:r>
          </w:p>
        </w:tc>
      </w:tr>
      <w:tr>
        <w:tc>
          <w:tcPr>
            <w:tcW w:type="dxa" w:w="2160"/>
          </w:tcPr>
          <w:p>
            <w:r>
              <w:t>Axial/segment analysis</w:t>
            </w:r>
          </w:p>
        </w:tc>
        <w:tc>
          <w:tcPr>
            <w:tcW w:type="dxa" w:w="2160"/>
          </w:tcPr>
          <w:p>
            <w:r>
              <w:t>Constructions A/B/C</w:t>
            </w:r>
          </w:p>
        </w:tc>
        <w:tc>
          <w:tcPr>
            <w:tcW w:type="dxa" w:w="2160"/>
          </w:tcPr>
          <w:p>
            <w:r>
              <w:t>Constructions A/C (B where documented)</w:t>
            </w:r>
          </w:p>
        </w:tc>
        <w:tc>
          <w:tcPr>
            <w:tcW w:type="dxa" w:w="2160"/>
          </w:tcPr>
          <w:p>
            <w:r>
              <w:t>Primary settlement-scale instrument; competing reconstructions</w:t>
            </w:r>
          </w:p>
        </w:tc>
      </w:tr>
      <w:tr>
        <w:tc>
          <w:tcPr>
            <w:tcW w:type="dxa" w:w="2160"/>
          </w:tcPr>
          <w:p>
            <w:r>
              <w:t>Mortuary spatial linkage</w:t>
            </w:r>
          </w:p>
        </w:tc>
        <w:tc>
          <w:tcPr>
            <w:tcW w:type="dxa" w:w="2160"/>
          </w:tcPr>
          <w:p>
            <w:r>
              <w:t>Cemetery separate; context only</w:t>
            </w:r>
          </w:p>
        </w:tc>
        <w:tc>
          <w:tcPr>
            <w:tcW w:type="dxa" w:w="2160"/>
          </w:tcPr>
          <w:p>
            <w:r>
              <w:t>Burials interspersed; full spatial test</w:t>
            </w:r>
          </w:p>
        </w:tc>
        <w:tc>
          <w:tcPr>
            <w:tcW w:type="dxa" w:w="2160"/>
          </w:tcPr>
          <w:p>
            <w:r>
              <w:t>Cemetery precinct; published subsample with bias assessment</w:t>
            </w:r>
          </w:p>
        </w:tc>
      </w:tr>
    </w:tbl>
    <w:p>
      <w:pPr>
        <w:pStyle w:val="Heading2"/>
      </w:pPr>
      <w:r>
        <w:t>6.5 Table M2: Row-by-Scale-by-Site Applicability Pre-Assessment</w:t>
      </w:r>
    </w:p>
    <w:p>
      <w:r>
        <w:t>Table M2 extends Table M1 to the full crossing of the framework: the ten tendencies of Table 1, by the three nested scales, by the three sites. Entries are a pre-assessment made from the published records and the reference implementation; they are finalized during digitization and re-issued with the Results. Codes: Full = reference protocol runs unmodified; Adapted = runs under the stated adaptation; Withheld = prerequisites not met, absence reported as a datum; N/A = the measure is a system-level property with no meaning at that scale. HH = building/household scale, CL = cluster/neighborhood scale (at Taosi: precinct), ST = settlement scale. All Jiahu entries are per sub-phase; all Taosi entries are per period.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Tendency x scale</w:t>
            </w:r>
          </w:p>
        </w:tc>
        <w:tc>
          <w:tcPr>
            <w:tcW w:type="dxa" w:w="2160"/>
          </w:tcPr>
          <w:p>
            <w:r>
              <w:t>Jiangzhai Phase I</w:t>
            </w:r>
          </w:p>
        </w:tc>
        <w:tc>
          <w:tcPr>
            <w:tcW w:type="dxa" w:w="2160"/>
          </w:tcPr>
          <w:p>
            <w:r>
              <w:t>Jiahu</w:t>
            </w:r>
          </w:p>
        </w:tc>
        <w:tc>
          <w:tcPr>
            <w:tcW w:type="dxa" w:w="2160"/>
          </w:tcPr>
          <w:p>
            <w:r>
              <w:t>Taosi</w:t>
            </w:r>
          </w:p>
        </w:tc>
      </w:tr>
      <w:tr>
        <w:tc>
          <w:tcPr>
            <w:tcW w:type="dxa" w:w="2160"/>
          </w:tcPr>
          <w:p>
            <w:r>
              <w:t>1 Wealth &amp; consumption - HH</w:t>
            </w:r>
          </w:p>
        </w:tc>
        <w:tc>
          <w:tcPr>
            <w:tcW w:type="dxa" w:w="2160"/>
          </w:tcPr>
          <w:p>
            <w:r>
              <w:t>Full</w:t>
            </w:r>
          </w:p>
        </w:tc>
        <w:tc>
          <w:tcPr>
            <w:tcW w:type="dxa" w:w="2160"/>
          </w:tcPr>
          <w:p>
            <w:r>
              <w:t>Full (reduced n; power reported)</w:t>
            </w:r>
          </w:p>
        </w:tc>
        <w:tc>
          <w:tcPr>
            <w:tcW w:type="dxa" w:w="2160"/>
          </w:tcPr>
          <w:p>
            <w:r>
              <w:t>Adapted: excavated precincts only</w:t>
            </w:r>
          </w:p>
        </w:tc>
      </w:tr>
      <w:tr>
        <w:tc>
          <w:tcPr>
            <w:tcW w:type="dxa" w:w="2160"/>
          </w:tcPr>
          <w:p>
            <w:r>
              <w:t>1 Wealth &amp; consumption - CL</w:t>
            </w:r>
          </w:p>
        </w:tc>
        <w:tc>
          <w:tcPr>
            <w:tcW w:type="dxa" w:w="2160"/>
          </w:tcPr>
          <w:p>
            <w:r>
              <w:t>Full</w:t>
            </w:r>
          </w:p>
        </w:tc>
        <w:tc>
          <w:tcPr>
            <w:tcW w:type="dxa" w:w="2160"/>
          </w:tcPr>
          <w:p>
            <w:r>
              <w:t>Adapted: clusters re-derived per sub-phase exposure</w:t>
            </w:r>
          </w:p>
        </w:tc>
        <w:tc>
          <w:tcPr>
            <w:tcW w:type="dxa" w:w="2160"/>
          </w:tcPr>
          <w:p>
            <w:r>
              <w:t>Adapted: between-precinct comparison on zone-level registers</w:t>
            </w:r>
          </w:p>
        </w:tc>
      </w:tr>
      <w:tr>
        <w:tc>
          <w:tcPr>
            <w:tcW w:type="dxa" w:w="2160"/>
          </w:tcPr>
          <w:p>
            <w:r>
              <w:t>1 Wealth &amp; consumption - ST</w:t>
            </w:r>
          </w:p>
        </w:tc>
        <w:tc>
          <w:tcPr>
            <w:tcW w:type="dxa" w:w="2160"/>
          </w:tcPr>
          <w:p>
            <w:r>
              <w:t>Full</w:t>
            </w:r>
          </w:p>
        </w:tc>
        <w:tc>
          <w:tcPr>
            <w:tcW w:type="dxa" w:w="2160"/>
          </w:tcPr>
          <w:p>
            <w:r>
              <w:t>Adapted: exposure-conditioned; edge-effect checks</w:t>
            </w:r>
          </w:p>
        </w:tc>
        <w:tc>
          <w:tcPr>
            <w:tcW w:type="dxa" w:w="2160"/>
          </w:tcPr>
          <w:p>
            <w:r>
              <w:t>Adapted: zone-resolution aggregates joined to skeleton values; interpretive</w:t>
            </w:r>
          </w:p>
        </w:tc>
      </w:tr>
      <w:tr>
        <w:tc>
          <w:tcPr>
            <w:tcW w:type="dxa" w:w="2160"/>
          </w:tcPr>
          <w:p>
            <w:r>
              <w:t>2 Power arrangements - HH</w:t>
            </w:r>
          </w:p>
        </w:tc>
        <w:tc>
          <w:tcPr>
            <w:tcW w:type="dxa" w:w="2160"/>
          </w:tcPr>
          <w:p>
            <w:r>
              <w:t>Full</w:t>
            </w:r>
          </w:p>
        </w:tc>
        <w:tc>
          <w:tcPr>
            <w:tcW w:type="dxa" w:w="2160"/>
          </w:tcPr>
          <w:p>
            <w:r>
              <w:t>Full (reduced n)</w:t>
            </w:r>
          </w:p>
        </w:tc>
        <w:tc>
          <w:tcPr>
            <w:tcW w:type="dxa" w:w="2160"/>
          </w:tcPr>
          <w:p>
            <w:r>
              <w:t>Adapted: within precincts</w:t>
            </w:r>
          </w:p>
        </w:tc>
      </w:tr>
      <w:tr>
        <w:tc>
          <w:tcPr>
            <w:tcW w:type="dxa" w:w="2160"/>
          </w:tcPr>
          <w:p>
            <w:r>
              <w:t>2 Power arrangements - CL</w:t>
            </w:r>
          </w:p>
        </w:tc>
        <w:tc>
          <w:tcPr>
            <w:tcW w:type="dxa" w:w="2160"/>
          </w:tcPr>
          <w:p>
            <w:r>
              <w:t>Full (Kruskal-Wallis across five groups)</w:t>
            </w:r>
          </w:p>
        </w:tc>
        <w:tc>
          <w:tcPr>
            <w:tcW w:type="dxa" w:w="2160"/>
          </w:tcPr>
          <w:p>
            <w:r>
              <w:t>Adapted: per sub-phase clusters</w:t>
            </w:r>
          </w:p>
        </w:tc>
        <w:tc>
          <w:tcPr>
            <w:tcW w:type="dxa" w:w="2160"/>
          </w:tcPr>
          <w:p>
            <w:r>
              <w:t>Adapted: between-precinct comparison</w:t>
            </w:r>
          </w:p>
        </w:tc>
      </w:tr>
      <w:tr>
        <w:tc>
          <w:tcPr>
            <w:tcW w:type="dxa" w:w="2160"/>
          </w:tcPr>
          <w:p>
            <w:r>
              <w:t>2 Power arrangements - ST</w:t>
            </w:r>
          </w:p>
        </w:tc>
        <w:tc>
          <w:tcPr>
            <w:tcW w:type="dxa" w:w="2160"/>
          </w:tcPr>
          <w:p>
            <w:r>
              <w:t>Full (Choice/Control CV; step-depth symmetry)</w:t>
            </w:r>
          </w:p>
        </w:tc>
        <w:tc>
          <w:tcPr>
            <w:tcW w:type="dxa" w:w="2160"/>
          </w:tcPr>
          <w:p>
            <w:r>
              <w:t>Adapted: CV over exposed graph only</w:t>
            </w:r>
          </w:p>
        </w:tc>
        <w:tc>
          <w:tcPr>
            <w:tcW w:type="dxa" w:w="2160"/>
          </w:tcPr>
          <w:p>
            <w:r>
              <w:t>Full on skeleton graph, with reconstruction sensitivity (gates, corridors)</w:t>
            </w:r>
          </w:p>
        </w:tc>
      </w:tr>
      <w:tr>
        <w:tc>
          <w:tcPr>
            <w:tcW w:type="dxa" w:w="2160"/>
          </w:tcPr>
          <w:p>
            <w:r>
              <w:t>3 Basis of status / legibility - HH</w:t>
            </w:r>
          </w:p>
        </w:tc>
        <w:tc>
          <w:tcPr>
            <w:tcW w:type="dxa" w:w="2160"/>
          </w:tcPr>
          <w:p>
            <w:r>
              <w:t>N/A (system-level measure)</w:t>
            </w:r>
          </w:p>
        </w:tc>
        <w:tc>
          <w:tcPr>
            <w:tcW w:type="dxa" w:w="2160"/>
          </w:tcPr>
          <w:p>
            <w:r>
              <w:t>N/A</w:t>
            </w:r>
          </w:p>
        </w:tc>
        <w:tc>
          <w:tcPr>
            <w:tcW w:type="dxa" w:w="2160"/>
          </w:tcPr>
          <w:p>
            <w:r>
              <w:t>N/A</w:t>
            </w:r>
          </w:p>
        </w:tc>
      </w:tr>
      <w:tr>
        <w:tc>
          <w:tcPr>
            <w:tcW w:type="dxa" w:w="2160"/>
          </w:tcPr>
          <w:p>
            <w:r>
              <w:t>3 Basis of status / legibility - CL</w:t>
            </w:r>
          </w:p>
        </w:tc>
        <w:tc>
          <w:tcPr>
            <w:tcW w:type="dxa" w:w="2160"/>
          </w:tcPr>
          <w:p>
            <w:r>
              <w:t>Adapted: exploratory subgraph intelligibility</w:t>
            </w:r>
          </w:p>
        </w:tc>
        <w:tc>
          <w:tcPr>
            <w:tcW w:type="dxa" w:w="2160"/>
          </w:tcPr>
          <w:p>
            <w:r>
              <w:t>Adapted: within-exposure subgraphs</w:t>
            </w:r>
          </w:p>
        </w:tc>
        <w:tc>
          <w:tcPr>
            <w:tcW w:type="dxa" w:w="2160"/>
          </w:tcPr>
          <w:p>
            <w:r>
              <w:t>Full within contiguous precincts</w:t>
            </w:r>
          </w:p>
        </w:tc>
      </w:tr>
      <w:tr>
        <w:tc>
          <w:tcPr>
            <w:tcW w:type="dxa" w:w="2160"/>
          </w:tcPr>
          <w:p>
            <w:r>
              <w:t>3 Basis of status / legibility - ST</w:t>
            </w:r>
          </w:p>
        </w:tc>
        <w:tc>
          <w:tcPr>
            <w:tcW w:type="dxa" w:w="2160"/>
          </w:tcPr>
          <w:p>
            <w:r>
              <w:t>Full (intelligibility R2; construction-B caveat)</w:t>
            </w:r>
          </w:p>
        </w:tc>
        <w:tc>
          <w:tcPr>
            <w:tcW w:type="dxa" w:w="2160"/>
          </w:tcPr>
          <w:p>
            <w:r>
              <w:t>Adapted: strong edge-effect caveat</w:t>
            </w:r>
          </w:p>
        </w:tc>
        <w:tc>
          <w:tcPr>
            <w:tcW w:type="dxa" w:w="2160"/>
          </w:tcPr>
          <w:p>
            <w:r>
              <w:t>Adapted: skeleton intelligibility read only across competing reconstructions</w:t>
            </w:r>
          </w:p>
        </w:tc>
      </w:tr>
      <w:tr>
        <w:tc>
          <w:tcPr>
            <w:tcW w:type="dxa" w:w="2160"/>
          </w:tcPr>
          <w:p>
            <w:r>
              <w:t>4 Political dynamics - HH</w:t>
            </w:r>
          </w:p>
        </w:tc>
        <w:tc>
          <w:tcPr>
            <w:tcW w:type="dxa" w:w="2160"/>
          </w:tcPr>
          <w:p>
            <w:r>
              <w:t>Full (house-to-plaza depths)</w:t>
            </w:r>
          </w:p>
        </w:tc>
        <w:tc>
          <w:tcPr>
            <w:tcW w:type="dxa" w:w="2160"/>
          </w:tcPr>
          <w:p>
            <w:r>
              <w:t>Adapted: depths to candidate shared spaces</w:t>
            </w:r>
          </w:p>
        </w:tc>
        <w:tc>
          <w:tcPr>
            <w:tcW w:type="dxa" w:w="2160"/>
          </w:tcPr>
          <w:p>
            <w:r>
              <w:t>Adapted: within precincts</w:t>
            </w:r>
          </w:p>
        </w:tc>
      </w:tr>
      <w:tr>
        <w:tc>
          <w:tcPr>
            <w:tcW w:type="dxa" w:w="2160"/>
          </w:tcPr>
          <w:p>
            <w:r>
              <w:t>4 Political dynamics - CL</w:t>
            </w:r>
          </w:p>
        </w:tc>
        <w:tc>
          <w:tcPr>
            <w:tcW w:type="dxa" w:w="2160"/>
          </w:tcPr>
          <w:p>
            <w:r>
              <w:t>Full (inter-cluster parity to plaza)</w:t>
            </w:r>
          </w:p>
        </w:tc>
        <w:tc>
          <w:tcPr>
            <w:tcW w:type="dxa" w:w="2160"/>
          </w:tcPr>
          <w:p>
            <w:r>
              <w:t>Adapted: candidate communal nodes identified first from configuration + AZA</w:t>
            </w:r>
          </w:p>
        </w:tc>
        <w:tc>
          <w:tcPr>
            <w:tcW w:type="dxa" w:w="2160"/>
          </w:tcPr>
          <w:p>
            <w:r>
              <w:t>Adapted: precinct-to-public-precinct depths</w:t>
            </w:r>
          </w:p>
        </w:tc>
      </w:tr>
      <w:tr>
        <w:tc>
          <w:tcPr>
            <w:tcW w:type="dxa" w:w="2160"/>
          </w:tcPr>
          <w:p>
            <w:r>
              <w:t>4 Political dynamics - ST</w:t>
            </w:r>
          </w:p>
        </w:tc>
        <w:tc>
          <w:tcPr>
            <w:tcW w:type="dxa" w:w="2160"/>
          </w:tcPr>
          <w:p>
            <w:r>
              <w:t>Full</w:t>
            </w:r>
          </w:p>
        </w:tc>
        <w:tc>
          <w:tcPr>
            <w:tcW w:type="dxa" w:w="2160"/>
          </w:tcPr>
          <w:p>
            <w:r>
              <w:t>Withheld if no communal node is identifiable; absence reported</w:t>
            </w:r>
          </w:p>
        </w:tc>
        <w:tc>
          <w:tcPr>
            <w:tcW w:type="dxa" w:w="2160"/>
          </w:tcPr>
          <w:p>
            <w:r>
              <w:t>Full on skeleton: residential zones to public/ceremonial precincts, candidate-node sensitivity</w:t>
            </w:r>
          </w:p>
        </w:tc>
      </w:tr>
      <w:tr>
        <w:tc>
          <w:tcPr>
            <w:tcW w:type="dxa" w:w="2160"/>
          </w:tcPr>
          <w:p>
            <w:r>
              <w:t>5 Production - HH</w:t>
            </w:r>
          </w:p>
        </w:tc>
        <w:tc>
          <w:tcPr>
            <w:tcW w:type="dxa" w:w="2160"/>
          </w:tcPr>
          <w:p>
            <w:r>
              <w:t>Full</w:t>
            </w:r>
          </w:p>
        </w:tc>
        <w:tc>
          <w:tcPr>
            <w:tcW w:type="dxa" w:w="2160"/>
          </w:tcPr>
          <w:p>
            <w:r>
              <w:t>Full (production evidence in houses/pits)</w:t>
            </w:r>
          </w:p>
        </w:tc>
        <w:tc>
          <w:tcPr>
            <w:tcW w:type="dxa" w:w="2160"/>
          </w:tcPr>
          <w:p>
            <w:r>
              <w:t>Adapted: within precincts</w:t>
            </w:r>
          </w:p>
        </w:tc>
      </w:tr>
      <w:tr>
        <w:tc>
          <w:tcPr>
            <w:tcW w:type="dxa" w:w="2160"/>
          </w:tcPr>
          <w:p>
            <w:r>
              <w:t>5 Production - CL</w:t>
            </w:r>
          </w:p>
        </w:tc>
        <w:tc>
          <w:tcPr>
            <w:tcW w:type="dxa" w:w="2160"/>
          </w:tcPr>
          <w:p>
            <w:r>
              <w:t>Full (kiln and processing loci)</w:t>
            </w:r>
          </w:p>
        </w:tc>
        <w:tc>
          <w:tcPr>
            <w:tcW w:type="dxa" w:w="2160"/>
          </w:tcPr>
          <w:p>
            <w:r>
              <w:t>Adapted: zones identified via AZA first</w:t>
            </w:r>
          </w:p>
        </w:tc>
        <w:tc>
          <w:tcPr>
            <w:tcW w:type="dxa" w:w="2160"/>
          </w:tcPr>
          <w:p>
            <w:r>
              <w:t>Full where craft precincts are documented</w:t>
            </w:r>
          </w:p>
        </w:tc>
      </w:tr>
      <w:tr>
        <w:tc>
          <w:tcPr>
            <w:tcW w:type="dxa" w:w="2160"/>
          </w:tcPr>
          <w:p>
            <w:r>
              <w:t>5 Production - ST</w:t>
            </w:r>
          </w:p>
        </w:tc>
        <w:tc>
          <w:tcPr>
            <w:tcW w:type="dxa" w:w="2160"/>
          </w:tcPr>
          <w:p>
            <w:r>
              <w:t>Full</w:t>
            </w:r>
          </w:p>
        </w:tc>
        <w:tc>
          <w:tcPr>
            <w:tcW w:type="dxa" w:w="2160"/>
          </w:tcPr>
          <w:p>
            <w:r>
              <w:t>Adapted: exposure-conditioned</w:t>
            </w:r>
          </w:p>
        </w:tc>
        <w:tc>
          <w:tcPr>
            <w:tcW w:type="dxa" w:w="2160"/>
          </w:tcPr>
          <w:p>
            <w:r>
              <w:t>Adapted: zone-resolution placement of craft areas relative to skeleton</w:t>
            </w:r>
          </w:p>
        </w:tc>
      </w:tr>
      <w:tr>
        <w:tc>
          <w:tcPr>
            <w:tcW w:type="dxa" w:w="2160"/>
          </w:tcPr>
          <w:p>
            <w:r>
              <w:t>6 Finance - HH</w:t>
            </w:r>
          </w:p>
        </w:tc>
        <w:tc>
          <w:tcPr>
            <w:tcW w:type="dxa" w:w="2160"/>
          </w:tcPr>
          <w:p>
            <w:r>
              <w:t>Full (household storage)</w:t>
            </w:r>
          </w:p>
        </w:tc>
        <w:tc>
          <w:tcPr>
            <w:tcW w:type="dxa" w:w="2160"/>
          </w:tcPr>
          <w:p>
            <w:r>
              <w:t>Full</w:t>
            </w:r>
          </w:p>
        </w:tc>
        <w:tc>
          <w:tcPr>
            <w:tcW w:type="dxa" w:w="2160"/>
          </w:tcPr>
          <w:p>
            <w:r>
              <w:t>Adapted: within precincts</w:t>
            </w:r>
          </w:p>
        </w:tc>
      </w:tr>
      <w:tr>
        <w:tc>
          <w:tcPr>
            <w:tcW w:type="dxa" w:w="2160"/>
          </w:tcPr>
          <w:p>
            <w:r>
              <w:t>6 Finance - CL</w:t>
            </w:r>
          </w:p>
        </w:tc>
        <w:tc>
          <w:tcPr>
            <w:tcW w:type="dxa" w:w="2160"/>
          </w:tcPr>
          <w:p>
            <w:r>
              <w:t>Full (pit placement vs clusters)</w:t>
            </w:r>
          </w:p>
        </w:tc>
        <w:tc>
          <w:tcPr>
            <w:tcW w:type="dxa" w:w="2160"/>
          </w:tcPr>
          <w:p>
            <w:r>
              <w:t>Full per sub-phase</w:t>
            </w:r>
          </w:p>
        </w:tc>
        <w:tc>
          <w:tcPr>
            <w:tcW w:type="dxa" w:w="2160"/>
          </w:tcPr>
          <w:p>
            <w:r>
              <w:t>Full: palace-attached vs residential storage contrast</w:t>
            </w:r>
          </w:p>
        </w:tc>
      </w:tr>
      <w:tr>
        <w:tc>
          <w:tcPr>
            <w:tcW w:type="dxa" w:w="2160"/>
          </w:tcPr>
          <w:p>
            <w:r>
              <w:t>6 Finance - ST</w:t>
            </w:r>
          </w:p>
        </w:tc>
        <w:tc>
          <w:tcPr>
            <w:tcW w:type="dxa" w:w="2160"/>
          </w:tcPr>
          <w:p>
            <w:r>
              <w:t>Full (295-pit register; placement vs CSR)</w:t>
            </w:r>
          </w:p>
        </w:tc>
        <w:tc>
          <w:tcPr>
            <w:tcW w:type="dxa" w:w="2160"/>
          </w:tcPr>
          <w:p>
            <w:r>
              <w:t>Adapted: exposure-conditioned placement tests</w:t>
            </w:r>
          </w:p>
        </w:tc>
        <w:tc>
          <w:tcPr>
            <w:tcW w:type="dxa" w:w="2160"/>
          </w:tcPr>
          <w:p>
            <w:r>
              <w:t>Adapted: storage precincts at zone resolution</w:t>
            </w:r>
          </w:p>
        </w:tc>
      </w:tr>
      <w:tr>
        <w:tc>
          <w:tcPr>
            <w:tcW w:type="dxa" w:w="2160"/>
          </w:tcPr>
          <w:p>
            <w:r>
              <w:t>7 Mortuary - HH</w:t>
            </w:r>
          </w:p>
        </w:tc>
        <w:tc>
          <w:tcPr>
            <w:tcW w:type="dxa" w:w="2160"/>
          </w:tcPr>
          <w:p>
            <w:r>
              <w:t>Full (grave-good Gini/CV, bootstrap)</w:t>
            </w:r>
          </w:p>
        </w:tc>
        <w:tc>
          <w:tcPr>
            <w:tcW w:type="dxa" w:w="2160"/>
          </w:tcPr>
          <w:p>
            <w:r>
              <w:t>Full</w:t>
            </w:r>
          </w:p>
        </w:tc>
        <w:tc>
          <w:tcPr>
            <w:tcW w:type="dxa" w:w="2160"/>
          </w:tcPr>
          <w:p>
            <w:r>
              <w:t>Adapted: published subsample; selection-bias assessment</w:t>
            </w:r>
          </w:p>
        </w:tc>
      </w:tr>
      <w:tr>
        <w:tc>
          <w:tcPr>
            <w:tcW w:type="dxa" w:w="2160"/>
          </w:tcPr>
          <w:p>
            <w:r>
              <w:t>7 Mortuary - CL</w:t>
            </w:r>
          </w:p>
        </w:tc>
        <w:tc>
          <w:tcPr>
            <w:tcW w:type="dxa" w:w="2160"/>
          </w:tcPr>
          <w:p>
            <w:r>
              <w:t>Adapted: cemetery zones not linkable to residential groups; context only</w:t>
            </w:r>
          </w:p>
        </w:tc>
        <w:tc>
          <w:tcPr>
            <w:tcW w:type="dxa" w:w="2160"/>
          </w:tcPr>
          <w:p>
            <w:r>
              <w:t>Full: interspersed burials permit spatial linkage</w:t>
            </w:r>
          </w:p>
        </w:tc>
        <w:tc>
          <w:tcPr>
            <w:tcW w:type="dxa" w:w="2160"/>
          </w:tcPr>
          <w:p>
            <w:r>
              <w:t>Adapted: cemetery precinct configuration partially known</w:t>
            </w:r>
          </w:p>
        </w:tc>
      </w:tr>
      <w:tr>
        <w:tc>
          <w:tcPr>
            <w:tcW w:type="dxa" w:w="2160"/>
          </w:tcPr>
          <w:p>
            <w:r>
              <w:t>7 Mortuary - ST</w:t>
            </w:r>
          </w:p>
        </w:tc>
        <w:tc>
          <w:tcPr>
            <w:tcW w:type="dxa" w:w="2160"/>
          </w:tcPr>
          <w:p>
            <w:r>
              <w:t>Adapted: settlement-level values linked interpretively</w:t>
            </w:r>
          </w:p>
        </w:tc>
        <w:tc>
          <w:tcPr>
            <w:tcW w:type="dxa" w:w="2160"/>
          </w:tcPr>
          <w:p>
            <w:r>
              <w:t>Full per sub-phase</w:t>
            </w:r>
          </w:p>
        </w:tc>
        <w:tc>
          <w:tcPr>
            <w:tcW w:type="dxa" w:w="2160"/>
          </w:tcPr>
          <w:p>
            <w:r>
              <w:t>Adapted: interpretive linkage, per Table 1</w:t>
            </w:r>
          </w:p>
        </w:tc>
      </w:tr>
      <w:tr>
        <w:tc>
          <w:tcPr>
            <w:tcW w:type="dxa" w:w="2160"/>
          </w:tcPr>
          <w:p>
            <w:r>
              <w:t>8 Ritual architecture - HH</w:t>
            </w:r>
          </w:p>
        </w:tc>
        <w:tc>
          <w:tcPr>
            <w:tcW w:type="dxa" w:w="2160"/>
          </w:tcPr>
          <w:p>
            <w:r>
              <w:t>Adapted: large communal buildings as candidates (e.g., F1)</w:t>
            </w:r>
          </w:p>
        </w:tc>
        <w:tc>
          <w:tcPr>
            <w:tcW w:type="dxa" w:w="2160"/>
          </w:tcPr>
          <w:p>
            <w:r>
              <w:t>Withheld: no identified ritual structures; portable/mortuary ritual instead</w:t>
            </w:r>
          </w:p>
        </w:tc>
        <w:tc>
          <w:tcPr>
            <w:tcW w:type="dxa" w:w="2160"/>
          </w:tcPr>
          <w:p>
            <w:r>
              <w:t>Full: ceremonial structures within palatial/ritual precincts</w:t>
            </w:r>
          </w:p>
        </w:tc>
      </w:tr>
      <w:tr>
        <w:tc>
          <w:tcPr>
            <w:tcW w:type="dxa" w:w="2160"/>
          </w:tcPr>
          <w:p>
            <w:r>
              <w:t>8 Ritual architecture - CL</w:t>
            </w:r>
          </w:p>
        </w:tc>
        <w:tc>
          <w:tcPr>
            <w:tcW w:type="dxa" w:w="2160"/>
          </w:tcPr>
          <w:p>
            <w:r>
              <w:t>Adapted: plaza as candidate; capacity estimate Full</w:t>
            </w:r>
          </w:p>
        </w:tc>
        <w:tc>
          <w:tcPr>
            <w:tcW w:type="dxa" w:w="2160"/>
          </w:tcPr>
          <w:p>
            <w:r>
              <w:t>Withheld unless candidates emerge from AZA; absence itself reported</w:t>
            </w:r>
          </w:p>
        </w:tc>
        <w:tc>
          <w:tcPr>
            <w:tcW w:type="dxa" w:w="2160"/>
          </w:tcPr>
          <w:p>
            <w:r>
              <w:t>Full: observatory/altar precinct; capacity estimable</w:t>
            </w:r>
          </w:p>
        </w:tc>
      </w:tr>
      <w:tr>
        <w:tc>
          <w:tcPr>
            <w:tcW w:type="dxa" w:w="2160"/>
          </w:tcPr>
          <w:p>
            <w:r>
              <w:t>8 Ritual architecture - ST</w:t>
            </w:r>
          </w:p>
        </w:tc>
        <w:tc>
          <w:tcPr>
            <w:tcW w:type="dxa" w:w="2160"/>
          </w:tcPr>
          <w:p>
            <w:r>
              <w:t>Full: plaza integration/VGA/capacity</w:t>
            </w:r>
          </w:p>
        </w:tc>
        <w:tc>
          <w:tcPr>
            <w:tcW w:type="dxa" w:w="2160"/>
          </w:tcPr>
          <w:p>
            <w:r>
              <w:t>Withheld (as above)</w:t>
            </w:r>
          </w:p>
        </w:tc>
        <w:tc>
          <w:tcPr>
            <w:tcW w:type="dxa" w:w="2160"/>
          </w:tcPr>
          <w:p>
            <w:r>
              <w:t>Adapted: precinct placement on skeleton; VGA within exposures</w:t>
            </w:r>
          </w:p>
        </w:tc>
      </w:tr>
      <w:tr>
        <w:tc>
          <w:tcPr>
            <w:tcW w:type="dxa" w:w="2160"/>
          </w:tcPr>
          <w:p>
            <w:r>
              <w:t>9 Legitimation &amp; ideology - HH</w:t>
            </w:r>
          </w:p>
        </w:tc>
        <w:tc>
          <w:tcPr>
            <w:tcW w:type="dxa" w:w="2160"/>
          </w:tcPr>
          <w:p>
            <w:r>
              <w:t>Full (Choice/Control per house)</w:t>
            </w:r>
          </w:p>
        </w:tc>
        <w:tc>
          <w:tcPr>
            <w:tcW w:type="dxa" w:w="2160"/>
          </w:tcPr>
          <w:p>
            <w:r>
              <w:t>Full (reduced n)</w:t>
            </w:r>
          </w:p>
        </w:tc>
        <w:tc>
          <w:tcPr>
            <w:tcW w:type="dxa" w:w="2160"/>
          </w:tcPr>
          <w:p>
            <w:r>
              <w:t>Adapted: within precincts</w:t>
            </w:r>
          </w:p>
        </w:tc>
      </w:tr>
      <w:tr>
        <w:tc>
          <w:tcPr>
            <w:tcW w:type="dxa" w:w="2160"/>
          </w:tcPr>
          <w:p>
            <w:r>
              <w:t>9 Legitimation &amp; ideology - CL</w:t>
            </w:r>
          </w:p>
        </w:tc>
        <w:tc>
          <w:tcPr>
            <w:tcW w:type="dxa" w:w="2160"/>
          </w:tcPr>
          <w:p>
            <w:r>
              <w:t>Full (per residential group)</w:t>
            </w:r>
          </w:p>
        </w:tc>
        <w:tc>
          <w:tcPr>
            <w:tcW w:type="dxa" w:w="2160"/>
          </w:tcPr>
          <w:p>
            <w:r>
              <w:t>Adapted: per sub-phase clusters</w:t>
            </w:r>
          </w:p>
        </w:tc>
        <w:tc>
          <w:tcPr>
            <w:tcW w:type="dxa" w:w="2160"/>
          </w:tcPr>
          <w:p>
            <w:r>
              <w:t>Full: per precinct</w:t>
            </w:r>
          </w:p>
        </w:tc>
      </w:tr>
      <w:tr>
        <w:tc>
          <w:tcPr>
            <w:tcW w:type="dxa" w:w="2160"/>
          </w:tcPr>
          <w:p>
            <w:r>
              <w:t>9 Legitimation &amp; ideology - ST</w:t>
            </w:r>
          </w:p>
        </w:tc>
        <w:tc>
          <w:tcPr>
            <w:tcW w:type="dxa" w:w="2160"/>
          </w:tcPr>
          <w:p>
            <w:r>
              <w:t>Full (agent passage frequency)</w:t>
            </w:r>
          </w:p>
        </w:tc>
        <w:tc>
          <w:tcPr>
            <w:tcW w:type="dxa" w:w="2160"/>
          </w:tcPr>
          <w:p>
            <w:r>
              <w:t>Adapted: agent runs within exposure edges</w:t>
            </w:r>
          </w:p>
        </w:tc>
        <w:tc>
          <w:tcPr>
            <w:tcW w:type="dxa" w:w="2160"/>
          </w:tcPr>
          <w:p>
            <w:r>
              <w:t>Adapted: segment Choice substitutes for agent simulation on skeleton graphs</w:t>
            </w:r>
          </w:p>
        </w:tc>
      </w:tr>
      <w:tr>
        <w:tc>
          <w:tcPr>
            <w:tcW w:type="dxa" w:w="2160"/>
          </w:tcPr>
          <w:p>
            <w:r>
              <w:t>10 Symbols - HH</w:t>
            </w:r>
          </w:p>
        </w:tc>
        <w:tc>
          <w:tcPr>
            <w:tcW w:type="dxa" w:w="2160"/>
          </w:tcPr>
          <w:p>
            <w:r>
              <w:t>Full (painted-pottery distribution x visibility)</w:t>
            </w:r>
          </w:p>
        </w:tc>
        <w:tc>
          <w:tcPr>
            <w:tcW w:type="dxa" w:w="2160"/>
          </w:tcPr>
          <w:p>
            <w:r>
              <w:t>Adapted: symbols concentrated in mortuary domain; joint type-context reading</w:t>
            </w:r>
          </w:p>
        </w:tc>
        <w:tc>
          <w:tcPr>
            <w:tcW w:type="dxa" w:w="2160"/>
          </w:tcPr>
          <w:p>
            <w:r>
              <w:t>Full within precincts (display contexts)</w:t>
            </w:r>
          </w:p>
        </w:tc>
      </w:tr>
      <w:tr>
        <w:tc>
          <w:tcPr>
            <w:tcW w:type="dxa" w:w="2160"/>
          </w:tcPr>
          <w:p>
            <w:r>
              <w:t>10 Symbols - CL</w:t>
            </w:r>
          </w:p>
        </w:tc>
        <w:tc>
          <w:tcPr>
            <w:tcW w:type="dxa" w:w="2160"/>
          </w:tcPr>
          <w:p>
            <w:r>
              <w:t>Full</w:t>
            </w:r>
          </w:p>
        </w:tc>
        <w:tc>
          <w:tcPr>
            <w:tcW w:type="dxa" w:w="2160"/>
          </w:tcPr>
          <w:p>
            <w:r>
              <w:t>Adapted (as above)</w:t>
            </w:r>
          </w:p>
        </w:tc>
        <w:tc>
          <w:tcPr>
            <w:tcW w:type="dxa" w:w="2160"/>
          </w:tcPr>
          <w:p>
            <w:r>
              <w:t>Full: per precinct</w:t>
            </w:r>
          </w:p>
        </w:tc>
      </w:tr>
      <w:tr>
        <w:tc>
          <w:tcPr>
            <w:tcW w:type="dxa" w:w="2160"/>
          </w:tcPr>
          <w:p>
            <w:r>
              <w:t>10 Symbols - ST</w:t>
            </w:r>
          </w:p>
        </w:tc>
        <w:tc>
          <w:tcPr>
            <w:tcW w:type="dxa" w:w="2160"/>
          </w:tcPr>
          <w:p>
            <w:r>
              <w:t>Full (VGA visual integration of open space)</w:t>
            </w:r>
          </w:p>
        </w:tc>
        <w:tc>
          <w:tcPr>
            <w:tcW w:type="dxa" w:w="2160"/>
          </w:tcPr>
          <w:p>
            <w:r>
              <w:t>Adapted: exposure-conditioned VGA</w:t>
            </w:r>
          </w:p>
        </w:tc>
        <w:tc>
          <w:tcPr>
            <w:tcW w:type="dxa" w:w="2160"/>
          </w:tcPr>
          <w:p>
            <w:r>
              <w:t>Adapted: monumental walls/gates VGA, reconstruction-dependent</w:t>
            </w:r>
          </w:p>
        </w:tc>
      </w:tr>
    </w:tbl>
    <w:p>
      <w:r>
        <w:t>Three structural observations the pre-assessment already licenses, to be confirmed or corrected during digitization. First, no site loses a tendency wholesale: even the weakest cells degrade to Adapted or to a reported absence, so the ten-row architecture of Table 1 survives contact with all three records. Second, the pattern of restrictions is complementary rather than cumulative: Jiahu is strongest exactly where Jiangzhai is weakest (spatial mortuary linkage) and weakest where Taosi is strongest (ritual architecture), which strengthens the sequence as a whole. Third, the Taosi column shows the scale split that H-C predicts would matter: precinct-scale cells run near-fully while settlement-scale cells depend on the skeleton reconstruction, so the scalar-coexistence hypothesis is evaluated exactly where the data are, and the reconstruction sensitivity is part of the test rather than a nuisance.</w:t>
      </w:r>
    </w:p>
    <w:p>
      <w:pPr>
        <w:pStyle w:val="Heading1"/>
      </w:pPr>
      <w:r>
        <w:t>7. From Measurements to Hypotheses: The Evaluation Workflow</w:t>
      </w:r>
    </w:p>
    <w:p>
      <w:r>
        <w:t>Row-by-row, scale-by-scale outcomes compose each site's strategy profile (RQ1). Profiles are then read diachronically along the five dimensions of framework Section 4.1 to discriminate H-A (corporate rescaling and formalization), H-B (strategic shift), and H-C (scalar coexistence), each of which was paired in the framework with the configurational-functional pattern that would contradict it. Two bookkeeping rules make the evaluation auditable: every hypothesis-relevant claim cites the convergence-matrix cells it rests on, and withheld cells are carried as explicit unknowns into the hypothesis discussion rather than silently dropped. RQ3's comparative protocol then proceeds on the profiles, in the terms licensed by RQ1 and RQ2.</w:t>
      </w:r>
    </w:p>
    <w:p>
      <w:pPr>
        <w:pStyle w:val="Heading1"/>
      </w:pPr>
      <w:r>
        <w:t>8. Reproducibility and Data Management</w:t>
      </w:r>
    </w:p>
    <w:p>
      <w:r>
        <w:t>All digitized geometries, registers, analysis tables, and code are archived for reproducibility, following the practice of the reference study: every figure and statistic carries a source path to the script and derived table that produced it; software versions (depthmapX; the Python stack) are pinned; and the convergence matrices and Table M1 are published as supplementary tables so that the chapter's evidential accounting can be checked independently of its conclusions.</w:t>
      </w:r>
    </w:p>
    <w:p>
      <w:pPr>
        <w:pStyle w:val="Heading1"/>
      </w:pPr>
      <w:r>
        <w:t>References Cited in This Outline</w:t>
      </w:r>
    </w:p>
    <w:p>
      <w:r>
        <w:t>Bafna, S. (2003). Space syntax: A brief introduction to its logic and analytical techniques. Environment and Behavior, 35(1), 17-29. https://doi.org/10.1177/0013916502238863</w:t>
      </w:r>
    </w:p>
    <w:p>
      <w:r>
        <w:t>Bai, R. (in preparation). Corporate configuration, household differentiation: Space Syntax and Activity Zone Analysis of the Jiangzhai Phase I settlement, Wei River Valley, China [Manuscript in preparation]. Department of Anthropology, University of Georgia.</w:t>
      </w:r>
    </w:p>
    <w:p>
      <w:r>
        <w:t>Benjamini, Y., &amp; Hochberg, Y. (1995). Controlling the false discovery rate: A practical and powerful approach to multiple testing. Journal of the Royal Statistical Society: Series B (Methodological), 57(1), 289-300. https://doi.org/10.1111/j.2517-6161.1995.tb02031.x</w:t>
      </w:r>
    </w:p>
    <w:p>
      <w:r>
        <w:t>Binford, L. R. (1978). Dimensional analysis of behavior and site structure: Learning from an Eskimo hunting stand. American Antiquity, 43(3), 330-361. https://doi.org/10.2307/279390</w:t>
      </w:r>
    </w:p>
    <w:p>
      <w:r>
        <w:t>Blanton, R. E., Feinman, G. M., Kowalewski, S. A., &amp; Peregrine, P. N. (1996). A dual-processual theory for the evolution of Mesoamerican civilization. Current Anthropology, 37(1), 1-14. https://doi.org/10.1086/204471</w:t>
      </w:r>
    </w:p>
    <w:p>
      <w:r>
        <w:t>Carr, C. (1984). The nature of organization of intrasite archaeological records and spatial analytic approaches to their investigation. Advances in Archaeological Method and Theory, 7, 103-222.</w:t>
      </w:r>
    </w:p>
    <w:p>
      <w:r>
        <w:t>Chapman, J. (1990). Social inequality on Bulgarian tells and the Varna problem. In R. Samson (Ed.), The social archaeology of houses (pp. 49-92). Edinburgh University Press.</w:t>
      </w:r>
    </w:p>
    <w:p>
      <w:r>
        <w:t>Cutting, M. (2003). The use of spatial analysis to study prehistoric settlement architecture. Oxford Journal of Archaeology, 22(1), 1-21. https://doi.org/10.1111/1468-0092.00001</w:t>
      </w:r>
    </w:p>
    <w:p>
      <w:r>
        <w:t>Cutting, M. (2006). More than one way to study a building: Approaches to prehistoric household and settlement space. Oxford Journal of Archaeology, 25(3), 225-246. https://doi.org/10.1111/j.1468-0092.2006.00259.x</w:t>
      </w:r>
    </w:p>
    <w:p>
      <w:r>
        <w:t>Feinman, G. M. (2000). Corporate/network: New perspectives on models of political action and the Puebloan Southwest. In M. B. Schiffer (Ed.), Social theory in archaeology (pp. 31-51). University of Utah Press.</w:t>
      </w:r>
    </w:p>
    <w:p>
      <w:r>
        <w:t>Fladd, S. G. (2017). Social syntax: An approach to spatial modification through the reworking of space syntax for archaeological applications. Journal of Anthropological Archaeology, 47, 127-138. https://doi.org/10.1016/j.jaa.2017.05.002</w:t>
      </w:r>
    </w:p>
    <w:p>
      <w:r>
        <w:t>Getis, A., &amp; Ord, J. K. (1992). The analysis of spatial association by use of distance statistics. Geographical Analysis, 24(3), 189-206. https://doi.org/10.1111/j.1538-4632.1992.tb00261.x</w:t>
      </w:r>
    </w:p>
    <w:p>
      <w:r>
        <w:t>Goldstein, L. (1981). One-dimensional archaeology and multi-dimensional people: Spatial organisation and mortuary analysis. In R. Chapman, I. Kinnes, &amp; K. Randsborg (Eds.), The archaeology of death (pp. 53-69). Cambridge University Press.</w:t>
      </w:r>
    </w:p>
    <w:p>
      <w:r>
        <w:t>Hanson, J. (1998). Decoding homes and houses. Cambridge University Press.</w:t>
      </w:r>
    </w:p>
    <w:p>
      <w:r>
        <w:t>He, N. (2018). Taosi: An archaeological example of urbanization as a political center in prehistoric China. Archaeological Research in Asia, 14, 20-32. https://doi.org/10.1016/j.ara.2017.03.001</w:t>
      </w:r>
    </w:p>
    <w:p>
      <w:r>
        <w:t>Henan Provincial Institute of Cultural Relics and Archaeology. (1999). Wuyang Jiahu [舞阳贾湖 / Jiahu of Wuyang County]. Science Press. [In Chinese]</w:t>
      </w:r>
    </w:p>
    <w:p>
      <w:r>
        <w:t>Hillier, B. (1996). Space is the machine: A configurational theory of architecture. Cambridge University Press.</w:t>
      </w:r>
    </w:p>
    <w:p>
      <w:r>
        <w:t>Hillier, B., &amp; Hanson, J. (1984). The social logic of space. Cambridge University Press.</w:t>
      </w:r>
    </w:p>
    <w:p>
      <w:r>
        <w:t>Institute of Archaeology, Chinese Academy of Social Sciences, &amp; Shanxi Provincial Linfen Municipal Bureau of Cultural Relics. (2015). Xiangfen Taosi: 1978-1985 nian kaogu fajue baogao [襄汾陶寺：1978～1985年考古发掘报告 / Xiangfen Taosi: Report on the 1978-1985 archaeological excavations] (Vols. 1-4). Cultural Relics Press (Wenwu Press). [In Chinese]</w:t>
      </w:r>
    </w:p>
    <w:p>
      <w:r>
        <w:t>Kent, S. (1990). Activity areas and architecture: An interdisciplinary view of the relationship between use of space and domestic built environments. In S. Kent (Ed.), Domestic architecture and the use of space: An interdisciplinary cross-cultural study (pp. 1-8). Cambridge University Press.</w:t>
      </w:r>
    </w:p>
    <w:p>
      <w:r>
        <w:t>Lee, Y. K. (2007). Centripetal settlement and segmentary social formation of the Banpo tradition. Journal of Anthropological Archaeology, 26(4), 630-675. https://doi.org/10.1016/j.jaa.2007.03.001</w:t>
      </w:r>
    </w:p>
    <w:p>
      <w:r>
        <w:t>Liu, L., &amp; Chen, X. (2012). The archaeology of China: From the Late Paleolithic to the Early Bronze Age. Cambridge University Press. https://doi.org/10.1017/CBO9781139015301</w:t>
      </w:r>
    </w:p>
    <w:p>
      <w:r>
        <w:t>Manzanilla, L. R. (2015). Cooperation and tensions in multiethnic corporate societies using Teotihuacan, Central Mexico, as a case study. Proceedings of the National Academy of Sciences, 112(30), 9210-9215. https://doi.org/10.1073/pnas.1419881112</w:t>
      </w:r>
    </w:p>
    <w:p>
      <w:r>
        <w:t>Peterson, C. E., &amp; Shelach, G. (2012). Jiangzhai: Social and economic organization of a Middle Neolithic Chinese village. Journal of Anthropological Archaeology, 31(3), 265-301.</w:t>
      </w:r>
    </w:p>
    <w:p>
      <w:r>
        <w:t>Peterson, C. E., Drennan, R. D., &amp; Bartel, K. L. (2016). Comparative analysis of Neolithic household artifact assemblage data from Northern China. Journal of Anthropological Research, 72(2), 200-225.</w:t>
      </w:r>
    </w:p>
    <w:p>
      <w:r>
        <w:t>Rapoport, A. (1990). Systems of activities and systems of settings. In S. Kent (Ed.), Domestic architecture and the use of space: An interdisciplinary cross-cultural study (pp. 9-20). Cambridge University Press.</w:t>
      </w:r>
    </w:p>
    <w:p>
      <w:r>
        <w:t>Schiffer, M. B. (1987). Formation processes of the archaeological record. University of New Mexico Press.</w:t>
      </w:r>
    </w:p>
    <w:p>
      <w:r>
        <w:t>Shelach, G. (2006). Economic adaptation, community structure, and sharing strategies of households at early sedentary communities in northeast China. Journal of Anthropological Archaeology, 25(3), 318-345.</w:t>
      </w:r>
    </w:p>
    <w:p>
      <w:r>
        <w:t>Tu, D., Shelach-Lavi, G., &amp; Fung, Y.-T. (2022). Economy, sharing strategies and community structure in the early Neolithic village of Chahai, Northeast China. Journal of Anthropological Archaeology, 67, 101420. https://doi.org/10.1016/j.jaa.2022.101420</w:t>
      </w:r>
    </w:p>
    <w:p>
      <w:r>
        <w:t>Turner, A., Doxa, M., O'Sullivan, D., &amp; Penn, A. (2001). From isovists to visibility graphs: A methodology for the analysis of architectural space. Environment and Planning B: Planning and Design, 28(1), 103-121. https://doi.org/10.1068/b2684</w:t>
      </w:r>
    </w:p>
    <w:p>
      <w:r>
        <w:t>Turner, A., &amp; Penn, A. (2002). Encoding natural movement as an agent-based system: An investigation into human pedestrian behaviour in the built environment. Environment and Planning B: Planning and Design, 29(4), 473-490. https://doi.org/10.1068/b12850</w:t>
      </w:r>
    </w:p>
    <w:p>
      <w:r>
        <w:t>van Nes, A., &amp; Yamu, C. (2021). Introduction to space syntax in urban studies. Springer. https://doi.org/10.1007/978-3-030-59140-3</w:t>
      </w:r>
    </w:p>
    <w:p>
      <w:r>
        <w:t>Varoudis, T. (2012). depthmapX: Multi-platform spatial network analysis software [Computer software]. https://github.com/varoudis/depthmapX</w:t>
      </w:r>
    </w:p>
    <w:p>
      <w:r>
        <w:t>Xi'an Banpo Museum, Shaanxi Provincial Institute of Archaeology, and Lintong County Museum. (1988). Jiangzhai: Xinshiqi shidai yizhi fajue baogao [姜寨：新石器时代遗址发掘报告 / Jiangzhai: Excavation report of a Neolithic site]. Wenwu Press (Cultural Relics Publishing House). [In Chinese]</w:t>
      </w:r>
    </w:p>
    <w:p>
      <w:r>
        <w:t>Zhang, J., &amp; Cui, Q. (2013). The Jiahu site in the Huai River Area. In A. P. Underhill (Ed.), A Companion to Chinese Archaeology (pp. 194-212). Wiley-Blackwell. https://doi.org/10.1002/9781118325698.ch10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