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Theoretical Framework</w:t>
      </w:r>
    </w:p>
    <w:p>
      <w:r>
        <w:t>This chapter builds the apparatus of the dissertation. It moves from a general anthropological problem to the machinery constructed to study it, and it treats Neolithic China throughout as the testing ground rather than the source of the question. The problem is old and comparative: societies of similar scale organize power, cooperation, and access to resources in profoundly different ways, and archaeology has yet to explain how the cooperative arrangements of early villages fare when centralized polities emerge from them. The machinery is new in its combination: a dimensional account of corporate political organization, joined to a configurational theory of settlement space, and operationalized in a single hypothesis table that converts theoretical expectations into measurements.</w:t>
      </w:r>
    </w:p>
    <w:p>
      <w:r>
        <w:t>The order of the chapter is the order of the reasoning. Social complexity, understood after its nonlinear turn as a multidimensional outcome reached along multiple pathways, poses the comparative problem, and socio-political organization names the dimension of complexity this dissertation can analyze (Section 1). Dual-processual theory supplies the vocabulary for variation in socio-political organization, and a close reading of its corporate pole yields the two questions that drive this dissertation, difference within the corporate mode and its articulation with network strategies, together with the fourfold gap that has kept them open (Section 2). Three research questions follow from that gap, and the Yellow River sequence of Jiahu, Jiangzhai, and Taosi is selected as the venue in which they can be answered (Section 3). The remainder of the chapter builds the answering apparatus: an account of corporate organization as a position along five analytical dimensions (Section 4), the social logic of space joined to Activity Zone Analysis as a theory of the evidence (Section 5), and the middle-range bridge whose operational form is Table 1 (Section 6). The chapter closes with the competing hypotheses for the core diachronic question (Section 7) and with the contributions the study anticipates and the conditions that bound them (Section 8).</w:t>
      </w:r>
    </w:p>
    <w:p>
      <w:pPr>
        <w:pStyle w:val="Heading1"/>
      </w:pPr>
      <w:r>
        <w:t>1. Social Complexity and Socio-Political Organization</w:t>
      </w:r>
    </w:p>
    <w:p>
      <w:pPr>
        <w:pStyle w:val="Heading2"/>
      </w:pPr>
      <w:r>
        <w:t>1.1 The Nonlinear Turn in Complexity Research</w:t>
      </w:r>
    </w:p>
    <w:p>
      <w:r>
        <w:t>The mid-twentieth-century evolutionary schemes gave archaeology its first shared comparative vocabulary. Service (1962) ordered societies as bands, tribes, chiefdoms, and states; Fried (1967) ordered them as egalitarian, ranked, and stratified, with the state as the political consolidation of stratification. The two schemes differed in what they took to be evolving, integrative institutions for Service, access to positions of status for Fried, but they shared a form: a small number of types arranged in a sequence, so that to classify a society was already to locate it in time. What the stage vocabulary bought should not be understated. It allowed researchers working on unrelated sequences to talk to one another, it turned scattered ethnographic and archaeological observations into a single comparative field, and every framework since, including the one used here, inherits that ambition. What it embedded, less visibly, were two assumptions that later work would have to unmake: that the diversity of social forms could be projected onto a single axis, and that position on that axis was measured by hierarchy.</w:t>
      </w:r>
    </w:p>
    <w:p>
      <w:r>
        <w:t>The processual critique kept the ambition and began dismantling the form. For Flannery (1972), the evolution of complex societies was not passage through types but change in the systemic properties he termed segregation, the internal differentiation and specialization of a society's subsystems, and centralization, the degree of linkage between those subsystems and the highest-order controls that regulate them. The reformulation mattered less for its particular systems idiom than for what it made complexity be: a variable, continuously distributed and in principle measurable, rather than a threshold to be crossed. Once complexity is a variable, societies can differ in it without being earlier or later versions of one another, and the way is open to asking how the variable is put together.</w:t>
      </w:r>
    </w:p>
    <w:p>
      <w:r>
        <w:t>Comparative evidence then took the decisive step, and it is convenient to state it as three separations. The first separated complexity from hierarchy. Crumley (1995) introduced heterarchy to name organizational forms whose elements are unranked, or rankable in multiple ways, and the point of the concept was not that hierarchies are rare but that hierarchy is one solution among several to the problems of coordination that complexity poses. The African trajectories assembled in McIntosh (1999) gave that argument regional substance: sequences that reached considerable scale and differentiation while distributing authority horizontally, and that read as anomalies only so long as hierarchy remained the measuring stick. The second separation was of organization from scale. Drennan's (1995) comparison of chiefdoms in northern South America showed polities of similar demographic size constituting power in fundamentally different ways, through control of subsistence economies in one region, through ritual authority or warfare in others, with correspondingly different material signatures; Feinman (2013) generalized the observation with cross-cultural data showing that the relationship between population size and organizational complexity, robust across broad demographic ranges, weakens within narrower bands, so that size constrains without determining. The third separation was of trajectory from sequence. The comparative settlement record, read through systematic regional survey, shows patterned variation among regional trajectories of community growth rather than convergence on a single path (Peterson &amp; Drennan, 2012): trajectories differ not randomly but in ways that themselves form comparative patterns, which is precisely what a single-sequence model cannot accommodate.</w:t>
      </w:r>
    </w:p>
    <w:p>
      <w:r>
        <w:t>The three separations converge on the view adopted here. Complexity is the scale and differentiation of societal roles and interactions, emergent and nonlinear rather than staged, as the complex systems literature in archaeology now frames it (Davis, 2024). Hierarchy is one of its possible architectures, scale is one of its conditions, and no stage sequence is implied by either. The productive comparative question is no longer what stage a society reached but by what organizational pathway its complexity was constituted, and that question requires a name for what varies among pathways.</w:t>
      </w:r>
    </w:p>
    <w:p>
      <w:pPr>
        <w:pStyle w:val="Heading2"/>
      </w:pPr>
      <w:r>
        <w:t>1.2 Socio-Political Organization: The Object of Analysis</w:t>
      </w:r>
    </w:p>
    <w:p>
      <w:r>
        <w:t>I define socio-political organization as the patterned arrangements through which a community organizes power, decision-making, cooperation, labor, and access to resources. The definition is deliberately organizational rather than institutional or ideological in emphasis: it targets the durable, recurrent arrangements that structured collective life, not the beliefs that legitimated them or the events through which they were contested.</w:t>
      </w:r>
    </w:p>
    <w:p>
      <w:r>
        <w:t>The concept does work in three directions at once, and for that reason it is the hinge of the framework. Looking back toward the nonlinear turn, socio-political organization is the dimension along which the multiple pathways of complexification actually diverge. When Drennan's chiefdoms of similar scale differ, they differ precisely in how authority is constituted, how cooperation is mobilized, and how benefits are distributed. Looking forward toward dual-processual theory, socio-political organization is the object whose variation the theory describes: corporate and network strategies, introduced in the next section, are alternative logics of socio-political organization, not alternative levels of complexity. And looking toward the analytical chapters, socio-political organization is what built environment analysis is ultimately after. Because the arrangements in question are regularized and recurrent, they impose recurring requirements on co-presence, access, movement, and oversight, and these requirements become legible in the configuration of settlement space and in the placement of activities within it. Section 5 develops that claim; here it is enough to register that the definition was chosen with the evidence in mind.</w:t>
      </w:r>
    </w:p>
    <w:p>
      <w:r>
        <w:t>Defining the object this way also bounds the dissertation's claims. The analysis does not promise access to kinship systems, to belief, or to individual events. It targets organizational arrangements at the scales where the built environment records them: the household, the residential cluster, and the settlement. This restraint is what allows the inferences of later chapters to be disciplined rather than speculative, and I return to it as a scope condition in Section 8.</w:t>
      </w:r>
    </w:p>
    <w:p>
      <w:r>
        <w:t>With the object defined, the framework needs a theory of its variation. Dual-processual theory provides it.</w:t>
      </w:r>
    </w:p>
    <w:p>
      <w:pPr>
        <w:pStyle w:val="Heading1"/>
      </w:pPr>
      <w:r>
        <w:t>2. Dual-Processual Theory: The Model and Its Gap</w:t>
      </w:r>
    </w:p>
    <w:p>
      <w:pPr>
        <w:pStyle w:val="Heading2"/>
      </w:pPr>
      <w:r>
        <w:t>2.1 The Model: Strategies, Not Types</w:t>
      </w:r>
    </w:p>
    <w:p>
      <w:r>
        <w:t>Dual-processual theory distinguishes two strategies by which actors pursue and constrain power (Blanton et al., 1996). Its recognized ancestor is Renfrew's (1974) contrast between group-oriented and individualizing chiefdoms, which registered, a generation earlier, that the societies of prehistoric Europe invested in two different directions: some in communal monuments with little trace of personal wealth, others in the aggrandizement and rich burial of individuals. Blanton and colleagues generalized the contrast and gave it a political mechanism. Under an exclusionary or network strategy, aspirants monopolize advantage through personal exchange networks, prestige goods, and individual aggrandizement; power flows through persons and the relationships they control. Under a corporate strategy, power is distributed across groups and sectors of the community, wealth differences are muted, and legitimation emphasizes the collective whole; power flows through structures that no single person owns.</w:t>
      </w:r>
    </w:p>
    <w:p>
      <w:r>
        <w:t>Three properties of the original formulation matter for everything that follows. First, the strategies are pursued by actors within any society; they are not types of society. A single community can harbor both, and the analytical question is which strategy predominates in which domain. Second, the two strategies form a continuum of emphasis rather than a dichotomy, so that cases are placed along an axis rather than sorted into boxes. Third, the corporate-network axis is orthogonal to scale and to hierarchy: a community can be large and corporate, small and exclusionary, hierarchical and corporate at once, and it can move along the axis through time (Feinman, 2000, 2001). This orthogonality is what suits the framework to a sequence, like the one studied here, in which scale and strategy may change independently.</w:t>
      </w:r>
    </w:p>
    <w:p>
      <w:r>
        <w:t>The framework has continued to develop, most prominently in the collective action research that reframed corporate questions as questions about how cooperation is funded and governed (Blanton &amp; Fargher, 2008; Carballo &amp; Feinman, 2016). This dissertation acknowledges that direction but does not pursue it. Its concern is the corporate organization strand of the tradition (Feinman, 2000; Fargher, 2016): the internal structure and historical dynamics of the corporate mode itself.</w:t>
      </w:r>
    </w:p>
    <w:p>
      <w:pPr>
        <w:pStyle w:val="Heading2"/>
      </w:pPr>
      <w:r>
        <w:t>2.2 Inside the Corporate Pole: Difference and Articulation</w:t>
      </w:r>
    </w:p>
    <w:p>
      <w:r>
        <w:t>Taken seriously, the three properties just listed have consequences that the literature has developed unevenly, and two of them define the focus of this dissertation.</w:t>
      </w:r>
    </w:p>
    <w:p>
      <w:r>
        <w:t>The first consequence is that corporate organization cannot be one thing. If the corporate-network axis is orthogonal to scale, then the category must hold together cases as different as an early village whose first communal buildings rose amid households that were simultaneously gaining autonomy (Byrd, 1994) and a city of many thousands organized through corporate institutions at metropolitan scale (Feinman, 2001). If the axis is a continuum, corporate cases occupy a range of positions rather than a point. And the comparative record confirms what the geometry implies: corporate strategies differ cross-culturally in how collectivities constrain their leaders (Fargher, 2016), and communities that look equally corporate from a distance turn out, on close inspection, to manage the tension between household and collectivity in different and sometimes opposite ways, by deepening communal investment in one case, by enclosure and separation in another (Byrd, 1994; Furholt et al., 2020). Yet the analytical vocabulary has not kept pace with this internal variety. The network pole is richly differentiated, its cases gradable by the reach of exchange networks, the volume of prestige goods, the scale of aggrandizement; the corporate pole, characterized largely by what it suppresses, offers no comparable terms. The consequential question about a cooperative village is therefore not whether it is corporate. Prior work has usually already answered that. The question is which corporate it is: pooled at what scale, funded from what base, formalized to what degree. The first task of this dissertation is to give that question analytical form.</w:t>
      </w:r>
    </w:p>
    <w:p>
      <w:r>
        <w:t>The second consequence is that corporate and network strategies must articulate. Because strategies are pursued by actors within societies rather than fixed as types of them, both are in principle available in any community, and the empirical record shows their coexistence taking at least two distinct figures. One is division across scales: at Teotihuacan, corporate organization at the neighborhood level coexisted for centuries with more exclusionary dynamics among the intermediate elites who managed those same neighborhoods (Manzanilla, 2015), so that the strategies were not rivals for the same ground but occupants of different levels of one system. The other is displacement through time: at Cahokia, an emphasis on group-oriented mound construction gave way to prestige-goods strategies, a documented shift along the axis (Trubitt, 2000). Between these two figures lies the question the framework has not systematically asked: how the strategies stand to each other where they co-occur. The waxing of one may entail the waning of the other, a genuine trade-off in which network strategies grow by capturing what corporate arrangements had held in common. Or the two may stabilize each other by partition, each holding a scale or a domain the other does not contest. Whether a given sequence exhibits trade-off or partition is an empirical question of the first importance, because it determines what the emergence of hierarchy costs the cooperative order that preceded it. The second task of this dissertation is to make that question decidable.</w:t>
      </w:r>
    </w:p>
    <w:p>
      <w:r>
        <w:t>The two tasks are connected, and the connection is why they must be pursued together. Coexistence can only be recognized, and trade-off distinguished from partition, if corporate organization can be assessed scale by scale and graded in its own terms; a framework that can say only corporate or network will register every mixed case as noise. Conversely, internal variation within the corporate mode becomes historically interesting precisely where corporate arrangements meet network pressure, because the dimensions on which corporate cases differ, the scale of pooling, the funding base, the degree of formalization, are the dimensions along which they resist, absorb, or yield. The five-dimensional account of Section 4 is built to serve both tasks at once, and the three hypotheses of Section 7 are, at bottom, three answers to the articulation question posed by the Chinese sequence.</w:t>
      </w:r>
    </w:p>
    <w:p>
      <w:pPr>
        <w:pStyle w:val="Heading2"/>
      </w:pPr>
      <w:r>
        <w:t>2.3 The Theoretical Gap</w:t>
      </w:r>
    </w:p>
    <w:p>
      <w:r>
        <w:t>That the two questions remain open is not an accident of neglect; it reflects four specific weaknesses in the framework as it stands, and stating them precisely shows what any remedy must contain.</w:t>
      </w:r>
    </w:p>
    <w:p>
      <w:r>
        <w:t>The first is asymmetric development. The network strategy is richly specified. Aggrandizers, prestige-goods circulation, wealth finance, and individualizing monuments give it a dense indicator vocabulary, and an analyst confronting a network-oriented case knows what to look for and how to grade it. The corporate strategy, by contrast, is characterized largely by muting and absence: suppressed wealth differences, faceless monuments, anonymized leadership (Blanton et al., 1996; Feinman, 2000). The characterization is drawn in the negative, and a mode defined mainly by what it lacks cannot support fine-grained comparison among corporate cases. This weakness blocks the difference question directly.</w:t>
      </w:r>
    </w:p>
    <w:p>
      <w:r>
        <w:t>The second is synchronic use. In practice the corporate-network axis has served mostly to classify cases at single moments. Movement along the axis is documented, the Cahokian shift being the best-known example (Trubitt, 2000), but the framework offers little apparatus for describing how corporate organization itself changes: what, other than "toward network," a corporate transformation consists of.</w:t>
      </w:r>
    </w:p>
    <w:p>
      <w:r>
        <w:t>The third is the unanswered general question. When centralized, hierarchical polities emerge in a sequence that began with cooperative villages, the corporate arrangements of the preceding period must have gone somewhere. They may have dissolved. They may have been rescaled and formalized into the fabric of the new centers. They may have persisted alongside exclusionary strategies at other scales of the same settlements. Comparative cases document each outcome locally (Byrd, 1994; Trubitt, 2000; Manzanilla, 2015; Furholt et al., 2020), but the question has not been given a systematic analytical form. It is posed case by case and answered narratively, and no protocol exists for deciding among the outcomes on evidence. This weakness is the articulation question in its diachronic form, and its resolution is what RQ2 will demand.</w:t>
      </w:r>
    </w:p>
    <w:p>
      <w:r>
        <w:t>The fourth is undeveloped spatial operationalization. The framework's material tendencies are stated mainly in terms of portable artifacts, burials, and monument styles (Blanton et al., 1996; Feinman, 2000). Yet the strategies' most direct material consequences are configurational. Corporate and network arrangements make opposite demands on assembly, access, movement, and oversight, and these are properties of settlement space that have barely been operationalized for strategy assessment (cf. Fisher, 2009).</w:t>
      </w:r>
    </w:p>
    <w:p>
      <w:r>
        <w:t>The four weaknesses form a chain. An underspecified corporate mode cannot have its transformations described; undescribed transformations cannot be traced through episodes of centralization; and none of this can be tested without operational measures. Addressing the chain requires questions that target each link, and a venue in which the answers are empirically accessible.</w:t>
      </w:r>
    </w:p>
    <w:p>
      <w:pPr>
        <w:pStyle w:val="Heading1"/>
      </w:pPr>
      <w:r>
        <w:t>3. Research Questions and the Testing Ground</w:t>
      </w:r>
    </w:p>
    <w:p>
      <w:pPr>
        <w:pStyle w:val="Heading2"/>
      </w:pPr>
      <w:r>
        <w:t>3.1 The Testing Ground: The Yellow River Sequence</w:t>
      </w:r>
    </w:p>
    <w:p>
      <w:r>
        <w:t>A venue for these questions must satisfy demanding conditions: settlement plans complete enough for configurational measurement, artifact provenience published at feature level, and a documented sequence running from early cooperative villages to a centralized polity. The middle reaches of the Yellow River basin satisfy all three, and they do so because of the discipline's own history there.</w:t>
      </w:r>
    </w:p>
    <w:p>
      <w:r>
        <w:t>Settlement-based reasoning about social organization is not an imported afterthought in Chinese archaeology; it has been an actively developed research program for two generations. K. C. Chang demonstrated in the 1950s that community organization could be read from settlement data, arguing from New World cases that the spatial grouping of dwellings registers the social grouping of their inhabitants (Chang, 1958), and a decade later assembled the programmatic case for settlement archaeology as both subject and method (Chang, 1968), a framing his later synthesis carried into the study of early China (Chang, 1986). Within China, Yan Wenming theorized settlement archaeology as a route to social structure, distinguishing the analysis of individual settlement layouts and their internal organization from the study of relations among settlements and of change in settlement systems over time, three levels of inquiry with the village interior as the foundation (Yan, 1997a, 1997b). Recent disciplinary assessment traces how this program took root and developed its own theoretical and methodological identity in Chinese practice (Hein, 2022). The result is a national literature for which the questions this dissertation asks are native rather than imposed.</w:t>
      </w:r>
    </w:p>
    <w:p>
      <w:r>
        <w:t>On that foundation, two generations of fieldwork built exactly the record the questions require. Regional systematic survey established settlement hierarchies and their variability: Liu's (1996) analysis of Longshan-period settlement patterns opened the study of chiefdom variability and early state emergence in North China, the Yiluo River program documented the growth and reorganization of a regional settlement system across the Neolithic-Bronze Age transition (Liu et al., 2002), and its long-term synthesis now rests on full-coverage survey of 1,183 square kilometers recording 451 sites (Liu et al., 2019). Comparable programs in southeastern Shandong (Underhill et al., 2008) and comparative analyses across survey regions (Drennan &amp; Dai, 2010; Peterson &amp; Drennan, 2012) placed the North Chinese trajectories in the cross-cultural study of community growth. At the household scale, the record has been quantified with equal care, and with results that matter directly to this dissertation. Lee (2007) read the canonical Banpo-tradition village as a segmentary social formation, its residential groups integrated through a centripetal spatial order; Peterson and Shelach (2012) read the same village as a community of economically autonomous households with limited differentiation. Both readings place the village on the corporate side of the axis, and they disagree about nearly everything else: about the scale at which cooperation operated, about how far household autonomy qualified it, about what the village's collective order actually organized. The disagreement is exactly the difference question of Section 2.2 in local form, and it persists because the shared vocabulary stops at "corporate."</w:t>
      </w:r>
    </w:p>
    <w:p>
      <w:r>
        <w:t>The documentary basis for resolving such questions is unusually strong. Full excavation reports publish village plans of exceptional completeness with feature-level provenience, house by house, pit by pit, burial by burial (Xi'an Banpo Museum et al., 1988; Henan Provincial Institute of Cultural Relics and Archaeology, 1999; Institute of Archaeology, Chinese Academy of Social Sciences, &amp; Shanxi Provincial Linfen Municipal Bureau of Cultural Relics, 2015). For Taosi, the 1978-1985 report is supplemented by the published results of the subsequent seasons that exposed the walled enclosure and the palatial precinct (He, 2018; Liu &amp; Chen, 2012). It is this conjunction, complete plans and provenienced assemblages in the same publications, that a joint configurational and functional analysis requires and that few archaeological records anywhere supply.</w:t>
      </w:r>
    </w:p>
    <w:p>
      <w:r>
        <w:t>Three sites anchor the test, and each contributes something the others cannot. Jiahu (ca. 7000-5700 BC) documents an extensively exposed early sedentary village of the Peiligang horizon, its houses, storage pits, and several hundred burials interleaved within the settlement, the burials including the bone flutes and inscribed tortoise shells that have made the site famous and that mark ritual practice embedded in a village context (Zhang &amp; Cui, 2013). Jiahu shows what organization looked like near the beginning of sedentary life in the region. Jiangzhai (ca. 4700-4400 BC) preserves the canonical centripetal plan of the Banpo type: five clusters of dwellings whose doorways open toward a shared central plaza, the whole ringed by a ditch (Xi'an Banpo Museum et al., 1988; Lee, 2007; Peterson &amp; Shelach, 2012). It is the most completely exposed village plan in the sequence and the clearest candidate for corporate spatial order, which is why its interpretation has borne the disagreement described above. Taosi (ca. 2300-1900 BC) is a walled center of the terminal Longshan period, with an earlier walled town succeeded by a vastly larger enclosure, a palatial precinct, craft and storage areas, and a cemetery whose extreme mortuary differentiation marks the emergence of a stratified political order; its late period preserves evidence of violent political disruption (He, 2018; Liu &amp; Chen, 2012). Taosi is where the fate of the earlier corporate order must be legible, if it is legible anywhere. The sequence spans precisely the transition the general question concerns: from cooperative village to centralized polity within a single macro-region.</w:t>
      </w:r>
    </w:p>
    <w:p>
      <w:r>
        <w:t>Two further features make the venue apt rather than merely adequate. The prevailing account of Chinese complexification is a narrative of gradual development toward centralized authority, classically theorized as the progressive monopolization of ritual communication (Chang, 1983; Liu, 2004, 2009; Underhill, 1997). That narrative has organized the field's attention toward the endpoints, origins of inequality, emergence of the state, and under it the cooperative substrate of the sequence has been described but not analyzed in its own right: the early villages appear as the baseline from which hierarchy departs, not as organizational achievements with structures and dynamics of their own. A framework centered on corporate organization inverts that emphasis without denying the trajectory. And configurational methods remain almost unapplied to this record. Two decades of space syntax research in China have concentrated on urban and architectural studies of later and modern periods (Meng &amp; Zhang, 2025), with prehistoric applications rare and directed at other regions of the record (Song &amp; Zhang, 2022). The measurements this dissertation makes are therefore new measurements, not reanalyses. The choice is a reasoned selection of a testing ground, not a claim that the Yellow River case is unique; Section 8 states the terms on which its results may travel.</w:t>
      </w:r>
    </w:p>
    <w:p>
      <w:pPr>
        <w:pStyle w:val="Heading2"/>
      </w:pPr>
      <w:r>
        <w:t>3.2 The Questions</w:t>
      </w:r>
    </w:p>
    <w:p>
      <w:r>
        <w:t>Three research questions target the gap at its links. They are stated here in the form in which the dissertation will answer them; the apparatus they presuppose occupies Sections 4 through 6, and the competing hypotheses for the second question are developed in Section 7.</w:t>
      </w:r>
    </w:p>
    <w:p>
      <w:r>
        <w:t>RQ1. In what ways did spatial configurations at Jiahu, Jiangzhai, and Taosi structure the distribution of power, access, and coordination, and do these patterns align more closely with corporate or network strategies?</w:t>
      </w:r>
    </w:p>
    <w:p>
      <w:r>
        <w:t>RQ1 addresses the operationalization weakness. It asks for strategy assessment from measured configuration and provenienced function, at each settlement and at each analytical scale, and it can be answered only if the framework's tendencies are first translated into configurational and functional expectations.</w:t>
      </w:r>
    </w:p>
    <w:p>
      <w:r>
        <w:t>RQ2. How did the spatial expression of political authority change from Jiahu to Jiangzhai to Taosi? Do these changes indicate a shift between corporate and network strategies, increasing formalization, or hybrid forms?</w:t>
      </w:r>
    </w:p>
    <w:p>
      <w:r>
        <w:t>RQ2 is the dissertation's core question, and it addresses the transformation and fate weaknesses together. It converts the general question of corporate organization's career under centralization into an empirically decidable comparison across the sequence: the three alternatives named in the question become, in Section 7, three competing hypotheses paired with the evidence that would refute each.</w:t>
      </w:r>
    </w:p>
    <w:p>
      <w:r>
        <w:t>RQ3. What do the diachronic spatial and organizational patterns across the Jiahu, Jiangzhai, and Taosi sequence reveal about the pathways of social complexification in early agricultural societies, and how do they compare with broader cross-cultural patterns of corporate and network strategies in political trajectories?</w:t>
      </w:r>
    </w:p>
    <w:p>
      <w:r>
        <w:t>RQ3 returns the result to the comparative problem of Section 1, asking what the Yellow River trajectory contributes to the cross-cultural understanding of cooperation and its fate in early agricultural societies.</w:t>
      </w:r>
    </w:p>
    <w:p>
      <w:r>
        <w:t>The questions are posed and the venue is fixed. What follows builds the means of answering: first internal structure for the corporate mode, then a theory of spatial evidence, then their operational junction.</w:t>
      </w:r>
    </w:p>
    <w:p>
      <w:pPr>
        <w:pStyle w:val="Heading1"/>
      </w:pPr>
      <w:r>
        <w:t>4. The Dynamics of Corporate Organization: A Dimensional Account</w:t>
      </w:r>
    </w:p>
    <w:p>
      <w:pPr>
        <w:pStyle w:val="Heading2"/>
      </w:pPr>
      <w:r>
        <w:t>4.1 Five Dimensions of Variation and Transformation</w:t>
      </w:r>
    </w:p>
    <w:p>
      <w:r>
        <w:t>The first requirement the research questions impose is internal structure for the corporate mode: an answer to the difference question of Section 2.2, whose absence constitutes the first two weaknesses of Section 2.3. A binary corporate-or-network diagnosis would be uninformative for most of the Chinese Neolithic sequence, where prior readings already place the early villages on the egalitarian-to-corporate side even as they differ on how far household-level differentiation qualifies that reading (Lee, 2007; Peterson &amp; Shelach, 2012; Zhang &amp; Cui, 2013). To classify Jiangzhai as corporate is to say almost nothing that its excavators did not already assume. The productive question is how corporate organization differed and transformed across the sequence.</w:t>
      </w:r>
    </w:p>
    <w:p>
      <w:r>
        <w:t>I therefore treat the corporate mode not as one thing but as a position along five analytical dimensions. These are dimensions of a single strategy, not subtypes. A community's corporate organization is characterized by its position on each, and transformation is movement along them. The dimensions are constructed from the comparative literature, and each will later anchor a set of expectations in Table 1.</w:t>
      </w:r>
    </w:p>
    <w:p>
      <w:r>
        <w:t>The first dimension is the scale of the cooperating unit. Corporate arrangements can knit together households, residential clusters, whole settlements, or multi-settlement groups, and ethnographic and archaeological work shows corporate groups forming and operating at sharply different scales, with different material footprints at each (Hayden &amp; Cannon, 1982; Gillespie, 2000). Scale is not organizationally neutral. As the cooperating unit grows, the information load of face-to-face coordination rises nonlinearly, so that enlargement forces either segmentation or new integrative arrangements (Johnson, 1982), a dynamic documented comparatively for settlement nucleation across the Old World (Gyucha &amp; Salisbury, 2022). Rescaling, as when village-level cooperation absorbs or overrides cluster-level cooperation, is therefore one of the principal forms corporate transformation can take, and it is never merely quantitative.</w:t>
      </w:r>
    </w:p>
    <w:p>
      <w:r>
        <w:t>The second dimension is the economic base of cooperation. Corporate arrangements differ in what funds them: pooled staple production, shared storage, communal labor on land and water, or more specialized revenue. The resource base conditions whether cooperative ownership arrangements are viable at all and how robust they remain under environmental and demographic stress (Freeman &amp; Anderies, 2015), and finance-oriented work distinguishes staple-based from wealth-based provisioning as material signatures (D'Altroy &amp; Earle, 1985; Earle, 2016), a distinction the collective action literature ties to how governance itself is funded (Blanton &amp; Fargher, 2008). A corporate order funded by pooled staples and one funded by controlled exchange are different organizations even if both mute wealth display.</w:t>
      </w:r>
    </w:p>
    <w:p>
      <w:r>
        <w:t>The third dimension is the degree of formalization. Collective arrangements range from diffuse norms enacted in everyday practice to formalized offices, dedicated facilities, and dedicated spaces; this gradient of formality, durability, and resourcing is precisely what the institutional turn in archaeology proposes to measure (Holland-Lulewicz et al., 2020). Spatially, formalization is visible in whether coordination occupies purpose-built, persistent locations or is distributed through domestic space, and this dimension underwrites the legibility expectations developed in Section 6.</w:t>
      </w:r>
    </w:p>
    <w:p>
      <w:r>
        <w:t>The fourth dimension is scalar coexistence with exclusionary strategies. Corporate and network strategies can operate simultaneously at different scales of the same community, as Manzanilla (2015) has shown for Teotihuacan, where corporate neighborhood organization coexisted with more exclusionary dynamics at other levels of the city. A settlement is therefore assessed scale by scale, and cross-scale dissonance is an expected, meaningful outcome rather than a contradiction to be explained away. This dimension is the articulation question of Section 2.2 in synchronic form: it is where partition between the strategies, if it existed, will show.</w:t>
      </w:r>
    </w:p>
    <w:p>
      <w:r>
        <w:t>The fifth dimension is stability, tension, and strategic shift. Corporate arrangements can hold household differentiation in a stable frame, fracture under it, or give way to exclusionary strategies. Documented cases include the shift from group-oriented monument building to prestige-goods strategies at Cahokia (Trubitt, 2000) and the resolution of communal-household tension through enclosure and separation in Neolithic Europe (Furholt et al., 2020). This dimension is the articulation question in diachronic form, trade-off unfolding in time, and where a sequence moves on it is the heart of RQ2.</w:t>
      </w:r>
    </w:p>
    <w:p>
      <w:r>
        <w:t>Five dimensions give the corporate mode internal structure, but they remain abstractions until each is tied to material evidence under explicit rules.</w:t>
      </w:r>
    </w:p>
    <w:p>
      <w:pPr>
        <w:pStyle w:val="Heading2"/>
      </w:pPr>
      <w:r>
        <w:t>4.2 The Discipline of Material Indicators</w:t>
      </w:r>
    </w:p>
    <w:p>
      <w:r>
        <w:t>Three rules govern how the dimensions are read from evidence, and they apply to every inference in the analytical chapters.</w:t>
      </w:r>
    </w:p>
    <w:p>
      <w:r>
        <w:t>The first rule is mechanism before indicator. No material pattern counts as evidence for a strategy unless the argument states why that strategy's arrangements would produce that pattern. Indicators inherit their meaning from mechanisms, not from precedent alone; a pattern that has served as a corporate indicator elsewhere earns no standing here until the mechanism that links it to corporate organization is stated and shown to apply.</w:t>
      </w:r>
    </w:p>
    <w:p>
      <w:r>
        <w:t>The second rule is convergence. A strategy assessment at any scale requires the alignment of multiple independent tendencies drawn from different evidence classes. Misalignment is reported as misalignment and treated as a finding about organizational heterogeneity rather than smoothed away in favor of the majority reading.</w:t>
      </w:r>
    </w:p>
    <w:p>
      <w:r>
        <w:t>The third rule is context-dependence. The same artifact class or spatial form can serve either strategy depending on its distribution and setting, so type and context are read jointly. Painted pottery concentrated in a few residences and painted pottery distributed across every household are different facts, although the sherds are the same.</w:t>
      </w:r>
    </w:p>
    <w:p>
      <w:r>
        <w:t>These rules are restated operationally in Section 6, where they govern the evaluation of the ten tendencies. What the strategy concepts still lack is a theory of the evidence itself: a reason why settlement space, of all records, should register socio-political organization. That reason is the subject of Section 5, and it answers the fourth weakness of Section 2.3.</w:t>
      </w:r>
    </w:p>
    <w:p>
      <w:pPr>
        <w:pStyle w:val="Heading1"/>
      </w:pPr>
      <w:r>
        <w:t>5. The Social Logic of Space</w:t>
      </w:r>
    </w:p>
    <w:p>
      <w:pPr>
        <w:pStyle w:val="Heading2"/>
      </w:pPr>
      <w:r>
        <w:t>5.1 Configuration as the Medium of Socio-Political Organization</w:t>
      </w:r>
    </w:p>
    <w:p>
      <w:r>
        <w:t>The built environment is uniquely suited to recording socio-political organization because it is simultaneously the product of organizational practice and the infrastructure that constrains future practice (Lawrence &amp; Low, 1990; Kent, 1990; Rapoport, 1990). A community builds the spaces its arrangements require, and then those spaces channel who meets whom, who passes where, and who can watch whom, long after the builders are gone. The social logic of space gives this intuition analytical form. A settlement layout is a configuration: a system of spatial relations whose properties shape the probabilistic field of encounter, movement, and oversight within which social life unfolds (Hillier &amp; Hanson, 1984; Hillier, 1996; Bafna, 2003).</w:t>
      </w:r>
    </w:p>
    <w:p>
      <w:r>
        <w:t>The framework's measures quantify exactly the properties that socio-political arrangements would need to govern. Integration measures how accessible each space is from all others, and therefore the potential of a space to assemble the community. Choice and Control measure the capacity of spaces to channel and gatekeep movement. Intelligibility, the correlation between local connectivity and global integration, measures whether the system's order is readable from within, and therefore whether spatial knowledge, and the coordination it carries, is widely shared or restricted (van Nes &amp; Yamu, 2021). Because corporate and network strategies make opposite demands on assembly, access, gatekeeping, and legibility, configuration is not a proxy for socio-political organization but its most direct material expression.</w:t>
      </w:r>
    </w:p>
    <w:p>
      <w:r>
        <w:t>A claim of this strength needs an epistemological position, a record of performance, and an honest account of its failure mode. The next two sections supply them in turn.</w:t>
      </w:r>
    </w:p>
    <w:p>
      <w:pPr>
        <w:pStyle w:val="Heading2"/>
      </w:pPr>
      <w:r>
        <w:t>5.2 Epistemological Position: Empirical Middle-Range Theory</w:t>
      </w:r>
    </w:p>
    <w:p>
      <w:r>
        <w:t>I position the social logic of space as empirical middle-range theory in Smith's (2011) sense: middle-range in Merton's meaning of tested propositions of intermediate generality that connect observable built form to social process, valuable precisely because it is neither grand theory nor mere technique. The usage must be kept distinct from the Binfordian, inferential sense of middle-range theory in which Section 6 builds its bridge, and I keep the two separate here as Smith himself urges: one names a body of theory, the other names a kind of argument.</w:t>
      </w:r>
    </w:p>
    <w:p>
      <w:r>
        <w:t>The archaeological track record supports the position. Configurational analysis has discriminated communal from restricted spatial orders, traced changing access regimes through architectural sequences, and identified gatekeeping structures, across contexts as different as historic Zuni pueblos, Iron Age Atlantic Scotland, Chacoan great houses, Inuit snow-house camps, Late Bronze Age Cyprus, and African urban landscapes (Ferguson, 1996; Foster, 1989; Van Dyke, 1999; Dawson, 2002; Fisher, 2009; Baumanova, 2016, 2020). These are not replications of a single demonstration; they span open and enclosed settlements, egalitarian and hierarchical polities, and architectural traditions with nothing in common but the fact of configuration. Using such a body of theory within a processual-plus pluralism that joins strategy theory to practice-informed spatial analysis is methodologically unremarkable rather than eclectic (Hegmon, 2003).</w:t>
      </w:r>
    </w:p>
    <w:p>
      <w:pPr>
        <w:pStyle w:val="Heading2"/>
      </w:pPr>
      <w:r>
        <w:t>5.3 The Limits and the Functional Corrective</w:t>
      </w:r>
    </w:p>
    <w:p>
      <w:r>
        <w:t>The framework's known failure mode is the inference from geometry alone, the objection pressed since Leach (1978): a configurational pattern does not announce which social process produced it, and identical syntactic profiles can serve different organizations. The objection is sound, and the design of this dissertation treats it as a design constraint rather than a rhetorical hazard. Two correctives discipline configurational inference here.</w:t>
      </w:r>
    </w:p>
    <w:p>
      <w:r>
        <w:t>The first is the prerequisite standard. Configurational analysis requires adequate plans, justified assumptions about openings and contemporaneity, and explicit formation-process assessment (Schiffer, 1987). These requirements are codified for configurational work in the critical methodological literature (Cutting, 2003, 2006), extended to histories of spatial modification and reuse (Fladd, 2017), and long established on the activity side, where assemblages must be shown to reflect the organization of activities rather than depositional accident before any functional reading (Binford, 1978; Carr, 1984). The Methods chapter states, site by site, how each requirement is met or where analysis is withheld because it cannot be.</w:t>
      </w:r>
    </w:p>
    <w:p>
      <w:r>
        <w:t>The second corrective is functional, and it is central to the dissertation's design. Space Syntax is never read alone. Every configurational claim is cross-examined against what was actually done, stored, and deposited in the spaces concerned, through Activity Zone Analysis of feature-level artifact provenience. A gatekeeping node that gatekeeps nothing of consequence is a geometric curiosity; a gatekeeping node through which storage, valuables, or ritual paraphernalia move is a political fact. The joint reading converts the equifinality problem from a fatal objection into a testable question, and it is what the expectations of Table 1 are built to exploit.</w:t>
      </w:r>
    </w:p>
    <w:p>
      <w:r>
        <w:t>Theory of organization and theory of evidence are now in place. What remains is to join them operationally.</w:t>
      </w:r>
    </w:p>
    <w:p>
      <w:pPr>
        <w:pStyle w:val="Heading1"/>
      </w:pPr>
      <w:r>
        <w:t>6. The Middle-Range Bridge: Table 1 as the Operational Core</w:t>
      </w:r>
    </w:p>
    <w:p>
      <w:r>
        <w:t>This section is the dissertation's middle-range theory in the Binfordian, inferential sense: arguments that link observable material patterns to the organizational dynamics that produced them (Binford, 1977). It converts the strategy concepts of Section 4 into falsifiable expectations stated in the measures of Section 5, organized as the ten tendencies of Table 1, which is reproduced in full below. The section proceeds in four steps: the form of the bridging argument (6.1), the table itself (6.2), the decision rules under which its expectations are evaluated (6.3), and a closing account of the table's internal logic (6.4).</w:t>
      </w:r>
    </w:p>
    <w:p>
      <w:pPr>
        <w:pStyle w:val="Heading2"/>
      </w:pPr>
      <w:r>
        <w:t>6.1 The Form of the Bridging Argument</w:t>
      </w:r>
    </w:p>
    <w:p>
      <w:r>
        <w:t>Each tendency instantiates one argument form: if a given political strategy organized this community, then a specified configurational-functional pattern should be observed, because the strategy's arrangements require particular regimes of co-presence, access, and oversight. Three checks apply to every instantiation. The bridging assumption must be independent, not presupposing the strategy it tests. Alternative dynamics that could generate the same pattern are listed in advance and, where possible, discriminated by additional expectations. And the pattern that would contradict the assumption is stated before analysis. The full inferential chain, from observed plan and provenience through formation-process assessment to configurational-functional pattern and finally to strategy assessment along the dimensions of Section 4.1, is assessable link by link, and its claims are conditional on the formation-process assessment developed in the Methods chapter.</w:t>
      </w:r>
    </w:p>
    <w:p>
      <w:r>
        <w:t>The mechanisms behind the expectations follow from Section 2. Corporate arrangements coordinate through broad participation and mutual visibility, so they require large-capacity communal nodes embedded in everyday circulation, a publicly legible spatial order, symmetric access from all residential segments, and provisioning facilities positioned within rather than sequestered from routine movement (Blanton et al., 1996; Hillier &amp; Hanson, 1984; Stone, 2000); the dedicated facilities that house such coordination are what institutional archaeology has recently described as the material anchors of broadly participatory governance (Holland-Lulewicz et al., 2022). Network strategies concentrate power through personal control of resources and relationships, so they require brokered movement through gatekeeping chokepoints, restricted high-control positions for valued activities, the dissociation of visibility from accessibility, and the capture of structural advantage by particular residences or precincts (Blanton et al., 1996; Fisher, 2009; Monroe, 2010). These are tendencies with mechanisms, not signatures with guarantees; the rules of Section 6.3 govern how much weight any single pattern carries.</w:t>
      </w:r>
    </w:p>
    <w:p>
      <w:pPr>
        <w:pStyle w:val="Heading2"/>
      </w:pPr>
      <w:r>
        <w:t>6.2 Table 1: Dual-Processual Tendencies with Space Syntax and Integrated SS + AZA Expected Features</w:t>
      </w:r>
    </w:p>
    <w:p>
      <w:r>
        <w:t>Table 1. Dual-Processual Tendencies with Space Syntax and Integrated SS + AZA Expected Features</w:t>
      </w:r>
    </w:p>
    <w:p>
      <w:r>
        <w:t>For each tendency, columns 4 and 5 state the expected spatial features under network and corporate strategies. Column 6 specifies the analytical methods and metrics used to evaluate each expectation.</w:t>
      </w:r>
    </w:p>
    <w:p>
      <w:r>
        <w:t>Note on AZA artifact classification. Columns 4 and 5 refer to artifact classes diagnostically associated with network or corporate strategies (following Feinman 2000; adapted to Chinese Neolithic assemblages after Shelach 2006; Peterson et al. 2016; Tu et al. 2022). Network-associated artifacts include items linked to personal accumulation and exclusive display: jade and stone personal ornaments (huang, jue, pendants, tube beads), turquoise inlay, alligator-skin drums (tuogu), stone chimes (teqing), painted pottery with restricted motifs (e.g., Taosi dragon-pattern vessels), lacquerware, exotic shell, and concentrated pig-mandible deposits in elite burials. Corporate-associated artifacts include items linked to collective provisioning, shared labor, and communal use: large cooking and serving vessels (deep-bellied jars, ding and li tripods), storage jars, grinding stones, agricultural tools (stone knives, bone spades), charred grain, faunal remains, spindle whorls, and widely shared painted pottery (e.g., Yangshao polychrome wares distributed across households). The diagnostic signal depends jointly on artifact type and spatial context: painted pottery, pig mandibles, and jade may indicate either strategy depending on whether they concentrate in individual residences and elite burials (network) or distribute evenly across households and communal spaces (corporate). Artifact lists are adjusted per site based on recovery context, while the network-corporate distinction is held constant across Jiahu, Jiangzhai, and Taosi.</w:t>
      </w:r>
    </w:p>
    <w:p>
      <w:r>
        <w:t>Note on analytical methods and metrics. The citations in column 6 index precedents for the Space Syntax analyses, that is, for the configurational measures (Integration, Choice, Control, step depth, intelligibility), for visibility graph analysis (Turner et al., 2001), and for agent-based movement analysis (Turner &amp; Penn, 2002), rather than for the statistical procedures that accompany them; the statistics are standard tests, and each is specified here by what it is used to evaluate. Spearman's rho tests whether the syntactic centrality of spaces (Integration, Choice, or Control) covaries with the density of a given artifact class, and therefore whether movement structure and accumulation are coupled, a network expectation, or decoupled, a corporate expectation. The coefficient of variation (CV) of Choice or Control values measures how evenly the capacity to channel and gatekeep movement is distributed across a settlement's spaces: a high CV means gatekeeping is concentrated in a few nodes, a low CV that it is broadly shared. The Kruskal-Wallis test evaluates whether Integration differs significantly among residential clusters, that is, whether any cluster occupies a systematically privileged position in the access structure. Step-depth comparison measures the topological distance from each residential cluster to the communal nodes, so that symmetry of depths indicates comparable access from all segments and asymmetry indicates privileged access. Intelligibility is quantified as the coefficient of determination (R2) of the correlation between local Connectivity and global Integration, measuring whether the settlement's overall structure is learnable from what is visible locally. The Gini coefficient and CV of grave-good counts measure how strongly mortuary wealth is concentrated in few burials. Agent-based simulation estimates the passage frequency each space would attract under natural movement, identifying spaces that capture disproportionate through-movement, and VGA visual integration measures how visually prominent each space is, so that the alignment or dissociation of VGA and Integration values tests whether visually prominent spaces are also physically accessible. Each procedure is thus fixed in advance to the organizational question its row poses.</w:t>
      </w:r>
    </w:p>
    <w:p>
      <w:r>
        <w:t>This table is adapted from Feinman (2000: Table 3.2, p. 39), with the corporate and network tendencies reorganized and operationalized through Space Syntax and Activity Zone Analysis (AZA) metrics.</w:t>
      </w:r>
    </w:p>
    <w:p>
      <w:pPr>
        <w:pStyle w:val="Heading2"/>
      </w:pPr>
      <w:r>
        <w:t>6.3 Convergence, Equifinality, Falsification, and Scale</w:t>
      </w:r>
    </w:p>
    <w:p>
      <w:r>
        <w:t>Four decision rules govern the evaluation of the ten tendencies, and they carry the discipline of Section 4.2 into practice.</w:t>
      </w:r>
    </w:p>
    <w:p>
      <w:r>
        <w:t>Convergence. A strategy assessment at any scale requires alignment of multiple tendencies drawn from different evidence classes. Misaligned tendencies are reported as misalignment and treated as findings about organizational heterogeneity, keeping every assessment exposed to refutation in the manner of the quantitative hypothesis test that Carleton et al. (2013) applied to social reconstructions at Çatalhöyük.</w:t>
      </w:r>
    </w:p>
    <w:p>
      <w:r>
        <w:t>Equifinality control. For each tendency, non-strategic generators of the same pattern are listed in advance and addressed with targeted checks: topographic constraint, growth history, preservation and excavation coverage, and the channeling of segmentation by vertical constraint on mounded sites (Steadman, 2000). The checks include terrain-conditioned comparisons, recovery-bias assessment, and phase-controlled analysis.</w:t>
      </w:r>
    </w:p>
    <w:p>
      <w:r>
        <w:t>Falsification. Each hypothesis of Section 7 is paired with the configurational-functional pattern that would contradict it. The framework is designed so that corporate transformation is a result the data could have refused.</w:t>
      </w:r>
    </w:p>
    <w:p>
      <w:r>
        <w:t>Scale stratification. Every tendency is evaluated at three nested scales, building or household, cluster or neighborhood, and settlement, because strategies can diverge across scales of one community (Manzanilla, 2015), and configurational analysis is established at each of these scales, down to the individual dwelling (Hanson, 1998). Cross-scale dissonance is an expected and theoretically meaningful outcome, particularly at Taosi.</w:t>
      </w:r>
    </w:p>
    <w:p>
      <w:pPr>
        <w:pStyle w:val="Heading2"/>
      </w:pPr>
      <w:r>
        <w:t>6.4 The Logic of the Prediction Table</w:t>
      </w:r>
    </w:p>
    <w:p>
      <w:r>
        <w:t>Table 1 is the framework's culmination, and its architecture encodes the framework's commitments; this closing section states how the table is to be read, so that the chapter ends where the analysis will begin.</w:t>
      </w:r>
    </w:p>
    <w:p>
      <w:r>
        <w:t>Read horizontally, each row is one independent, falsifiable test. The first three columns restate a tendency in Feinman's (2000) comparative terms: the dimension of socio-political organization at issue, and its characteristic network and corporate expressions. The fourth column translates those expressions into purely configurational expectations, the patterns Space Syntax alone should detect if the strategy operated. The fifth column states the stronger, joint expectation: what configuration and activity evidence should show together, with artifact classes read under the joint-diagnosticity principle of the table's classification note. The sixth column fixes, in advance of analysis, the metrics and tests by which the expectation will be evaluated. The separation of the fourth and fifth columns is deliberate, and it carries the framework's answer to the equifinality problem: a configurational pattern alone is suggestive but underdetermined, and only its conjunction with the predicted functional pattern counts as evidence for a strategy. The table thereby builds the corrective of Section 5.3 into every test rather than applying it after the fact.</w:t>
      </w:r>
    </w:p>
    <w:p>
      <w:r>
        <w:t>Read vertically, the rows are not interchangeable items on a checklist; they group into the dimensions of Section 4.1 and aggregate into the answers the research questions require. The legibility row operationalizes formalization. The political-dynamics row operationalizes the scale of the cooperating unit. The finance row operationalizes the economic base. And because every row is evaluated at three nested scales under the rules of Section 6.3, the wealth, power, legitimation, and symbols rows jointly register scalar coexistence wherever corporate and network profiles diverge across scales of one settlement. A site's row-by-row, scale-by-scale outcomes therefore compose the strategy profile that answers RQ1. The displacement of those profiles across Jiahu, Jiangzhai, and Taosi, read along the five dimensions, is the observation language in which the competing hypotheses of RQ2 are stated and discriminated. And because the rows, classes, and metrics are held constant across the three sites, the profiles are comparable by construction, which is what RQ3 presupposes. No analysis in the dissertation stands outside this table: every result either evaluates one of its cells or tests the formation-process conditions on which the evaluation depends.</w:t>
      </w:r>
    </w:p>
    <w:p>
      <w:pPr>
        <w:pStyle w:val="Heading1"/>
      </w:pPr>
      <w:r>
        <w:t>7. Competing Hypotheses and the Path to Methods</w:t>
      </w:r>
    </w:p>
    <w:p>
      <w:r>
        <w:t>The research questions of Section 3 are answered through the bridge in a fixed order: RQ1 first and site by site, RQ2 through three competing hypotheses stated in the bridge's terms, and RQ3 only afterward and only within what the first two license.</w:t>
      </w:r>
    </w:p>
    <w:p>
      <w:pPr>
        <w:pStyle w:val="Heading2"/>
      </w:pPr>
      <w:r>
        <w:t>7.1 Evaluating RQ1: Strategy Profiles</w:t>
      </w:r>
    </w:p>
    <w:p>
      <w:r>
        <w:t>RQ1 is answered by applying the ten tendencies of Table 1 site by site and scale by scale, producing for each case a strategy profile rather than a label. The profiles are intermediate products. They discipline RQ2 by establishing what, exactly, is changing across the sequence, and they record cross-scale dissonance wherever it occurs rather than resolving it prematurely.</w:t>
      </w:r>
    </w:p>
    <w:p>
      <w:pPr>
        <w:pStyle w:val="Heading2"/>
      </w:pPr>
      <w:r>
        <w:t>7.2 Hypotheses for RQ2: The Transformation of Corporate Organization</w:t>
      </w:r>
    </w:p>
    <w:p>
      <w:r>
        <w:t>RQ2's three alternatives, strategic shift, increasing formalization, and hybrid forms, are developed as three competing hypotheses; they correspond to the three conceivable fates of corporate organization posed in Section 2.3, and each is an answer to the articulation question of Section 2.2. The dissertation reads the question through the dimensional apparatus of Section 4.1: what changes from site to site is corporate organization's position on the five dimensions, and the hypotheses are alternative descriptions of that movement.</w:t>
      </w:r>
    </w:p>
    <w:p>
      <w:r>
        <w:t>H-A, corporate rescaling and formalization. Corporate arrangements persisted but were rescaled upward and formalized, so that Taosi should show large-capacity, high-integration communal nodes, legible order, and staple-oriented centrality at the settlement scale, with corporate expectations met at larger scales than at Jiahu or Jiangzhai. H-A is falsified if Taosi's communal-scale spaces are configurationally restricted, illegible, or coupled to prestige accumulation.</w:t>
      </w:r>
    </w:p>
    <w:p>
      <w:r>
        <w:t>H-B, strategic shift. Corporate organization was displaced by network strategies, so that Taosi should show gatekept movement, household-linked structural advantage, prestige-centrality coupling, and low intelligibility across scales: the shift toward prestige-goods politics documented elsewhere (Trubitt, 2000). H-B is falsified if corporate expectations are met at any scale above the household.</w:t>
      </w:r>
    </w:p>
    <w:p>
      <w:r>
        <w:t>H-C, scalar coexistence. Corporate and exclusionary strategies operated simultaneously at different scales, on the Teotihuacan model (Manzanilla, 2015), so that Taosi should show corporate profiles at neighborhood or sector scale, including legible, symmetric, provisioning-oriented residential zones, coexisting with exclusionary profiles at the palatial or settlement scale. H-C is falsified if profiles are concordant across scales in either direction. It is the hypothesis under which the question of what surviving corporate organization looked like receives its most detailed answer, in the dimensional terms of Section 4.1.</w:t>
      </w:r>
    </w:p>
    <w:p>
      <w:r>
        <w:t>The statistical machinery developed for the hypothesis evaluation, nested comparisons across sites and scales, maps directly onto H-A through H-C; what the dimensional framing changes is the interpretive target, from levels of complexity to positions and movements along the corporate dimensions.</w:t>
      </w:r>
    </w:p>
    <w:p>
      <w:pPr>
        <w:pStyle w:val="Heading2"/>
      </w:pPr>
      <w:r>
        <w:t>7.3 Answering RQ3: The Comparative Protocol</w:t>
      </w:r>
    </w:p>
    <w:p>
      <w:r>
        <w:t>The comparative protocol for RQ3 is fixed in advance: analytical units and scales are specified, comparability is justified structurally rather than by resemblance, and scope conditions are stated. The comparanda are cases where corporate dynamics have been traced materially, including the emergence of corporate buildings alongside deepening household autonomy in Southwest Asian villages (Byrd, 1994), the strategy shift at Cahokia (Trubitt, 2000), communality under tension in European agglomerations (Furholt et al., 2020), and scalar coexistence at Teotihuacan (Manzanilla, 2015). RQ3 is answered after, and only in the terms licensed by, RQ1 and RQ2.</w:t>
      </w:r>
    </w:p>
    <w:p>
      <w:r>
        <w:t>The chapter's obligations are now discharged in order: the gap produced the questions, the framework produced the bridge, and the bridge produced evaluable hypotheses. The Methods chapter takes over from here, operationalizing each tendency's metrics, the formation-process assessments, and the statistical procedures the hypotheses require.</w:t>
      </w:r>
    </w:p>
    <w:p>
      <w:pPr>
        <w:pStyle w:val="Heading1"/>
      </w:pPr>
      <w:r>
        <w:t>8. Anticipated Contributions and Scope Conditions</w:t>
      </w:r>
    </w:p>
    <w:p>
      <w:r>
        <w:t>Empirically, the dissertation delivers the first systematic configurational measurements of three canonical Chinese Neolithic settlements and a constant-protocol diachronic comparison across five millennia. Theoretically, it offers a workable apparatus for studying transformations of corporate organization, five dimensions, ten operationalized tendencies, and scale-stratified evaluation, addressing the recognized thinness of the corporate pole without subdividing it into types, and it gives the question of corporate organization's fate under centralization an empirical form. Methodologically, it demonstrates an integrated Space Syntax and Activity Zone protocol, with explicit equifinality and falsification rules, transferable to any settlement with adequate plans and provenience.</w:t>
      </w:r>
    </w:p>
    <w:p>
      <w:r>
        <w:t>The scope conditions are stated as predictions rather than apologies. The framework applies where plans are sufficiently complete, contemporaneity is assessable, and provenience is published; where these conditions weaken, the convergence rule withholds assessment rather than diluting it. The conclusions concern socio-political organization at the household, cluster, and settlement scales of three sites in one macro-region. Their extension beyond that scope is a hypothesis the protocol makes testable elsewhere, not a claim this dissertation asserts.</w:t>
      </w:r>
    </w:p>
    <w:p>
      <w:pPr>
        <w:pStyle w:val="Heading1"/>
      </w:pPr>
      <w:r>
        <w:t>References Cited</w:t>
      </w:r>
    </w:p>
    <w:p>
      <w:r>
        <w:t>Alpay, A. I. (2022). The interrelation between humans and their built environment in the Early Bronze Age of Bademağacı Höyük, Turkey. In Proceedings of the 13th Space Syntax Symposium (pp. 1-27).</w:t>
      </w:r>
    </w:p>
    <w:p>
      <w:r>
        <w:t>Bafna, S. (2003). Space syntax: A brief introduction to its logic and analytical techniques. Environment and Behavior, 35(1), 17-29. https://doi.org/10.1177/0013916502238863</w:t>
      </w:r>
    </w:p>
    <w:p>
      <w:r>
        <w:t>Baumanova, M. (2016). Space matters: A reflection on archaeological theory and method for interpreting the materiality of space. Interdisciplinaria Archaeologica - Natural Sciences in Archaeology (IANSA), VII(2), 209-216. https://doi.org/10.24916/iansa.2016.2.6</w:t>
      </w:r>
    </w:p>
    <w:p>
      <w:r>
        <w:t>Baumanova, M. (2020). Sensory synaesthesia: Combined analyses based on space syntax in African urban contexts. African Archaeological Review, 37(1), 125-141. https://doi.org/10.1007/s10437-020-09368-9</w:t>
      </w:r>
    </w:p>
    <w:p>
      <w:r>
        <w:t>Benech, C. (2007). New approach to the study of city planning and domestic dwellings in the ancient Near East. Archaeological Prospection, 14(2), 87-103. https://doi.org/10.1002/arp.306</w:t>
      </w:r>
    </w:p>
    <w:p>
      <w:r>
        <w:t>Binford, L. R. (Ed.). (1977). For theory building in archaeology: Essays on faunal remains, aquatic resources, spatial analysis, and systemic modeling. Academic Press.</w:t>
      </w:r>
    </w:p>
    <w:p>
      <w:r>
        <w:t>Binford, L. R. (1978). Dimensional analysis of behavior and site structure: Learning from an Eskimo hunting stand. American Antiquity, 43(3), 330-361. https://doi.org/10.2307/279390</w:t>
      </w:r>
    </w:p>
    <w:p>
      <w:r>
        <w:t>Blanton, R. E., &amp; Fargher, L. F. (2008). Collective action in the formation of pre-modern states. Springer. https://doi.org/10.1007/978-0-387-73877-2</w:t>
      </w:r>
    </w:p>
    <w:p>
      <w:r>
        <w:t>Blanton, R. E., Feinman, G. M., Kowalewski, S. A., &amp; Peregrine, P. N. (1996). A dual-processual theory for the evolution of Mesoamerican civilization. Current Anthropology, 37(1), 1-14. https://doi.org/10.1086/204471</w:t>
      </w:r>
    </w:p>
    <w:p>
      <w:r>
        <w:t>Byrd, B. F. (1994). Public and private, domestic and corporate: The emergence of the Southwest Asian village. American Antiquity, 59(4), 639-666. https://doi.org/10.2307/282338</w:t>
      </w:r>
    </w:p>
    <w:p>
      <w:r>
        <w:t>Carballo, D. M., &amp; Feinman, G. M. (2016). Cooperation, collective action, and the archeology of large-scale societies. Evolutionary Anthropology, 25(6), 288-296. https://doi.org/10.1002/evan.21506</w:t>
      </w:r>
    </w:p>
    <w:p>
      <w:r>
        <w:t>Carleton, W. C., Conolly, J., &amp; Collard, M. (2013). Corporate kin-groups, social memory, and "history houses"? A quantitative test of recent reconstructions of social organization and building function at Çatalhöyük during the PPNB. Journal of Archaeological Science, 40(4), 1816-1822. https://doi.org/10.1016/j.jas.2012.11.011</w:t>
      </w:r>
    </w:p>
    <w:p>
      <w:r>
        <w:t>Carr, C. (1984). The nature of organization of intrasite archaeological records and spatial analytic approaches to their investigation. Advances in Archaeological Method and Theory, 7, 103-222.</w:t>
      </w:r>
    </w:p>
    <w:p>
      <w:r>
        <w:t>Chang, K. C. (1958). Study of the Neolithic social grouping: Examples from the New World. American Anthropologist, 60(2), 298-334. https://doi.org/10.1525/aa.1958.60.2.02a00080</w:t>
      </w:r>
    </w:p>
    <w:p>
      <w:r>
        <w:t>Chang, K. C. (Ed.). (1968). Settlement archaeology. National Press Books.</w:t>
      </w:r>
    </w:p>
    <w:p>
      <w:r>
        <w:t>Chang, K. C. (1983). Art, myth, and ritual: The path to political authority in ancient China. Harvard University Press.</w:t>
      </w:r>
    </w:p>
    <w:p>
      <w:r>
        <w:t>Chang, K. C. (1986). The archaeology of ancient China (4th ed.). Yale University Press.</w:t>
      </w:r>
    </w:p>
    <w:p>
      <w:r>
        <w:t>Chapman, J. (1990). Social inequality on Bulgarian tells and the Varna problem. In R. Samson (Ed.), The Social Archaeology of Houses (pp. 49-92). Edinburgh University Press.</w:t>
      </w:r>
    </w:p>
    <w:p>
      <w:r>
        <w:t>Chatford Clark, D. L. (2007). Viewing the liturgy: A space syntax study of changing visibility and accessibility in the development of the Byzantine church in Jordan. World Archaeology, 39(1), 84-104. https://doi.org/10.1080/00438240601148798</w:t>
      </w:r>
    </w:p>
    <w:p>
      <w:r>
        <w:t>Crumley, C. L. (1995). Heterarchy and the analysis of complex societies. Archaeological Papers of the American Anthropological Association, 6(1), 1-5. https://doi.org/10.1525/ap3a.1995.6.1.1</w:t>
      </w:r>
    </w:p>
    <w:p>
      <w:r>
        <w:t>Cutting, M. (2003). The use of spatial analysis to study prehistoric settlement architecture. Oxford Journal of Archaeology, 22(1), 1-21. https://doi.org/10.1111/1468-0092.00001</w:t>
      </w:r>
    </w:p>
    <w:p>
      <w:r>
        <w:t>Cutting, M. (2006). More than one way to study a building: Approaches to prehistoric household and settlement space. Oxford Journal of Archaeology, 25(3), 225-246. https://doi.org/10.1111/j.1468-0092.2006.00259.x</w:t>
      </w:r>
    </w:p>
    <w:p>
      <w:r>
        <w:t>D'Altroy, T. N., &amp; Earle, T. K. (1985). Staple finance, wealth finance, and storage in the Inka political economy. Current Anthropology, 26(2), 187-206. https://doi.org/10.1086/203249</w:t>
      </w:r>
    </w:p>
    <w:p>
      <w:r>
        <w:t>Davis, D. S. (2024). Past, present, and future of complex systems theory in archaeology. Journal of Archaeological Research, 32(4), 549-596. https://doi.org/10.1007/s10814-023-09193-z</w:t>
      </w:r>
    </w:p>
    <w:p>
      <w:r>
        <w:t>Dawson, P. C. (2002). Space syntax analysis of Central Inuit snow houses. Journal of Anthropological Archaeology, 21(4), 464-480. https://doi.org/10.1016/S0278-4165(02)00009-0</w:t>
      </w:r>
    </w:p>
    <w:p>
      <w:r>
        <w:t>Drennan, R. D. (1995). Chiefdoms in northern South America. Journal of World Prehistory, 9(3), 301-340. https://doi.org/10.1007/BF02221116</w:t>
      </w:r>
    </w:p>
    <w:p>
      <w:r>
        <w:t>Drennan, R. D., &amp; Dai, X. (2010). Chiefdoms and states in the Yuncheng Basin and the Chifeng region: A comparative analysis of settlement systems in North China. Journal of Anthropological Archaeology, 29(4), 455-468. https://doi.org/10.1016/j.jaa.2010.08.001</w:t>
      </w:r>
    </w:p>
    <w:p>
      <w:r>
        <w:t>Earle, T. (2016). Pathways to power: Corporate and network strategies, staple and wealth finance, and primary and secondary states. In L. F. Fargher &amp; V. Y. Heredia Espinoza (Eds.), Alternative pathways to complexity: A collection of essays on architecture, economics, power, and cross-cultural analysis in honor of Richard E. Blanton (pp. 291-308). University Press of Colorado. https://doi.org/10.5876/9781607325338.c014</w:t>
      </w:r>
    </w:p>
    <w:p>
      <w:r>
        <w:t>Edwards, M. J. (2013). The configuration of built space at Pataraya and Wari provincial administration in Nasca. Journal of Anthropological Archaeology, 32(4), 565-576. https://doi.org/10.1016/j.jaa.2013.09.004</w:t>
      </w:r>
    </w:p>
    <w:p>
      <w:r>
        <w:t>Fargher, L. F. (2016). Corporate power strategies, collective action, and control of principals: A cross-cultural perspective. In L. F. Fargher &amp; V. Y. Heredia Espinoza (Eds.), Alternative pathways to complexity: A collection of essays on architecture, economics, power, and cross-cultural analysis in honor of Richard E. Blanton (pp. 309-326). University Press of Colorado. https://doi.org/10.5876/9781607325338.c015</w:t>
      </w:r>
    </w:p>
    <w:p>
      <w:r>
        <w:t>Feinman, G. M. (2000). Corporate/network: New perspectives on models of political action and the Puebloan Southwest. In M. B. Schiffer (Ed.), Social theory in archaeology (pp. 31-51). University of Utah Press.</w:t>
      </w:r>
    </w:p>
    <w:p>
      <w:r>
        <w:t>Feinman, G. M. (2001). Mesoamerican political complexity: The corporate-network dimension. In J. Haas (Ed.), From leaders to rulers (pp. 151-175). Kluwer Academic/Plenum Publishers.</w:t>
      </w:r>
    </w:p>
    <w:p>
      <w:r>
        <w:t>Feinman, G. M. (2013). The emergence of social complexity: Why more than population size matters. In D. M. Carballo (Ed.), Cooperation and collective action: Archaeological perspectives (pp. 35-56). University Press of Colorado.</w:t>
      </w:r>
    </w:p>
    <w:p>
      <w:r>
        <w:t>Ferguson, T. J. (1996). Historic Zuni architecture and society: An archaeological application of space syntax. Anthropological Papers of the University of Arizona, No. 60. University of Arizona Press.</w:t>
      </w:r>
    </w:p>
    <w:p>
      <w:r>
        <w:t>Fisher, K. D. (2009). Placing social interaction: An integrative approach to analyzing past built environments. Journal of Anthropological Archaeology, 28(4), 439-457. https://doi.org/10.1016/j.jaa.2009.09.001</w:t>
      </w:r>
    </w:p>
    <w:p>
      <w:r>
        <w:t>Fladd, S. G. (2017). Social syntax: An approach to spatial modification through the reworking of space syntax for archaeological applications. Journal of Anthropological Archaeology, 47, 127-138. https://doi.org/10.1016/j.jaa.2017.05.002</w:t>
      </w:r>
    </w:p>
    <w:p>
      <w:r>
        <w:t>Flannery, K. V. (1972). The cultural evolution of civilizations. Annual Review of Ecology and Systematics, 3, 399-426. https://doi.org/10.1146/annurev.es.03.110172.002151</w:t>
      </w:r>
    </w:p>
    <w:p>
      <w:r>
        <w:t>Foster, S. M. (1989). Analysis of spatial patterns in buildings (gamma analysis) as an insight into social structure: Examples from the Scottish Atlantic Iron Age. Antiquity, 63(238), 40-50.</w:t>
      </w:r>
    </w:p>
    <w:p>
      <w:r>
        <w:t>Fredrick, D., &amp; Vennarucci, R. G. (2021). Putting space syntax to the test: Digital embodiment and phenomenology in the Roman house. Studies in Digital Heritage (SDH), 4(2), 185-224. https://doi.org/10.14434/sdh.v4i2.31521</w:t>
      </w:r>
    </w:p>
    <w:p>
      <w:r>
        <w:t>Freeman, J., &amp; Anderies, J. M. (2015). A comparative ethnoarchaeological analysis of corporate territorial ownership. Journal of Archaeological Science, 54, 135-147. https://doi.org/10.1016/j.jas.2014.11.037</w:t>
      </w:r>
    </w:p>
    <w:p>
      <w:r>
        <w:t>Fried, M. H. (1967). The evolution of political society: An essay in political anthropology. Random House.</w:t>
      </w:r>
    </w:p>
    <w:p>
      <w:r>
        <w:t>Furholt, M., Müller-Scheeßel, N., Wunderlich, M., Cheben, I., &amp; Müller, J. (2020). Communality and discord in an early Neolithic settlement agglomeration: The LBK site of Vráble, Southwest Slovakia. Cambridge Archaeological Journal, 30(3), 469-489. https://doi.org/10.1017/S0959774320000049</w:t>
      </w:r>
    </w:p>
    <w:p>
      <w:r>
        <w:t>Gillespie, S. D. (2000). Rethinking ancient Maya social organization: Replacing "lineage" with "house." American Anthropologist, 102(3), 467-484. https://doi.org/10.1525/aa.2000.102.3.467</w:t>
      </w:r>
    </w:p>
    <w:p>
      <w:r>
        <w:t>Gyucha, A., &amp; Salisbury, R. B. (Eds.). (2022). The archaeology of nucleation in the Old World: Spatiality, community, and identity. Archaeopress.</w:t>
      </w:r>
    </w:p>
    <w:p>
      <w:r>
        <w:t>Hanson, J. (1998). Decoding homes and houses. Cambridge University Press.</w:t>
      </w:r>
    </w:p>
    <w:p>
      <w:r>
        <w:t>Hayden, B., &amp; Cannon, A. (1982). The corporate group as an archaeological unit. Journal of Anthropological Archaeology, 1(1), 132-158. https://doi.org/10.1016/0278-4165(82)90018-6</w:t>
      </w:r>
    </w:p>
    <w:p>
      <w:r>
        <w:t>He, N. (2018). Taosi: An archaeological example of urbanization as a political center in prehistoric China. Archaeological Research in Asia, 14, 20-32. https://doi.org/10.1016/j.ara.2017.03.001</w:t>
      </w:r>
    </w:p>
    <w:p>
      <w:r>
        <w:t>Hegmon, M. (2003). Setting theoretical egos aside: Issues and theory in North American archaeology. American Antiquity, 68(2), 213-243. https://doi.org/10.2307/3557080</w:t>
      </w:r>
    </w:p>
    <w:p>
      <w:r>
        <w:t>Hein, A. (2022). Theory and methods of settlement archaeology - the Chinese contribution. World Archaeology, 54(5), 667-679. https://doi.org/10.1080/00438243.2023.2216182</w:t>
      </w:r>
    </w:p>
    <w:p>
      <w:r>
        <w:t>Henan Provincial Institute of Cultural Relics and Archaeology. (1999). Wuyang Jiahu [舞阳贾湖 / Jiahu of Wuyang County]. Science Press. [In Chinese]</w:t>
      </w:r>
    </w:p>
    <w:p>
      <w:r>
        <w:t>Hillier, B. (1996). Space is the machine: A configurational theory of architecture. Cambridge University Press.</w:t>
      </w:r>
    </w:p>
    <w:p>
      <w:r>
        <w:t>Hillier, B. (2014). Spatial analysis and cultural information: The need for theory as well as method in space syntax analysis. In E. Paliou, U. Lieberwirth, &amp; S. Polla (Eds.), Spatial analysis and social spaces: Interdisciplinary approaches to the interpretation of prehistoric and historic built environments (pp. 19-48). De Gruyter. https://doi.org/10.1515/9783110266436.19</w:t>
      </w:r>
    </w:p>
    <w:p>
      <w:r>
        <w:t>Hillier, B., &amp; Hanson, J. (1984). The social logic of space. Cambridge University Press.</w:t>
      </w:r>
    </w:p>
    <w:p>
      <w:r>
        <w:t>Holland-Lulewicz, J., Conger, M. A., Birch, J., Kowalewski, S. A., &amp; Jones, T. W. (2020). An institutional approach for archaeology. Journal of Anthropological Archaeology, 58, 101163. https://doi.org/10.1016/j.jaa.2020.101163</w:t>
      </w:r>
    </w:p>
    <w:p>
      <w:r>
        <w:t>Holland-Lulewicz, J., Thompson, V. D., Birch, J., &amp; Grier, C. (2022). Keystone institutions of democratic governance across Indigenous North America. Frontiers in Political Science, 4, 840049. https://doi.org/10.3389/fpos.2022.840049</w:t>
      </w:r>
    </w:p>
    <w:p>
      <w:r>
        <w:t>Hu, D. (2019). Making space under the Inca: A space syntax analysis of a mitmaq settlement in Vilcas Huamán Province, Peru. Antiquity, 93(370), 990-1008. https://doi.org/10.15184/aqy.2019.82</w:t>
      </w:r>
    </w:p>
    <w:p>
      <w:r>
        <w:t>Institute of Archaeology, Chinese Academy of Social Sciences, &amp; Shanxi Provincial Linfen Municipal Bureau of Cultural Relics. (2015). Xiangfen Taosi: 1978-1985 nian kaogu fajue baogao [襄汾陶寺：1978～1985年考古发掘报告 / Xiangfen Taosi: Report on the 1978-1985 archaeological excavations] (Vols. 1-4). Cultural Relics Press (Wenwu Press). [In Chinese]</w:t>
      </w:r>
    </w:p>
    <w:p>
      <w:r>
        <w:t>Johnson, G. A. (1982). Organizational structure and scalar stress. In C. Renfrew, M. J. Rowlands, &amp; B. A. Segraves (Eds.), Theory and explanation in archaeology: The Southampton conference (pp. 389-421). Academic Press.</w:t>
      </w:r>
    </w:p>
    <w:p>
      <w:r>
        <w:t>Kent, S. (1990). Activity areas and architecture: An interdisciplinary view of the relationship between use of space and domestic built environments. In S. Kent (Ed.), Domestic architecture and the use of space: An interdisciplinary cross-cultural study (pp. 1-8). Cambridge University Press.</w:t>
      </w:r>
    </w:p>
    <w:p>
      <w:r>
        <w:t>Lawrence, D. L., &amp; Low, S. M. (1990). The built environment and spatial form. Annual Review of Anthropology, 19, 453-505. https://www.jstor.org/stable/2155973</w:t>
      </w:r>
    </w:p>
    <w:p>
      <w:r>
        <w:t>Leach, E. R. (1978). Does space syntax really "constitute the social"? In D. Green, C. Haselgrove, &amp; M. Spriggs (Eds.), Social organisation and settlement: Contributions from anthropology, archaeology and geography (pp. 385-401). British Archaeological Reports (BAR Supplementary Series 47).</w:t>
      </w:r>
    </w:p>
    <w:p>
      <w:r>
        <w:t>Lee, Y. K. (2007). Centripetal settlement and segmentary social formation of the Banpo tradition. Journal of Anthropological Archaeology, 26(4), 630-675. https://doi.org/10.1016/j.jaa.2007.03.001</w:t>
      </w:r>
    </w:p>
    <w:p>
      <w:r>
        <w:t>Liebmann, M., Ferguson, T. J., &amp; Preucel, R. W. (2005). Pueblo settlement, architecture, and social change in the Pueblo Revolt era, A.D. 1680 to 1696. Journal of Field Archaeology, 30(1), 45-60. https://doi.org/10.1179/009346905791072459</w:t>
      </w:r>
    </w:p>
    <w:p>
      <w:r>
        <w:t>Liu, L. (1996). Settlement patterns, chiefdom variability, and the development of early states in North China. Journal of Anthropological Archaeology, 15(3), 237-288. https://doi.org/10.1006/jaar.1996.0010</w:t>
      </w:r>
    </w:p>
    <w:p>
      <w:r>
        <w:t>Liu, L. (2004). The Chinese Neolithic: Trajectories to Early States. Cambridge University Press.</w:t>
      </w:r>
    </w:p>
    <w:p>
      <w:r>
        <w:t>Liu, L. (2009). State emergence in early China. Annual Review of Anthropology, 38, 217-232. https://doi.org/10.1146/annurev-anthro-091908-164513</w:t>
      </w:r>
    </w:p>
    <w:p>
      <w:r>
        <w:t>Liu, L., &amp; Chen, X. (2012). The archaeology of China: From the Late Paleolithic to the Early Bronze Age. Cambridge University Press. https://doi.org/10.1017/CBO9781139015301</w:t>
      </w:r>
    </w:p>
    <w:p>
      <w:r>
        <w:t>Liu, L., Chen, X., Lee, Y. K., Wright, H., &amp; Rosen, A. (2002). Settlement Patterns and Development of Social Complexity in the Yiluo Region, North China. Journal of Field Archaeology, 29(1/2), 75-100.</w:t>
      </w:r>
    </w:p>
    <w:p>
      <w:r>
        <w:t>Liu, L., Chen, X., Wright, H., Xu, H., Li, Y., Chen, G., Zhao, H., Kim, H., &amp; Lee, G.-A. (2019). Rise and fall of complex societies in the Yiluo region, North China: The spatial and temporal changes. Quaternary International, 521, 4-15. https://doi.org/10.1016/j.quaint.2019.05.025</w:t>
      </w:r>
    </w:p>
    <w:p>
      <w:r>
        <w:t>Manzanilla, L. R. (2015). Cooperation and tensions in multiethnic corporate societies using Teotihuacan, Central Mexico, as a case study. Proceedings of the National Academy of Sciences, 112(30), 9210-9215. https://doi.org/10.1073/pnas.1419881112</w:t>
      </w:r>
    </w:p>
    <w:p>
      <w:r>
        <w:t>McIntosh, S. K. (Ed.). (1999). Beyond chiefdoms: Pathways to complexity in Africa. Cambridge University Press.</w:t>
      </w:r>
    </w:p>
    <w:p>
      <w:r>
        <w:t>Meng, D., &amp; Zhang, J. (2025). The evolution of space syntax over the past two decades: evidence from China. Journal of Asian Architecture and Building Engineering, 24(5), 4606-4624. https://doi.org/10.1080/13467581.2024.2399739</w:t>
      </w:r>
    </w:p>
    <w:p>
      <w:r>
        <w:t>Monroe, J. C. (2010). Power by design: Architecture and politics in precolonial Dahomey. Journal of Social Archaeology, 10(3), 367-397. https://doi.org/10.1177/1469605310378959</w:t>
      </w:r>
    </w:p>
    <w:p>
      <w:r>
        <w:t>Moore, J. D. (1996). Architecture and power in the ancient Andes: The archaeology of public buildings. Cambridge University Press.</w:t>
      </w:r>
    </w:p>
    <w:p>
      <w:r>
        <w:t>Morton, S. G., Peuramaki-Brown, M. M., Dawson, P. C., &amp; Seibert, J. D. (2012). Civic and household community relationships at Teotihuacan, Mexico: A space syntax approach. Cambridge Archaeological Journal, 22(3), 387-400. https://doi.org/10.1017/S0959774312000467</w:t>
      </w:r>
    </w:p>
    <w:p>
      <w:r>
        <w:t>Osborne, J. F., &amp; Summers, G. D. (2014). Visibility graph analysis and monumentality in the Iron Age city at Kerkenes in Central Turkey. Journal of Field Archaeology, 39(3), 292-309. https://doi.org/10.1179/0093469014Z.00000000089</w:t>
      </w:r>
    </w:p>
    <w:p>
      <w:r>
        <w:t>Peterson, C. E., &amp; Drennan, R. D. (2012). Patterned variation in regional trajectories of community growth. In M. E. Smith (Ed.), The comparative archaeology of complex societies (pp. 88-137). Cambridge University Press. https://doi.org/10.1017/CBO9781139022712.008</w:t>
      </w:r>
    </w:p>
    <w:p>
      <w:r>
        <w:t>Peterson, C. E., &amp; Shelach, G. (2012). Jiangzhai: Social and economic organization of a Middle Neolithic Chinese village. Journal of Anthropological Archaeology, 31(3), 265-301.</w:t>
      </w:r>
    </w:p>
    <w:p>
      <w:r>
        <w:t>Peterson, C. E., Drennan, R. D., &amp; Bartel, K. L. (2016). Comparative analysis of Neolithic household artifact assemblage data from Northern China. Journal of Anthropological Research, 72(2), 200-225.</w:t>
      </w:r>
    </w:p>
    <w:p>
      <w:r>
        <w:t>Rapoport, A. (1990). Systems of activities and systems of settings. In S. Kent (Ed.), Domestic architecture and the use of space: An interdisciplinary cross-cultural study (pp. 9-20). Cambridge University Press.</w:t>
      </w:r>
    </w:p>
    <w:p>
      <w:r>
        <w:t>Renfrew, C. (1974). Beyond a subsistence economy: The evolution of social organization in prehistoric Europe. In C. B. Moore (Ed.), Reconstructing complex societies: An archaeological colloquium (pp. 69-84). Supplement to the Bulletin of the American Schools of Oriental Research 20.</w:t>
      </w:r>
    </w:p>
    <w:p>
      <w:r>
        <w:t>Schiffer, M. B. (1987). Formation processes of the archaeological record. University of New Mexico Press.</w:t>
      </w:r>
    </w:p>
    <w:p>
      <w:r>
        <w:t>Service, E. R. (1962). Primitive social organization: An evolutionary perspective. Random House.</w:t>
      </w:r>
    </w:p>
    <w:p>
      <w:r>
        <w:t>Shelach, G. (2006). Economic adaptation, community structure, and sharing strategies of households at early sedentary communities in northeast China. Journal of Anthropological Archaeology, 25(3), 318-345.</w:t>
      </w:r>
    </w:p>
    <w:p>
      <w:r>
        <w:t>Smith, M. E. (2011). Empirical urban theory for archaeologists. Journal of Archaeological Method and Theory, 18(3), 167-192. https://doi.org/10.1007/s10816-010-9097-5</w:t>
      </w:r>
    </w:p>
    <w:p>
      <w:r>
        <w:t>Song, J., &amp; Zhang, Y. (2022). Study on the spatial characteristics of prehistoric settlement sites based on spatial syntax: Taking Lower Xiajiadian culture as an example. China Ancient City, 36(6), 36-43. https://doi.org/10.19924/j.cnki.1674-4144.2022.06.005. [In Chinese]</w:t>
      </w:r>
    </w:p>
    <w:p>
      <w:r>
        <w:t>Steadman, S. R. (2000). Spatial patterning and social complexity on prehistoric Anatolian tell sites: Models for mounds. Journal of Anthropological Archaeology, 19(2), 164-199. https://doi.org/10.1006/jaar.2000.0363</w:t>
      </w:r>
    </w:p>
    <w:p>
      <w:r>
        <w:t>Stockett, M. K. (2005). Approaching social practice through access analysis at Las Canoas, Honduras. Latin American Antiquity, 16(4), 385-407. https://doi.org/10.2307/30042506</w:t>
      </w:r>
    </w:p>
    <w:p>
      <w:r>
        <w:t>Stone, T. (2000). Prehistoric community integration in the Point of Pines region of Arizona. Journal of Field Archaeology, 27(2), 197-208. https://doi.org/10.1179/jfa.2000.27.2.197</w:t>
      </w:r>
    </w:p>
    <w:p>
      <w:r>
        <w:t>Trubitt, M. B. D. (2000). Mound building and prestige goods exchange: Changing strategies in the Cahokia chiefdom. American Antiquity, 65(4), 669-690. https://doi.org/10.2307/2694421</w:t>
      </w:r>
    </w:p>
    <w:p>
      <w:r>
        <w:t>Tu, D., Shelach-Lavi, G., &amp; Fung, Y.-T. (2022). Economy, sharing strategies and community structure in the early Neolithic village of Chahai, Northeast China. Journal of Anthropological Archaeology, 67, 101420. https://doi.org/10.1016/j.jaa.2022.101420</w:t>
      </w:r>
    </w:p>
    <w:p>
      <w:r>
        <w:t>Turner, A., Doxa, M., O'Sullivan, D., &amp; Penn, A. (2001). From isovists to visibility graphs: A methodology for the analysis of architectural space. Environment and Planning B: Planning and Design, 28(1), 103-121. https://doi.org/10.1068/b2684</w:t>
      </w:r>
    </w:p>
    <w:p>
      <w:r>
        <w:t>Turner, A., &amp; Penn, A. (2002). Encoding natural movement as an agent-based system: An investigation into human pedestrian behaviour in the built environment. Environment and Planning B: Planning and Design, 29(4), 473-490. https://doi.org/10.1068/b12850</w:t>
      </w:r>
    </w:p>
    <w:p>
      <w:r>
        <w:t>Underhill, A. P. (1997). Current issues in Chinese Neolithic archaeology. Journal of World Prehistory, 11(2), 103-160. https://doi.org/10.1007/BF02221203</w:t>
      </w:r>
    </w:p>
    <w:p>
      <w:r>
        <w:t>Underhill, A. P., Feinman, G. M., Nicholas, L. M., Fang, H., Luan, F., Yu, H., &amp; Cai, F. (2008). Changes in regional settlement patterns and the development of complex societies in southeastern Shandong, China. Journal of Anthropological Archaeology, 27(1), 1-29. https://doi.org/10.1016/j.jaa.2006.11.002</w:t>
      </w:r>
    </w:p>
    <w:p>
      <w:r>
        <w:t>Van Dyke, R. M. (1999). Space syntax analysis at the Chacoan outlier of Guadalupe. American Antiquity, 64(3), 461-473. https://doi.org/10.2307/2694146</w:t>
      </w:r>
    </w:p>
    <w:p>
      <w:r>
        <w:t>van Nes, A., &amp; Yamu, C. (2021). Introduction to space syntax in urban studies. Springer. https://doi.org/10.1007/978-3-030-59140-3</w:t>
      </w:r>
    </w:p>
    <w:p>
      <w:r>
        <w:t>Wernke, S. A. (2012). Spatial network analysis of a terminal prehispanic and early colonial settlement in highland Peru. Journal of Archaeological Science, 39(4), 1111-1122. https://doi.org/10.1016/j.jas.2011.12.014</w:t>
      </w:r>
    </w:p>
    <w:p>
      <w:r>
        <w:t>Xi'an Banpo Museum, Shaanxi Provincial Institute of Archaeology, and Lintong County Museum. (1988). Jiangzhai: Xinshiqi shidai yizhi fajue baogao [姜寨：新石器时代遗址发掘报告 / Jiangzhai: Excavation report of a Neolithic site]. Wenwu Press (Cultural Relics Publishing House). [In Chinese]</w:t>
      </w:r>
    </w:p>
    <w:p>
      <w:r>
        <w:t>Yan, W. M. (1997a). Settlement archaeology and the study of prehistoric societies. Cultural Relics, (6), 27-35. [In Chinese]</w:t>
      </w:r>
    </w:p>
    <w:p>
      <w:r>
        <w:t>Yan, W. M. (1997b). Recent advances in settlement archaeology. Archaeology and Cultural Relics, (2), 35-39. [In Chinese]</w:t>
      </w:r>
    </w:p>
    <w:p>
      <w:r>
        <w:t>Zhang, J., &amp; Cui, Q. (2013). The Jiahu site in the Huai River Area. In A. P. Underhill (Ed.), A Companion to Chinese Archaeology (pp. 194-212). Wiley-Blackwell. https://doi.org/10.1002/9781118325698.ch10</w:t>
      </w:r>
    </w:p>
    <w:sectPr w:rsidR="00FC693F" w:rsidRPr="0006063C" w:rsidSect="00034616">
      <w:pgSz w:w="12240" w:h="15840"/>
      <w:pgMar w:top="1440" w:right="1800" w:bottom="1440" w:left="1800" w:header="720" w:footer="720" w:gutter="0"/>
      <w:cols w:space="720"/>
      <w:docGrid w:linePitch="360"/>
    </w:sect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321"/>
        <w:gridCol w:w="1309"/>
        <w:gridCol w:w="1903"/>
        <w:gridCol w:w="1757"/>
        <w:gridCol w:w="2485"/>
      </w:tblGrid>
      <w:tr w:rsidR="00DA7A34" w:rsidRPr="00714742" w14:paraId="35A3A85B" w14:textId="77777777" w:rsidTr="00D93F83">
        <w:tblPrEx>
          <w:tblCellMar>
            <w:top w:w="0" w:type="dxa"/>
            <w:bottom w:w="0" w:type="dxa"/>
          </w:tblCellMar>
        </w:tblPrEx>
        <w:trPr>
          <w:tblHeader/>
        </w:trPr>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B6B232" w14:textId="77777777" w:rsidR="00DA7A34" w:rsidRPr="00714742" w:rsidRDefault="00DA7A34" w:rsidP="00D93F83">
            <w:pPr>
              <w:spacing w:after="40" w:line="200" w:lineRule="auto"/>
            </w:pPr>
            <w:r w:rsidRPr="00714742">
              <w:rPr>
                <w:b/>
                <w:bCs/>
              </w:rPr>
              <w:t>Tendency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DF1795" w14:textId="77777777" w:rsidR="00DA7A34" w:rsidRPr="00714742" w:rsidRDefault="00DA7A34" w:rsidP="00D93F83">
            <w:pPr>
              <w:spacing w:after="40" w:line="200" w:lineRule="auto"/>
            </w:pPr>
            <w:r w:rsidRPr="00714742">
              <w:rPr>
                <w:b/>
                <w:bCs/>
              </w:rPr>
              <w:t>Network</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988CDE" w14:textId="77777777" w:rsidR="00DA7A34" w:rsidRPr="00714742" w:rsidRDefault="00DA7A34" w:rsidP="00D93F83">
            <w:pPr>
              <w:spacing w:after="40" w:line="200" w:lineRule="auto"/>
            </w:pPr>
            <w:r w:rsidRPr="00714742">
              <w:rPr>
                <w:b/>
                <w:bCs/>
              </w:rPr>
              <w:t>Corporate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60DD0A" w14:textId="77777777" w:rsidR="00DA7A34" w:rsidRPr="00714742" w:rsidRDefault="00DA7A34" w:rsidP="00D93F83">
            <w:pPr>
              <w:spacing w:after="40" w:line="200" w:lineRule="auto"/>
            </w:pPr>
            <w:r w:rsidRPr="00714742">
              <w:rPr>
                <w:b/>
                <w:bCs/>
              </w:rPr>
              <w:t>Space Syntax (SS) Expected Features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0CB1E9" w14:textId="77777777" w:rsidR="00DA7A34" w:rsidRPr="00714742" w:rsidRDefault="00DA7A34" w:rsidP="00D93F83">
            <w:pPr>
              <w:spacing w:after="40" w:line="200" w:lineRule="auto"/>
            </w:pPr>
            <w:r w:rsidRPr="00714742">
              <w:rPr>
                <w:b/>
                <w:bCs/>
              </w:rPr>
              <w:t>Integrated SS + AZA Expected Features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11F2FC" w14:textId="77777777" w:rsidR="00DA7A34" w:rsidRPr="00714742" w:rsidRDefault="00DA7A34" w:rsidP="00D93F83">
            <w:pPr>
              <w:spacing w:after="40" w:line="200" w:lineRule="auto"/>
            </w:pPr>
            <w:r w:rsidRPr="00714742">
              <w:rPr>
                <w:b/>
                <w:bCs/>
              </w:rPr>
              <w:t>Analytical Methods &amp; Metrics</w:t>
            </w:r>
          </w:p>
        </w:tc>
      </w:tr>
      <w:tr w:rsidR="00DA7A34" w:rsidRPr="00714742" w14:paraId="17FF8EFF"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7E79CE" w14:textId="77777777" w:rsidR="00DA7A34" w:rsidRPr="00714742" w:rsidRDefault="00DA7A34" w:rsidP="00D93F83">
            <w:pPr>
              <w:spacing w:after="40" w:line="200" w:lineRule="auto"/>
            </w:pPr>
            <w:r w:rsidRPr="00714742">
              <w:t>Wealth &amp; consumption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13D05E" w14:textId="77777777" w:rsidR="00DA7A34" w:rsidRPr="00714742" w:rsidRDefault="00DA7A34" w:rsidP="00D93F83">
            <w:pPr>
              <w:spacing w:after="40" w:line="200" w:lineRule="auto"/>
            </w:pPr>
            <w:r w:rsidRPr="00714742">
              <w:t>Concentrated wealth; ostentatious display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2D7BA3" w14:textId="77777777" w:rsidR="00DA7A34" w:rsidRPr="00714742" w:rsidRDefault="00DA7A34" w:rsidP="00D93F83">
            <w:pPr>
              <w:spacing w:after="40" w:line="200" w:lineRule="auto"/>
            </w:pPr>
            <w:r w:rsidRPr="00714742">
              <w:t>Even distribution; balanced accumulation</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ED2616" w14:textId="77777777" w:rsidR="00DA7A34" w:rsidRPr="00714742" w:rsidRDefault="00DA7A34" w:rsidP="00D93F83">
            <w:pPr>
              <w:spacing w:after="40" w:line="200" w:lineRule="auto"/>
            </w:pPr>
            <w:r w:rsidRPr="00714742">
              <w:t>Network: High-centrality nodes coincide with high artifact density; wealth concentrates in a few privileged nodes.</w:t>
            </w:r>
          </w:p>
          <w:p w14:paraId="3BDAD5DC" w14:textId="77777777" w:rsidR="00DA7A34" w:rsidRPr="00714742" w:rsidRDefault="00DA7A34" w:rsidP="00D93F83">
            <w:pPr>
              <w:spacing w:after="40" w:line="200" w:lineRule="auto"/>
            </w:pPr>
            <w:r w:rsidRPr="00714742">
              <w:t>Corporate: Centrality decoupled from wealth; spatial advantage broadly distributed.</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4B37C8" w14:textId="77777777" w:rsidR="00DA7A34" w:rsidRPr="00714742" w:rsidRDefault="00DA7A34" w:rsidP="00D93F83">
            <w:pPr>
              <w:spacing w:after="40" w:line="200" w:lineRule="auto"/>
            </w:pPr>
            <w:r w:rsidRPr="00714742">
              <w:t>Network: Prestige artifacts concentrate either at high-centrality nodes (movement hub = accumulation hub) or in low-Integration, high-Control enclaves; agent density correlates with artifact density in at least one pattern.</w:t>
            </w:r>
          </w:p>
          <w:p w14:paraId="41A7CBD9" w14:textId="77777777" w:rsidR="00DA7A34" w:rsidRPr="00714742" w:rsidRDefault="00DA7A34" w:rsidP="00D93F83">
            <w:pPr>
              <w:spacing w:after="40" w:line="200" w:lineRule="auto"/>
            </w:pPr>
            <w:r w:rsidRPr="00714742">
              <w:t>Corporate: Centrality decoupled from prestige artifacts (movement hub does not equal accumulation hub); center serves coordination, not extraction.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D4415A7" w14:textId="77777777" w:rsidR="00DA7A34" w:rsidRPr="00714742" w:rsidRDefault="00DA7A34" w:rsidP="00D93F83">
            <w:pPr>
              <w:spacing w:after="40" w:line="200" w:lineRule="auto"/>
            </w:pPr>
            <w:r w:rsidRPr="00714742">
              <w:t xml:space="preserve">Integration/Choice/Control x artifact density (Spearman rho, by class); VGA x artifact; agent simulation x artifact; spatial-material dissociation test (cf. Fisher 2009; Alpay 2022; van Nes &amp; </w:t>
            </w:r>
            <w:proofErr w:type="spellStart"/>
            <w:r w:rsidRPr="00714742">
              <w:t>Yamu</w:t>
            </w:r>
            <w:proofErr w:type="spellEnd"/>
            <w:r w:rsidRPr="00714742">
              <w:t xml:space="preserve"> 2021)</w:t>
            </w:r>
          </w:p>
        </w:tc>
      </w:tr>
      <w:tr w:rsidR="00DA7A34" w:rsidRPr="00714742" w14:paraId="756786B9"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1D929F" w14:textId="77777777" w:rsidR="00DA7A34" w:rsidRPr="00714742" w:rsidRDefault="00DA7A34" w:rsidP="00D93F83">
            <w:pPr>
              <w:spacing w:after="40" w:line="200" w:lineRule="auto"/>
            </w:pPr>
            <w:r w:rsidRPr="00714742">
              <w:t>Power arrangements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8EAA44" w14:textId="77777777" w:rsidR="00DA7A34" w:rsidRPr="00714742" w:rsidRDefault="00DA7A34" w:rsidP="00D93F83">
            <w:pPr>
              <w:spacing w:after="40" w:line="200" w:lineRule="auto"/>
            </w:pPr>
            <w:r w:rsidRPr="00714742">
              <w:t>Individual power</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26B7A4" w14:textId="77777777" w:rsidR="00DA7A34" w:rsidRPr="00714742" w:rsidRDefault="00DA7A34" w:rsidP="00D93F83">
            <w:pPr>
              <w:spacing w:after="40" w:line="200" w:lineRule="auto"/>
            </w:pPr>
            <w:r w:rsidRPr="00714742">
              <w:t>Shared power</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5FC640" w14:textId="77777777" w:rsidR="00DA7A34" w:rsidRPr="00714742" w:rsidRDefault="00DA7A34" w:rsidP="00D93F83">
            <w:pPr>
              <w:spacing w:after="40" w:line="200" w:lineRule="auto"/>
            </w:pPr>
            <w:r w:rsidRPr="00714742">
              <w:t>Network: Choice/Control concentrated in few gatekeeping nodes (high CV); between-cluster differences significant.</w:t>
            </w:r>
          </w:p>
          <w:p w14:paraId="28455D84" w14:textId="77777777" w:rsidR="00DA7A34" w:rsidRPr="00714742" w:rsidRDefault="00DA7A34" w:rsidP="00D93F83">
            <w:pPr>
              <w:spacing w:after="40" w:line="200" w:lineRule="auto"/>
            </w:pPr>
            <w:r w:rsidRPr="00714742">
              <w:t>Corporate: Choice/Control broadly distributed (low CV); between-cluster differences non-significant.</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2169BF" w14:textId="77777777" w:rsidR="00DA7A34" w:rsidRPr="00714742" w:rsidRDefault="00DA7A34" w:rsidP="00D93F83">
            <w:pPr>
              <w:spacing w:after="40" w:line="200" w:lineRule="auto"/>
            </w:pPr>
            <w:r w:rsidRPr="00714742">
              <w:t>Network: Few bottleneck nodes dominate agent passage; flow asymmetric across sectors.</w:t>
            </w:r>
          </w:p>
          <w:p w14:paraId="04E2813C" w14:textId="77777777" w:rsidR="00DA7A34" w:rsidRPr="00714742" w:rsidRDefault="00DA7A34" w:rsidP="00D93F83">
            <w:pPr>
              <w:spacing w:after="40" w:line="200" w:lineRule="auto"/>
            </w:pPr>
            <w:r w:rsidRPr="00714742">
              <w:t>Corporate: Redundant routes carry agent passage; flow symmetric across sectors.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847ACC" w14:textId="77777777" w:rsidR="00DA7A34" w:rsidRPr="00714742" w:rsidRDefault="00DA7A34" w:rsidP="00D93F83">
            <w:pPr>
              <w:spacing w:after="40" w:line="200" w:lineRule="auto"/>
            </w:pPr>
            <w:r w:rsidRPr="00714742">
              <w:t>Choice/Control CV; cluster Integration (Kruskal-Wallis); step-depth symmetry (cf. Dawson 2002; Monroe 2010; Liebmann et al. 2005)</w:t>
            </w:r>
          </w:p>
        </w:tc>
      </w:tr>
      <w:tr w:rsidR="00DA7A34" w:rsidRPr="00714742" w14:paraId="75D60B2F"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A86444" w14:textId="77777777" w:rsidR="00DA7A34" w:rsidRPr="00714742" w:rsidRDefault="00DA7A34" w:rsidP="00D93F83">
            <w:pPr>
              <w:spacing w:after="40" w:line="200" w:lineRule="auto"/>
            </w:pPr>
            <w:r w:rsidRPr="00714742">
              <w:t>Basis of status (spatial legibility)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A1B49B7" w14:textId="77777777" w:rsidR="00DA7A34" w:rsidRPr="00714742" w:rsidRDefault="00DA7A34" w:rsidP="00D93F83">
            <w:pPr>
              <w:spacing w:after="40" w:line="200" w:lineRule="auto"/>
            </w:pPr>
            <w:r w:rsidRPr="00714742">
              <w:t xml:space="preserve">Prestige goods; spatial knowledge as </w:t>
            </w:r>
            <w:r w:rsidRPr="00714742">
              <w:lastRenderedPageBreak/>
              <w:t>gatekeeping resource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E7B01F" w14:textId="77777777" w:rsidR="00DA7A34" w:rsidRPr="00714742" w:rsidRDefault="00DA7A34" w:rsidP="00D93F83">
            <w:pPr>
              <w:spacing w:after="40" w:line="200" w:lineRule="auto"/>
            </w:pPr>
            <w:r w:rsidRPr="00714742">
              <w:lastRenderedPageBreak/>
              <w:t xml:space="preserve">Control of knowledge and cognitive codes; </w:t>
            </w:r>
            <w:r w:rsidRPr="00714742">
              <w:lastRenderedPageBreak/>
              <w:t>publicly legible spatial order</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5C6969" w14:textId="77777777" w:rsidR="00DA7A34" w:rsidRPr="00714742" w:rsidRDefault="00DA7A34" w:rsidP="00D93F83">
            <w:pPr>
              <w:spacing w:after="40" w:line="200" w:lineRule="auto"/>
            </w:pPr>
            <w:r w:rsidRPr="00714742">
              <w:lastRenderedPageBreak/>
              <w:t xml:space="preserve">Network: Low intelligibility (weak Connectivity-Integration </w:t>
            </w:r>
            <w:r w:rsidRPr="00714742">
              <w:lastRenderedPageBreak/>
              <w:t>coupling); structure not publicly learnable; route knowledge becomes a gatekeeping resource.</w:t>
            </w:r>
          </w:p>
          <w:p w14:paraId="164493F3" w14:textId="77777777" w:rsidR="00DA7A34" w:rsidRPr="00714742" w:rsidRDefault="00DA7A34" w:rsidP="00D93F83">
            <w:pPr>
              <w:spacing w:after="40" w:line="200" w:lineRule="auto"/>
            </w:pPr>
            <w:r w:rsidRPr="00714742">
              <w:t>Corporate: High intelligibility (strong Connectivity-Integration coupling); structure publicly learnable; status from recognized position, not route knowledge.</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EC8A99" w14:textId="77777777" w:rsidR="00DA7A34" w:rsidRPr="00714742" w:rsidRDefault="00DA7A34" w:rsidP="00D93F83">
            <w:pPr>
              <w:spacing w:after="40" w:line="200" w:lineRule="auto"/>
            </w:pPr>
            <w:r w:rsidRPr="00714742">
              <w:lastRenderedPageBreak/>
              <w:t xml:space="preserve">Network: Unpredictable structure; navigating the 'right paths' </w:t>
            </w:r>
            <w:r w:rsidRPr="00714742">
              <w:lastRenderedPageBreak/>
              <w:t>depends on privileged route knowledge.</w:t>
            </w:r>
          </w:p>
          <w:p w14:paraId="108DE7B3" w14:textId="77777777" w:rsidR="00DA7A34" w:rsidRPr="00714742" w:rsidRDefault="00DA7A34" w:rsidP="00D93F83">
            <w:pPr>
              <w:spacing w:after="40" w:line="200" w:lineRule="auto"/>
            </w:pPr>
            <w:r w:rsidRPr="00714742">
              <w:t>Corporate: Legible, publicly readable order; shared spatial knowledge supports routinized coordination.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FE88E2" w14:textId="77777777" w:rsidR="00DA7A34" w:rsidRPr="00714742" w:rsidRDefault="00DA7A34" w:rsidP="00D93F83">
            <w:pPr>
              <w:spacing w:after="40" w:line="200" w:lineRule="auto"/>
            </w:pPr>
            <w:r w:rsidRPr="00714742">
              <w:lastRenderedPageBreak/>
              <w:t>Intelligibility R2 (Connectivity x Integration) (cf. Morton et al. 2012; Hillier 2014; Bafna 2003)</w:t>
            </w:r>
          </w:p>
        </w:tc>
      </w:tr>
      <w:tr w:rsidR="00DA7A34" w:rsidRPr="00714742" w14:paraId="5C9A49F4"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77F60C" w14:textId="77777777" w:rsidR="00DA7A34" w:rsidRPr="00714742" w:rsidRDefault="00DA7A34" w:rsidP="00D93F83">
            <w:pPr>
              <w:spacing w:after="40" w:line="200" w:lineRule="auto"/>
            </w:pPr>
            <w:r w:rsidRPr="00714742">
              <w:t>Political dynamics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26FA76" w14:textId="77777777" w:rsidR="00DA7A34" w:rsidRPr="00714742" w:rsidRDefault="00DA7A34" w:rsidP="00D93F83">
            <w:pPr>
              <w:spacing w:after="40" w:line="200" w:lineRule="auto"/>
            </w:pPr>
            <w:r w:rsidRPr="00714742">
              <w:t>Patron-client factions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633B02" w14:textId="77777777" w:rsidR="00DA7A34" w:rsidRPr="00714742" w:rsidRDefault="00DA7A34" w:rsidP="00D93F83">
            <w:pPr>
              <w:spacing w:after="40" w:line="200" w:lineRule="auto"/>
            </w:pPr>
            <w:r w:rsidRPr="00714742">
              <w:t>Corporate labor systems</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DBBA21" w14:textId="77777777" w:rsidR="00DA7A34" w:rsidRPr="00714742" w:rsidRDefault="00DA7A34" w:rsidP="00D93F83">
            <w:pPr>
              <w:spacing w:after="40" w:line="200" w:lineRule="auto"/>
            </w:pPr>
            <w:r w:rsidRPr="00714742">
              <w:t>Network: Step depth from clusters to communal nodes is asymmetric; specific clusters hold privileged access.</w:t>
            </w:r>
          </w:p>
          <w:p w14:paraId="47806E50" w14:textId="77777777" w:rsidR="00DA7A34" w:rsidRPr="00714742" w:rsidRDefault="00DA7A34" w:rsidP="00D93F83">
            <w:pPr>
              <w:spacing w:after="40" w:line="200" w:lineRule="auto"/>
            </w:pPr>
            <w:r w:rsidRPr="00714742">
              <w:t>Corporate: Step depth symmetric; all clusters hold comparable access.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14C33D" w14:textId="77777777" w:rsidR="00DA7A34" w:rsidRPr="00714742" w:rsidRDefault="00DA7A34" w:rsidP="00D93F83">
            <w:pPr>
              <w:spacing w:after="40" w:line="200" w:lineRule="auto"/>
            </w:pPr>
            <w:r w:rsidRPr="00714742">
              <w:t>Network: Access to labor-mobilization spaces is gatekept; inter-cluster inequality high (factional channeling).</w:t>
            </w:r>
          </w:p>
          <w:p w14:paraId="2892BC46" w14:textId="77777777" w:rsidR="00DA7A34" w:rsidRPr="00714742" w:rsidRDefault="00DA7A34" w:rsidP="00D93F83">
            <w:pPr>
              <w:spacing w:after="40" w:line="200" w:lineRule="auto"/>
            </w:pPr>
            <w:r w:rsidRPr="00714742">
              <w:t>Corporate: Access to labor-mobilization spaces embedded in daily circulation; inter-cluster inequality low (corporate mobilization).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04D9D5A" w14:textId="77777777" w:rsidR="00DA7A34" w:rsidRPr="00714742" w:rsidRDefault="00DA7A34" w:rsidP="00D93F83">
            <w:pPr>
              <w:spacing w:after="40" w:line="200" w:lineRule="auto"/>
            </w:pPr>
            <w:r w:rsidRPr="00714742">
              <w:t>Integration of communal nodes; cluster step-depth comparison; inter-cluster parity test (cf. Stone 2000; Hu 2019; Wernke 2012; Liebmann et al. 2005)</w:t>
            </w:r>
          </w:p>
        </w:tc>
      </w:tr>
      <w:tr w:rsidR="00DA7A34" w:rsidRPr="00714742" w14:paraId="799549A6"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1401B0" w14:textId="77777777" w:rsidR="00DA7A34" w:rsidRPr="00714742" w:rsidRDefault="00DA7A34" w:rsidP="00D93F83">
            <w:pPr>
              <w:spacing w:after="40" w:line="200" w:lineRule="auto"/>
            </w:pPr>
            <w:r w:rsidRPr="00714742">
              <w:t>Production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9193ED" w14:textId="77777777" w:rsidR="00DA7A34" w:rsidRPr="00714742" w:rsidRDefault="00DA7A34" w:rsidP="00D93F83">
            <w:pPr>
              <w:spacing w:after="40" w:line="200" w:lineRule="auto"/>
            </w:pPr>
            <w:r w:rsidRPr="00714742">
              <w:t>Attached specialization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E4E6E1" w14:textId="77777777" w:rsidR="00DA7A34" w:rsidRPr="00714742" w:rsidRDefault="00DA7A34" w:rsidP="00D93F83">
            <w:pPr>
              <w:spacing w:after="40" w:line="200" w:lineRule="auto"/>
            </w:pPr>
            <w:r w:rsidRPr="00714742">
              <w:t>Food production emphasis</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7A2246" w14:textId="77777777" w:rsidR="00DA7A34" w:rsidRPr="00714742" w:rsidRDefault="00DA7A34" w:rsidP="00D93F83">
            <w:pPr>
              <w:spacing w:after="40" w:line="200" w:lineRule="auto"/>
            </w:pPr>
            <w:r w:rsidRPr="00714742">
              <w:t>Network: Specialized production zones segregated and controlled (high Control, low Integration); access restricted.</w:t>
            </w:r>
          </w:p>
          <w:p w14:paraId="3B81BDC8" w14:textId="77777777" w:rsidR="00DA7A34" w:rsidRPr="00714742" w:rsidRDefault="00DA7A34" w:rsidP="00D93F83">
            <w:pPr>
              <w:spacing w:after="40" w:line="200" w:lineRule="auto"/>
            </w:pPr>
            <w:r w:rsidRPr="00714742">
              <w:t>Corporate: Provisioning spaces evenly embedded across sectors; no access restriction.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5A8023" w14:textId="77777777" w:rsidR="00DA7A34" w:rsidRPr="00714742" w:rsidRDefault="00DA7A34" w:rsidP="00D93F83">
            <w:pPr>
              <w:spacing w:after="40" w:line="200" w:lineRule="auto"/>
            </w:pPr>
            <w:r w:rsidRPr="00714742">
              <w:t>Network: Production spaces in low-Integration, high-Control positions; accessed via restricted corridors.</w:t>
            </w:r>
          </w:p>
          <w:p w14:paraId="59F2C0CA" w14:textId="77777777" w:rsidR="00DA7A34" w:rsidRPr="00714742" w:rsidRDefault="00DA7A34" w:rsidP="00D93F83">
            <w:pPr>
              <w:spacing w:after="40" w:line="200" w:lineRule="auto"/>
            </w:pPr>
            <w:r w:rsidRPr="00714742">
              <w:t xml:space="preserve">Corporate: Production spaces embedded in routine circulation; no </w:t>
            </w:r>
            <w:r w:rsidRPr="00714742">
              <w:lastRenderedPageBreak/>
              <w:t>access restriction in Integration or step-depth profiles.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DAEBCF" w14:textId="77777777" w:rsidR="00DA7A34" w:rsidRPr="00714742" w:rsidRDefault="00DA7A34" w:rsidP="00D93F83">
            <w:pPr>
              <w:spacing w:after="40" w:line="200" w:lineRule="auto"/>
            </w:pPr>
            <w:r w:rsidRPr="00714742">
              <w:lastRenderedPageBreak/>
              <w:t xml:space="preserve">Integration/Control of production zones; Axial/Segment Integration; VGA zone classification (cf. Edwards 2013; Stockett 2005; </w:t>
            </w:r>
            <w:proofErr w:type="spellStart"/>
            <w:r w:rsidRPr="00714742">
              <w:t>Benech</w:t>
            </w:r>
            <w:proofErr w:type="spellEnd"/>
            <w:r w:rsidRPr="00714742">
              <w:t xml:space="preserve"> 2007)</w:t>
            </w:r>
          </w:p>
        </w:tc>
      </w:tr>
      <w:tr w:rsidR="00DA7A34" w:rsidRPr="00714742" w14:paraId="146D42A0"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376342" w14:textId="77777777" w:rsidR="00DA7A34" w:rsidRPr="00714742" w:rsidRDefault="00DA7A34" w:rsidP="00D93F83">
            <w:pPr>
              <w:spacing w:after="40" w:line="200" w:lineRule="auto"/>
            </w:pPr>
            <w:r w:rsidRPr="00714742">
              <w:t>Finance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E7C1DB" w14:textId="77777777" w:rsidR="00DA7A34" w:rsidRPr="00714742" w:rsidRDefault="00DA7A34" w:rsidP="00D93F83">
            <w:pPr>
              <w:spacing w:after="40" w:line="200" w:lineRule="auto"/>
            </w:pPr>
            <w:r w:rsidRPr="00714742">
              <w:t>Wealth finance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04B12B" w14:textId="77777777" w:rsidR="00DA7A34" w:rsidRPr="00714742" w:rsidRDefault="00DA7A34" w:rsidP="00D93F83">
            <w:pPr>
              <w:spacing w:after="40" w:line="200" w:lineRule="auto"/>
            </w:pPr>
            <w:r w:rsidRPr="00714742">
              <w:t>Staple finance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0DAAD2" w14:textId="77777777" w:rsidR="00DA7A34" w:rsidRPr="00714742" w:rsidRDefault="00DA7A34" w:rsidP="00D93F83">
            <w:pPr>
              <w:spacing w:after="40" w:line="200" w:lineRule="auto"/>
            </w:pPr>
            <w:r w:rsidRPr="00714742">
              <w:t>Network: Centrality (Integration/Choice) concentrates at nodes of wealth-goods circulation.</w:t>
            </w:r>
          </w:p>
          <w:p w14:paraId="025EF8DC" w14:textId="77777777" w:rsidR="00DA7A34" w:rsidRPr="00714742" w:rsidRDefault="00DA7A34" w:rsidP="00D93F83">
            <w:pPr>
              <w:spacing w:after="40" w:line="200" w:lineRule="auto"/>
            </w:pPr>
            <w:r w:rsidRPr="00714742">
              <w:t>Corporate: Centrality aligns with provisioning and coordination nodes, not wealth-capture locations.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7DB6BD" w14:textId="77777777" w:rsidR="00DA7A34" w:rsidRPr="00714742" w:rsidRDefault="00DA7A34" w:rsidP="00D93F83">
            <w:pPr>
              <w:spacing w:after="40" w:line="200" w:lineRule="auto"/>
            </w:pPr>
            <w:r w:rsidRPr="00714742">
              <w:t>Network: Centrality-wealth coupling: high Integration/Choice coincides with prestige artifacts.</w:t>
            </w:r>
          </w:p>
          <w:p w14:paraId="41D82796" w14:textId="77777777" w:rsidR="00DA7A34" w:rsidRPr="00714742" w:rsidRDefault="00DA7A34" w:rsidP="00D93F83">
            <w:pPr>
              <w:spacing w:after="40" w:line="200" w:lineRule="auto"/>
            </w:pPr>
            <w:r w:rsidRPr="00714742">
              <w:t>Corporate: Centrality-provisioning coupling: high Integration/Choice coincides with staple storage and processing artifacts.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737571" w14:textId="77777777" w:rsidR="00DA7A34" w:rsidRPr="00714742" w:rsidRDefault="00DA7A34" w:rsidP="00D93F83">
            <w:pPr>
              <w:spacing w:after="40" w:line="200" w:lineRule="auto"/>
            </w:pPr>
            <w:r w:rsidRPr="00714742">
              <w:t xml:space="preserve">Integration/Choice x artifact-class correlation (prestige vs. staple) (cf. Fisher 2009; Alpay 2022; van Nes &amp; </w:t>
            </w:r>
            <w:proofErr w:type="spellStart"/>
            <w:r w:rsidRPr="00714742">
              <w:t>Yamu</w:t>
            </w:r>
            <w:proofErr w:type="spellEnd"/>
            <w:r w:rsidRPr="00714742">
              <w:t xml:space="preserve"> 2021)</w:t>
            </w:r>
          </w:p>
        </w:tc>
      </w:tr>
      <w:tr w:rsidR="00DA7A34" w:rsidRPr="00714742" w14:paraId="50DE4EE3"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A1AE0C" w14:textId="77777777" w:rsidR="00DA7A34" w:rsidRPr="00714742" w:rsidRDefault="00DA7A34" w:rsidP="00D93F83">
            <w:pPr>
              <w:spacing w:after="40" w:line="200" w:lineRule="auto"/>
            </w:pPr>
            <w:r w:rsidRPr="00714742">
              <w:t>Mortuary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9EC57E" w14:textId="77777777" w:rsidR="00DA7A34" w:rsidRPr="00714742" w:rsidRDefault="00DA7A34" w:rsidP="00D93F83">
            <w:pPr>
              <w:spacing w:after="40" w:line="200" w:lineRule="auto"/>
            </w:pPr>
            <w:r w:rsidRPr="00714742">
              <w:t>Princely burials; high wealth concentration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50B6962" w14:textId="77777777" w:rsidR="00DA7A34" w:rsidRPr="00714742" w:rsidRDefault="00DA7A34" w:rsidP="00D93F83">
            <w:pPr>
              <w:spacing w:after="40" w:line="200" w:lineRule="auto"/>
            </w:pPr>
            <w:r w:rsidRPr="00714742">
              <w:t>Uniform burials; low wealth concentration</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D6C30C" w14:textId="77777777" w:rsidR="00DA7A34" w:rsidRPr="00714742" w:rsidRDefault="00DA7A34" w:rsidP="00D93F83">
            <w:pPr>
              <w:spacing w:after="40" w:line="200" w:lineRule="auto"/>
            </w:pPr>
            <w:r w:rsidRPr="00714742">
              <w:t>Network: Elite burials in high-Control, low-Integration positions; mortuary zones restricted and gatekept.</w:t>
            </w:r>
          </w:p>
          <w:p w14:paraId="37057329" w14:textId="77777777" w:rsidR="00DA7A34" w:rsidRPr="00714742" w:rsidRDefault="00DA7A34" w:rsidP="00D93F83">
            <w:pPr>
              <w:spacing w:after="40" w:line="200" w:lineRule="auto"/>
            </w:pPr>
            <w:r w:rsidRPr="00714742">
              <w:t>Corporate: Burials spatially uniform; no privileged mortuary precinct; access open.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1FB087" w14:textId="77777777" w:rsidR="00DA7A34" w:rsidRPr="00714742" w:rsidRDefault="00DA7A34" w:rsidP="00D93F83">
            <w:pPr>
              <w:spacing w:after="40" w:line="200" w:lineRule="auto"/>
            </w:pPr>
            <w:r w:rsidRPr="00714742">
              <w:t>Network: Grave goods unequal (high Gini/CV); prestige items concentrate in few burials.</w:t>
            </w:r>
          </w:p>
          <w:p w14:paraId="45C41391" w14:textId="77777777" w:rsidR="00DA7A34" w:rsidRPr="00714742" w:rsidRDefault="00DA7A34" w:rsidP="00D93F83">
            <w:pPr>
              <w:spacing w:after="40" w:line="200" w:lineRule="auto"/>
            </w:pPr>
            <w:r w:rsidRPr="00714742">
              <w:t>Corporate: Grave goods even (low Gini/CV); prestige items rare or evenly spread.</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2F8A6E" w14:textId="77777777" w:rsidR="00DA7A34" w:rsidRPr="00714742" w:rsidRDefault="00DA7A34" w:rsidP="00D93F83">
            <w:pPr>
              <w:spacing w:after="40" w:line="200" w:lineRule="auto"/>
            </w:pPr>
            <w:r w:rsidRPr="00714742">
              <w:t>Control/Integration of mortuary zones; grave-good Gini/CV; settlement-level SS values linked interpretively to grave-good distribution (cf. Chapman 1990)</w:t>
            </w:r>
          </w:p>
        </w:tc>
      </w:tr>
      <w:tr w:rsidR="00DA7A34" w:rsidRPr="00714742" w14:paraId="66BD1039"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854BC1" w14:textId="77777777" w:rsidR="00DA7A34" w:rsidRPr="00714742" w:rsidRDefault="00DA7A34" w:rsidP="00D93F83">
            <w:pPr>
              <w:spacing w:after="40" w:line="200" w:lineRule="auto"/>
            </w:pPr>
            <w:r w:rsidRPr="00714742">
              <w:t>Ritual architecture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B81D87" w14:textId="77777777" w:rsidR="00DA7A34" w:rsidRPr="00714742" w:rsidRDefault="00DA7A34" w:rsidP="00D93F83">
            <w:pPr>
              <w:spacing w:after="40" w:line="200" w:lineRule="auto"/>
            </w:pPr>
            <w:r w:rsidRPr="00714742">
              <w:t>Exclusive, closed, small-capacity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51ABF9" w14:textId="77777777" w:rsidR="00DA7A34" w:rsidRPr="00714742" w:rsidRDefault="00DA7A34" w:rsidP="00D93F83">
            <w:pPr>
              <w:spacing w:after="40" w:line="200" w:lineRule="auto"/>
            </w:pPr>
            <w:r w:rsidRPr="00714742">
              <w:t>Inclusive, open, large-capacity</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D3F2076" w14:textId="77777777" w:rsidR="00DA7A34" w:rsidRPr="00714742" w:rsidRDefault="00DA7A34" w:rsidP="00D93F83">
            <w:pPr>
              <w:spacing w:after="40" w:line="200" w:lineRule="auto"/>
            </w:pPr>
            <w:r w:rsidRPr="00714742">
              <w:t>Network: Ritual spaces in low-Integration, high-Control positions; small capacity; access selective and gatekept.</w:t>
            </w:r>
          </w:p>
          <w:p w14:paraId="19CD20C4" w14:textId="77777777" w:rsidR="00DA7A34" w:rsidRPr="00714742" w:rsidRDefault="00DA7A34" w:rsidP="00D93F83">
            <w:pPr>
              <w:spacing w:after="40" w:line="200" w:lineRule="auto"/>
            </w:pPr>
            <w:r w:rsidRPr="00714742">
              <w:t>Corporate: Ritual spaces in high-Integration positions; large capacity; embedded in settlement-wide circulation.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6EC722" w14:textId="77777777" w:rsidR="00DA7A34" w:rsidRPr="00714742" w:rsidRDefault="00DA7A34" w:rsidP="00D93F83">
            <w:pPr>
              <w:spacing w:after="40" w:line="200" w:lineRule="auto"/>
            </w:pPr>
            <w:r w:rsidRPr="00714742">
              <w:t>Network: VGA and Integration dissociate: ritual loci visually prominent but not topologically reachable.</w:t>
            </w:r>
          </w:p>
          <w:p w14:paraId="4DDA4B94" w14:textId="77777777" w:rsidR="00DA7A34" w:rsidRPr="00714742" w:rsidRDefault="00DA7A34" w:rsidP="00D93F83">
            <w:pPr>
              <w:spacing w:after="40" w:line="200" w:lineRule="auto"/>
            </w:pPr>
            <w:r w:rsidRPr="00714742">
              <w:t>Corporate: VGA and Integration align at ritual nodes; ritual space both visually prominent and physically accessible.</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9239B7" w14:textId="77777777" w:rsidR="00DA7A34" w:rsidRPr="00714742" w:rsidRDefault="00DA7A34" w:rsidP="00D93F83">
            <w:pPr>
              <w:spacing w:after="40" w:line="200" w:lineRule="auto"/>
            </w:pPr>
            <w:r w:rsidRPr="00714742">
              <w:t xml:space="preserve">Integration/Control of ritual spaces; VGA; capacity estimate; VGA x Integration alignment (cf. </w:t>
            </w:r>
            <w:proofErr w:type="spellStart"/>
            <w:r w:rsidRPr="00714742">
              <w:t>Chatford</w:t>
            </w:r>
            <w:proofErr w:type="spellEnd"/>
            <w:r w:rsidRPr="00714742">
              <w:t xml:space="preserve"> Clark 2007; Osborne &amp; Summers 2014; Moore 1996; Morton et al. 2012)</w:t>
            </w:r>
          </w:p>
        </w:tc>
      </w:tr>
      <w:tr w:rsidR="00DA7A34" w:rsidRPr="00714742" w14:paraId="2E2F945B"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244660" w14:textId="77777777" w:rsidR="00DA7A34" w:rsidRPr="00714742" w:rsidRDefault="00DA7A34" w:rsidP="00D93F83">
            <w:pPr>
              <w:spacing w:after="40" w:line="200" w:lineRule="auto"/>
            </w:pPr>
            <w:r w:rsidRPr="00714742">
              <w:lastRenderedPageBreak/>
              <w:t>Legitimation &amp; ideology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ACD1C0" w14:textId="77777777" w:rsidR="00DA7A34" w:rsidRPr="00714742" w:rsidRDefault="00DA7A34" w:rsidP="00D93F83">
            <w:pPr>
              <w:spacing w:after="40" w:line="200" w:lineRule="auto"/>
            </w:pPr>
            <w:r w:rsidRPr="00714742">
              <w:t>Personal glorification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F79CC7" w14:textId="77777777" w:rsidR="00DA7A34" w:rsidRPr="00714742" w:rsidRDefault="00DA7A34" w:rsidP="00D93F83">
            <w:pPr>
              <w:spacing w:after="40" w:line="200" w:lineRule="auto"/>
            </w:pPr>
            <w:r w:rsidRPr="00714742">
              <w:t>Group cohesion; community identity; symbols of office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6463299" w14:textId="77777777" w:rsidR="00DA7A34" w:rsidRPr="00714742" w:rsidRDefault="00DA7A34" w:rsidP="00D93F83">
            <w:pPr>
              <w:spacing w:after="40" w:line="200" w:lineRule="auto"/>
            </w:pPr>
            <w:r w:rsidRPr="00714742">
              <w:t>Network: Individual houses or precincts hold extreme structural advantage (high Choice/Control); privilege is household-linked.</w:t>
            </w:r>
          </w:p>
          <w:p w14:paraId="4E0FC2D1" w14:textId="77777777" w:rsidR="00DA7A34" w:rsidRPr="00714742" w:rsidRDefault="00DA7A34" w:rsidP="00D93F83">
            <w:pPr>
              <w:spacing w:after="40" w:line="200" w:lineRule="auto"/>
            </w:pPr>
            <w:r w:rsidRPr="00714742">
              <w:t>Corporate: Structural advantage tied to public nodes; no household dominates access.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B19E59" w14:textId="77777777" w:rsidR="00DA7A34" w:rsidRPr="00714742" w:rsidRDefault="00DA7A34" w:rsidP="00D93F83">
            <w:pPr>
              <w:spacing w:after="40" w:line="200" w:lineRule="auto"/>
            </w:pPr>
            <w:r w:rsidRPr="00714742">
              <w:t>Network: Specific residential precincts capture disproportionate passage frequency and Choice/Control.</w:t>
            </w:r>
          </w:p>
          <w:p w14:paraId="32148EAE" w14:textId="77777777" w:rsidR="00DA7A34" w:rsidRPr="00714742" w:rsidRDefault="00DA7A34" w:rsidP="00D93F83">
            <w:pPr>
              <w:spacing w:after="40" w:line="200" w:lineRule="auto"/>
            </w:pPr>
            <w:r w:rsidRPr="00714742">
              <w:t>Corporate: Passage frequency and centrality concentrate at public nodes; no household captures disproportionate through-movement.</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B27496" w14:textId="77777777" w:rsidR="00DA7A34" w:rsidRPr="00714742" w:rsidRDefault="00DA7A34" w:rsidP="00D93F83">
            <w:pPr>
              <w:spacing w:after="40" w:line="200" w:lineRule="auto"/>
            </w:pPr>
            <w:r w:rsidRPr="00714742">
              <w:t>Choice/Control per precinct; agent simulation (passage frequency) (cf. Turner &amp; Penn 2002; Fredrick &amp; Vennarucci 2021; Monroe 2010)</w:t>
            </w:r>
            <w:proofErr w:type="spellStart"/>
            <w:r w:rsidRPr="00714742"/>
            <w:proofErr w:type="spellEnd"/>
            <w:r w:rsidRPr="00714742"/>
          </w:p>
        </w:tc>
      </w:tr>
      <w:tr w:rsidR="00DA7A34" w:rsidRPr="00714742" w14:paraId="21570824"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5B362E" w14:textId="77777777" w:rsidR="00DA7A34" w:rsidRPr="00714742" w:rsidRDefault="00DA7A34" w:rsidP="00D93F83">
            <w:pPr>
              <w:spacing w:after="40" w:line="200" w:lineRule="auto"/>
            </w:pPr>
            <w:r w:rsidRPr="00714742">
              <w:t>Symbols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3A7BB9" w14:textId="77777777" w:rsidR="00DA7A34" w:rsidRPr="00714742" w:rsidRDefault="00DA7A34" w:rsidP="00D93F83">
            <w:pPr>
              <w:spacing w:after="40" w:line="200" w:lineRule="auto"/>
            </w:pPr>
            <w:r w:rsidRPr="00714742">
              <w:t>Elite adornment</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A9292B" w14:textId="77777777" w:rsidR="00DA7A34" w:rsidRPr="00714742" w:rsidRDefault="00DA7A34" w:rsidP="00D93F83">
            <w:pPr>
              <w:spacing w:after="40" w:line="200" w:lineRule="auto"/>
            </w:pPr>
            <w:r w:rsidRPr="00714742">
              <w:t>Symbols of office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9D42F8" w14:textId="77777777" w:rsidR="00DA7A34" w:rsidRPr="00714742" w:rsidRDefault="00DA7A34" w:rsidP="00D93F83">
            <w:pPr>
              <w:spacing w:after="40" w:line="200" w:lineRule="auto"/>
            </w:pPr>
            <w:r w:rsidRPr="00714742">
              <w:t>Network: Prestige display spaces: high VGA but low Integration and high Control; VGA and Integration dissociate.</w:t>
            </w:r>
          </w:p>
          <w:p w14:paraId="0E1EF099" w14:textId="77777777" w:rsidR="00DA7A34" w:rsidRPr="00714742" w:rsidRDefault="00DA7A34" w:rsidP="00D93F83">
            <w:pPr>
              <w:spacing w:after="40" w:line="200" w:lineRule="auto"/>
            </w:pPr>
            <w:r w:rsidRPr="00714742">
              <w:t>Corporate: Public office spaces: high VGA and high Integration; VGA and Integration align.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00E284" w14:textId="77777777" w:rsidR="00DA7A34" w:rsidRPr="00714742" w:rsidRDefault="00DA7A34" w:rsidP="00D93F83">
            <w:pPr>
              <w:spacing w:after="40" w:line="200" w:lineRule="auto"/>
            </w:pPr>
            <w:r w:rsidRPr="00714742">
              <w:t>Network: Display corridors gatekept; symbols seen from a distance but reached only through controlled routes.</w:t>
            </w:r>
          </w:p>
          <w:p w14:paraId="40FEBFFD" w14:textId="77777777" w:rsidR="00DA7A34" w:rsidRPr="00714742" w:rsidRDefault="00DA7A34" w:rsidP="00D93F83">
            <w:pPr>
              <w:spacing w:after="40" w:line="200" w:lineRule="auto"/>
            </w:pPr>
            <w:r w:rsidRPr="00714742">
              <w:t>Corporate: Shared communal nodes seen and reached by all residents; symbols embedded in public circulation.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18252E" w14:textId="77777777" w:rsidR="00DA7A34" w:rsidRPr="00714742" w:rsidRDefault="00DA7A34" w:rsidP="00D93F83">
            <w:pPr>
              <w:spacing w:after="40" w:line="200" w:lineRule="auto"/>
            </w:pPr>
            <w:r w:rsidRPr="00714742">
              <w:t xml:space="preserve">Control; VGA visual integration; Axial/Segment Choice (cf. Osborne &amp; Summers 2014; </w:t>
            </w:r>
            <w:proofErr w:type="spellStart"/>
            <w:r w:rsidRPr="00714742">
              <w:t>Chatford</w:t>
            </w:r>
            <w:proofErr w:type="spellEnd"/>
            <w:r w:rsidRPr="00714742">
              <w:t xml:space="preserve"> Clark 2007; </w:t>
            </w:r>
            <w:proofErr w:type="spellStart"/>
            <w:r w:rsidRPr="00714742">
              <w:t>Baumanova</w:t>
            </w:r>
            <w:proofErr w:type="spellEnd"/>
            <w:r w:rsidRPr="00714742">
              <w:t xml:space="preserve"> 2020)</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