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to refine Key Issues on knowledge representation and ontology interoperability</w:t>
      </w:r>
    </w:p>
    <w:p>
      <w:pPr>
        <w:pStyle w:val="Subtitle"/>
      </w:pPr>
      <w:r>
        <w:t>Supplement to existing Key Issue #1 and Key Issue #8 • English contribution text with drafting rationale</w:t>
      </w:r>
    </w:p>
    <w:tbl>
      <w:tblPr>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80" w:type="dxa"/>
              <w:start w:w="120" w:type="dxa"/>
              <w:bottom w:w="80" w:type="dxa"/>
              <w:end w:w="120" w:type="dxa"/>
            </w:tcMar>
            <w:vAlign w:val="center"/>
            <w:shd w:fill="F2F4F7"/>
          </w:tcPr>
          <w:p>
            <w:r>
              <w:rPr>
                <w:rFonts w:ascii="Arial" w:hAnsi="Arial"/>
                <w:b/>
                <w:color w:val="1F4D78"/>
                <w:sz w:val="18"/>
              </w:rPr>
              <w:t>Meeting</w:t>
            </w:r>
          </w:p>
        </w:tc>
        <w:tc>
          <w:tcPr>
            <w:tcW w:type="dxa" w:w="7860"/>
            <w:tcMar>
              <w:top w:w="80" w:type="dxa"/>
              <w:start w:w="120" w:type="dxa"/>
              <w:bottom w:w="80" w:type="dxa"/>
              <w:end w:w="120" w:type="dxa"/>
            </w:tcMar>
            <w:vAlign w:val="center"/>
          </w:tcPr>
          <w:p>
            <w:r>
              <w:rPr>
                <w:rFonts w:ascii="Arial" w:hAnsi="Arial"/>
                <w:color w:val="1F2937"/>
                <w:sz w:val="18"/>
              </w:rPr>
              <w:t>3GPP TSG-SA5 (post-SA5#168 working draft)</w:t>
            </w:r>
          </w:p>
        </w:tc>
      </w:tr>
      <w:tr>
        <w:tc>
          <w:tcPr>
            <w:tcW w:type="dxa" w:w="1500"/>
            <w:tcMar>
              <w:top w:w="80" w:type="dxa"/>
              <w:start w:w="120" w:type="dxa"/>
              <w:bottom w:w="80" w:type="dxa"/>
              <w:end w:w="120" w:type="dxa"/>
            </w:tcMar>
            <w:vAlign w:val="center"/>
            <w:shd w:fill="F2F4F7"/>
          </w:tcPr>
          <w:p>
            <w:r>
              <w:rPr>
                <w:rFonts w:ascii="Arial" w:hAnsi="Arial"/>
                <w:b/>
                <w:color w:val="1F4D78"/>
                <w:sz w:val="18"/>
              </w:rPr>
              <w:t>Work item</w:t>
            </w:r>
          </w:p>
        </w:tc>
        <w:tc>
          <w:tcPr>
            <w:tcW w:type="dxa" w:w="7860"/>
            <w:tcMar>
              <w:top w:w="80" w:type="dxa"/>
              <w:start w:w="120" w:type="dxa"/>
              <w:bottom w:w="80" w:type="dxa"/>
              <w:end w:w="120" w:type="dxa"/>
            </w:tcMar>
            <w:vAlign w:val="center"/>
          </w:tcPr>
          <w:p>
            <w:r>
              <w:rPr>
                <w:rFonts w:ascii="Arial" w:hAnsi="Arial"/>
                <w:color w:val="1F2937"/>
                <w:sz w:val="18"/>
              </w:rPr>
              <w:t>Study on 6G Management and Orchestration (FS_6G_OAM)</w:t>
            </w:r>
          </w:p>
        </w:tc>
      </w:tr>
      <w:tr>
        <w:tc>
          <w:tcPr>
            <w:tcW w:type="dxa" w:w="1500"/>
            <w:tcMar>
              <w:top w:w="80" w:type="dxa"/>
              <w:start w:w="120" w:type="dxa"/>
              <w:bottom w:w="80" w:type="dxa"/>
              <w:end w:w="120" w:type="dxa"/>
            </w:tcMar>
            <w:vAlign w:val="center"/>
            <w:shd w:fill="F2F4F7"/>
          </w:tcPr>
          <w:p>
            <w:r>
              <w:rPr>
                <w:rFonts w:ascii="Arial" w:hAnsi="Arial"/>
                <w:b/>
                <w:color w:val="1F4D78"/>
                <w:sz w:val="18"/>
              </w:rPr>
              <w:t>Spec / baseline</w:t>
            </w:r>
          </w:p>
        </w:tc>
        <w:tc>
          <w:tcPr>
            <w:tcW w:type="dxa" w:w="7860"/>
            <w:tcMar>
              <w:top w:w="80" w:type="dxa"/>
              <w:start w:w="120" w:type="dxa"/>
              <w:bottom w:w="80" w:type="dxa"/>
              <w:end w:w="120" w:type="dxa"/>
            </w:tcMar>
            <w:vAlign w:val="center"/>
          </w:tcPr>
          <w:p>
            <w:r>
              <w:rPr>
                <w:rFonts w:ascii="Arial" w:hAnsi="Arial"/>
                <w:color w:val="1F2937"/>
                <w:sz w:val="18"/>
              </w:rPr>
              <w:t>3GPP TR 32.801-01; SA5#168 approved KSM package</w:t>
            </w:r>
          </w:p>
        </w:tc>
      </w:tr>
      <w:tr>
        <w:tc>
          <w:tcPr>
            <w:tcW w:type="dxa" w:w="1500"/>
            <w:tcMar>
              <w:top w:w="80" w:type="dxa"/>
              <w:start w:w="120" w:type="dxa"/>
              <w:bottom w:w="80" w:type="dxa"/>
              <w:end w:w="120" w:type="dxa"/>
            </w:tcMar>
            <w:vAlign w:val="center"/>
            <w:shd w:fill="F2F4F7"/>
          </w:tcPr>
          <w:p>
            <w:r>
              <w:rPr>
                <w:rFonts w:ascii="Arial" w:hAnsi="Arial"/>
                <w:b/>
                <w:color w:val="1F4D78"/>
                <w:sz w:val="18"/>
              </w:rPr>
              <w:t>Document for</w:t>
            </w:r>
          </w:p>
        </w:tc>
        <w:tc>
          <w:tcPr>
            <w:tcW w:type="dxa" w:w="7860"/>
            <w:tcMar>
              <w:top w:w="80" w:type="dxa"/>
              <w:start w:w="120" w:type="dxa"/>
              <w:bottom w:w="80" w:type="dxa"/>
              <w:end w:w="120" w:type="dxa"/>
            </w:tcMar>
            <w:vAlign w:val="center"/>
          </w:tcPr>
          <w:p>
            <w:r>
              <w:rPr>
                <w:rFonts w:ascii="Arial" w:hAnsi="Arial"/>
                <w:color w:val="1F2937"/>
                <w:sz w:val="18"/>
              </w:rPr>
              <w:t>Discussion and further development</w:t>
            </w:r>
          </w:p>
        </w:tc>
      </w:tr>
      <w:tr>
        <w:tc>
          <w:tcPr>
            <w:tcW w:type="dxa" w:w="1500"/>
            <w:tcMar>
              <w:top w:w="80" w:type="dxa"/>
              <w:start w:w="120" w:type="dxa"/>
              <w:bottom w:w="80" w:type="dxa"/>
              <w:end w:w="120" w:type="dxa"/>
            </w:tcMar>
            <w:vAlign w:val="center"/>
            <w:shd w:fill="F2F4F7"/>
          </w:tcPr>
          <w:p>
            <w:r>
              <w:rPr>
                <w:rFonts w:ascii="Arial" w:hAnsi="Arial"/>
                <w:b/>
                <w:color w:val="1F4D78"/>
                <w:sz w:val="18"/>
              </w:rPr>
              <w:t>Source</w:t>
            </w:r>
          </w:p>
        </w:tc>
        <w:tc>
          <w:tcPr>
            <w:tcW w:type="dxa" w:w="7860"/>
            <w:tcMar>
              <w:top w:w="80" w:type="dxa"/>
              <w:start w:w="120" w:type="dxa"/>
              <w:bottom w:w="80" w:type="dxa"/>
              <w:end w:w="120" w:type="dxa"/>
            </w:tcMar>
            <w:vAlign w:val="center"/>
          </w:tcPr>
          <w:p>
            <w:r>
              <w:rPr>
                <w:rFonts w:ascii="Arial" w:hAnsi="Arial"/>
                <w:color w:val="1F2937"/>
                <w:sz w:val="18"/>
              </w:rPr>
              <w:t>Draft contribution</w:t>
            </w:r>
          </w:p>
        </w:tc>
      </w:tr>
    </w:tbl>
    <w:p/>
    <w:p>
      <w:pPr>
        <w:pStyle w:val="Heading1"/>
      </w:pPr>
      <w:r>
        <w:t>1  Recommendation</w:t>
      </w:r>
    </w:p>
    <w:p>
      <w:r>
        <w:rPr>
          <w:rFonts w:ascii="Arial" w:hAnsi="Arial"/>
          <w:i w:val="0"/>
          <w:color w:val="1F2937"/>
          <w:sz w:val="20"/>
        </w:rPr>
        <w:t>The proposed work should supplement the already approved Key Issue #1 and Key Issue #8. A separate new Key Issue is not recommended because SA5#168 has already established the correct split: Key Issue #1 addresses knowledge representation and management, while Key Issue #8 addresses ontology. The remaining questions are boundary and interoperability questions inside those two Key Issues.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trPr>
        <w:tc>
          <w:tcPr>
            <w:tcW w:type="dxa" w:w="2700"/>
            <w:tcMar>
              <w:top w:w="80" w:type="dxa"/>
              <w:start w:w="120" w:type="dxa"/>
              <w:bottom w:w="80" w:type="dxa"/>
              <w:end w:w="120" w:type="dxa"/>
            </w:tcMar>
            <w:vAlign w:val="center"/>
            <w:shd w:fill="1F4D78"/>
          </w:tcPr>
          <w:p>
            <w:r>
              <w:rPr>
                <w:rFonts w:ascii="Arial" w:hAnsi="Arial"/>
                <w:b/>
                <w:color w:val="FFFFFF"/>
                <w:sz w:val="18"/>
              </w:rPr>
              <w:t>Topic from the discussion</w:t>
            </w:r>
          </w:p>
        </w:tc>
        <w:tc>
          <w:tcPr>
            <w:tcW w:type="dxa" w:w="1900"/>
            <w:tcMar>
              <w:top w:w="80" w:type="dxa"/>
              <w:start w:w="120" w:type="dxa"/>
              <w:bottom w:w="80" w:type="dxa"/>
              <w:end w:w="120" w:type="dxa"/>
            </w:tcMar>
            <w:vAlign w:val="center"/>
            <w:shd w:fill="1F4D78"/>
          </w:tcPr>
          <w:p>
            <w:r>
              <w:rPr>
                <w:rFonts w:ascii="Arial" w:hAnsi="Arial"/>
                <w:b/>
                <w:color w:val="FFFFFF"/>
                <w:sz w:val="18"/>
              </w:rPr>
              <w:t>Best placement</w:t>
            </w:r>
          </w:p>
        </w:tc>
        <w:tc>
          <w:tcPr>
            <w:tcW w:type="dxa" w:w="4760"/>
            <w:tcMar>
              <w:top w:w="80" w:type="dxa"/>
              <w:start w:w="120" w:type="dxa"/>
              <w:bottom w:w="80" w:type="dxa"/>
              <w:end w:w="120" w:type="dxa"/>
            </w:tcMar>
            <w:vAlign w:val="center"/>
            <w:shd w:fill="1F4D78"/>
          </w:tcPr>
          <w:p>
            <w:r>
              <w:rPr>
                <w:rFonts w:ascii="Arial" w:hAnsi="Arial"/>
                <w:b/>
                <w:color w:val="FFFFFF"/>
                <w:sz w:val="18"/>
              </w:rPr>
              <w:t>Reason</w:t>
            </w:r>
          </w:p>
        </w:tc>
      </w:tr>
      <w:tr>
        <w:tc>
          <w:tcPr>
            <w:tcW w:type="dxa" w:w="2700"/>
          </w:tcPr>
          <w:p>
            <w:pPr>
              <w:spacing w:after="40"/>
            </w:pPr>
            <w:r>
              <w:rPr>
                <w:rFonts w:ascii="Arial" w:hAnsi="Arial"/>
                <w:color w:val="1F2937"/>
                <w:sz w:val="17"/>
              </w:rPr>
              <w:t>Knowledge may contain one or several statements; define its management granularity.</w:t>
            </w:r>
          </w:p>
        </w:tc>
        <w:tc>
          <w:tcPr>
            <w:tcW w:type="dxa" w:w="1900"/>
          </w:tcPr>
          <w:p>
            <w:pPr>
              <w:spacing w:after="40"/>
            </w:pPr>
            <w:r>
              <w:rPr>
                <w:rFonts w:ascii="Arial" w:hAnsi="Arial"/>
                <w:color w:val="1F2937"/>
                <w:sz w:val="17"/>
              </w:rPr>
              <w:t>KI #1</w:t>
            </w:r>
          </w:p>
        </w:tc>
        <w:tc>
          <w:tcPr>
            <w:tcW w:type="dxa" w:w="4760"/>
          </w:tcPr>
          <w:p>
            <w:pPr>
              <w:spacing w:after="40"/>
            </w:pPr>
            <w:r>
              <w:rPr>
                <w:rFonts w:ascii="Arial" w:hAnsi="Arial"/>
                <w:color w:val="1F2937"/>
                <w:sz w:val="17"/>
              </w:rPr>
              <w:t>This is an abstract information-model and operation-granularity question.</w:t>
            </w:r>
          </w:p>
        </w:tc>
      </w:tr>
      <w:tr>
        <w:tc>
          <w:tcPr>
            <w:tcW w:type="dxa" w:w="2700"/>
          </w:tcPr>
          <w:p>
            <w:pPr>
              <w:spacing w:after="40"/>
            </w:pPr>
            <w:r>
              <w:rPr>
                <w:rFonts w:ascii="Arial" w:hAnsi="Arial"/>
                <w:color w:val="1F2937"/>
                <w:sz w:val="17"/>
              </w:rPr>
              <w:t>Distinguish ontology definitions from knowledge assertions and descriptors.</w:t>
            </w:r>
          </w:p>
        </w:tc>
        <w:tc>
          <w:tcPr>
            <w:tcW w:type="dxa" w:w="1900"/>
          </w:tcPr>
          <w:p>
            <w:pPr>
              <w:spacing w:after="40"/>
            </w:pPr>
            <w:r>
              <w:rPr>
                <w:rFonts w:ascii="Arial" w:hAnsi="Arial"/>
                <w:color w:val="1F2937"/>
                <w:sz w:val="17"/>
              </w:rPr>
              <w:t>KI #1 + KI #8</w:t>
            </w:r>
          </w:p>
        </w:tc>
        <w:tc>
          <w:tcPr>
            <w:tcW w:type="dxa" w:w="4760"/>
          </w:tcPr>
          <w:p>
            <w:pPr>
              <w:spacing w:after="40"/>
            </w:pPr>
            <w:r>
              <w:rPr>
                <w:rFonts w:ascii="Arial" w:hAnsi="Arial"/>
                <w:color w:val="1F2937"/>
                <w:sz w:val="17"/>
              </w:rPr>
              <w:t>Both KIs need an explicit boundary so the same technology is not confused with the abstract role.</w:t>
            </w:r>
          </w:p>
        </w:tc>
      </w:tr>
      <w:tr>
        <w:tc>
          <w:tcPr>
            <w:tcW w:type="dxa" w:w="2700"/>
          </w:tcPr>
          <w:p>
            <w:pPr>
              <w:spacing w:after="40"/>
            </w:pPr>
            <w:r>
              <w:rPr>
                <w:rFonts w:ascii="Arial" w:hAnsi="Arial"/>
                <w:color w:val="1F2937"/>
                <w:sz w:val="17"/>
              </w:rPr>
              <w:t>OWL/RDFS/RDF/SHACL/JSON-LD selection and mapping.</w:t>
            </w:r>
          </w:p>
        </w:tc>
        <w:tc>
          <w:tcPr>
            <w:tcW w:type="dxa" w:w="1900"/>
          </w:tcPr>
          <w:p>
            <w:pPr>
              <w:spacing w:after="40"/>
            </w:pPr>
            <w:r>
              <w:rPr>
                <w:rFonts w:ascii="Arial" w:hAnsi="Arial"/>
                <w:color w:val="1F2937"/>
                <w:sz w:val="17"/>
              </w:rPr>
              <w:t>Solution</w:t>
            </w:r>
          </w:p>
        </w:tc>
        <w:tc>
          <w:tcPr>
            <w:tcW w:type="dxa" w:w="4760"/>
          </w:tcPr>
          <w:p>
            <w:pPr>
              <w:spacing w:after="40"/>
            </w:pPr>
            <w:r>
              <w:rPr>
                <w:rFonts w:ascii="Arial" w:hAnsi="Arial"/>
                <w:color w:val="1F2937"/>
                <w:sz w:val="17"/>
              </w:rPr>
              <w:t>These are candidate technology mappings, not open problem statements.</w:t>
            </w:r>
          </w:p>
        </w:tc>
      </w:tr>
      <w:tr>
        <w:tc>
          <w:tcPr>
            <w:tcW w:type="dxa" w:w="2700"/>
          </w:tcPr>
          <w:p>
            <w:pPr>
              <w:spacing w:after="40"/>
            </w:pPr>
            <w:r>
              <w:rPr>
                <w:rFonts w:ascii="Arial" w:hAnsi="Arial"/>
                <w:color w:val="1F2937"/>
                <w:sz w:val="17"/>
              </w:rPr>
              <w:t>Vendor/operator extensions and internal models.</w:t>
            </w:r>
          </w:p>
        </w:tc>
        <w:tc>
          <w:tcPr>
            <w:tcW w:type="dxa" w:w="1900"/>
          </w:tcPr>
          <w:p>
            <w:pPr>
              <w:spacing w:after="40"/>
            </w:pPr>
            <w:r>
              <w:rPr>
                <w:rFonts w:ascii="Arial" w:hAnsi="Arial"/>
                <w:color w:val="1F2937"/>
                <w:sz w:val="17"/>
              </w:rPr>
              <w:t>KI #8</w:t>
            </w:r>
          </w:p>
        </w:tc>
        <w:tc>
          <w:tcPr>
            <w:tcW w:type="dxa" w:w="4760"/>
          </w:tcPr>
          <w:p>
            <w:pPr>
              <w:spacing w:after="40"/>
            </w:pPr>
            <w:r>
              <w:rPr>
                <w:rFonts w:ascii="Arial" w:hAnsi="Arial"/>
                <w:color w:val="1F2937"/>
                <w:sz w:val="17"/>
              </w:rPr>
              <w:t>The KI should study external interoperability; purely internal representations remain implementation choices.</w:t>
            </w:r>
          </w:p>
        </w:tc>
      </w:tr>
      <w:tr>
        <w:tc>
          <w:tcPr>
            <w:tcW w:type="dxa" w:w="2700"/>
          </w:tcPr>
          <w:p>
            <w:pPr>
              <w:spacing w:after="40"/>
            </w:pPr>
            <w:r>
              <w:rPr>
                <w:rFonts w:ascii="Arial" w:hAnsi="Arial"/>
                <w:color w:val="1F2937"/>
                <w:sz w:val="17"/>
              </w:rPr>
              <w:t>Ontology reference, version compatibility, profile discovery and mappings.</w:t>
            </w:r>
          </w:p>
        </w:tc>
        <w:tc>
          <w:tcPr>
            <w:tcW w:type="dxa" w:w="1900"/>
          </w:tcPr>
          <w:p>
            <w:pPr>
              <w:spacing w:after="40"/>
            </w:pPr>
            <w:r>
              <w:rPr>
                <w:rFonts w:ascii="Arial" w:hAnsi="Arial"/>
                <w:color w:val="1F2937"/>
                <w:sz w:val="17"/>
              </w:rPr>
              <w:t>KI #8</w:t>
            </w:r>
          </w:p>
        </w:tc>
        <w:tc>
          <w:tcPr>
            <w:tcW w:type="dxa" w:w="4760"/>
          </w:tcPr>
          <w:p>
            <w:pPr>
              <w:spacing w:after="40"/>
            </w:pPr>
            <w:r>
              <w:rPr>
                <w:rFonts w:ascii="Arial" w:hAnsi="Arial"/>
                <w:color w:val="1F2937"/>
                <w:sz w:val="17"/>
              </w:rPr>
              <w:t>These determine whether exchanged knowledge is interpretable across vendors and releases.</w:t>
            </w:r>
          </w:p>
        </w:tc>
      </w:tr>
      <w:tr>
        <w:tc>
          <w:tcPr>
            <w:tcW w:type="dxa" w:w="2700"/>
          </w:tcPr>
          <w:p>
            <w:pPr>
              <w:spacing w:after="40"/>
            </w:pPr>
            <w:r>
              <w:rPr>
                <w:rFonts w:ascii="Arial" w:hAnsi="Arial"/>
                <w:color w:val="1F2937"/>
                <w:sz w:val="17"/>
              </w:rPr>
              <w:t>KnowledgeStatement / KnowledgeInstance / KnowledgePackage model.</w:t>
            </w:r>
          </w:p>
        </w:tc>
        <w:tc>
          <w:tcPr>
            <w:tcW w:type="dxa" w:w="1900"/>
          </w:tcPr>
          <w:p>
            <w:pPr>
              <w:spacing w:after="40"/>
            </w:pPr>
            <w:r>
              <w:rPr>
                <w:rFonts w:ascii="Arial" w:hAnsi="Arial"/>
                <w:color w:val="1F2937"/>
                <w:sz w:val="17"/>
              </w:rPr>
              <w:t>Solution</w:t>
            </w:r>
          </w:p>
        </w:tc>
        <w:tc>
          <w:tcPr>
            <w:tcW w:type="dxa" w:w="4760"/>
          </w:tcPr>
          <w:p>
            <w:pPr>
              <w:spacing w:after="40"/>
            </w:pPr>
            <w:r>
              <w:rPr>
                <w:rFonts w:ascii="Arial" w:hAnsi="Arial"/>
                <w:color w:val="1F2937"/>
                <w:sz w:val="17"/>
              </w:rPr>
              <w:t>This is a concrete answer to granularity, lifecycle and packaging questions.</w:t>
            </w:r>
          </w:p>
        </w:tc>
      </w:tr>
    </w:tbl>
    <w:p>
      <w:pPr>
        <w:pStyle w:val="Heading1"/>
      </w:pPr>
      <w:r>
        <w:t>2  Why the current approved text needs refinement</w:t>
      </w:r>
    </w:p>
    <w:p>
      <w:pPr>
        <w:pStyle w:val="ListBullet"/>
        <w:spacing w:after="60" w:line="259" w:lineRule="auto"/>
        <w:ind w:left="605" w:hanging="259"/>
      </w:pPr>
      <w:r>
        <w:rPr>
          <w:rFonts w:ascii="Arial" w:hAnsi="Arial"/>
          <w:color w:val="1F2937"/>
          <w:sz w:val="20"/>
        </w:rPr>
        <w:t>KSM2 defines a knowledge instance as an identifiable set of one or more knowledge portions, but it does not define the semantic boundary of that instance or how metadata applies when several assertions are grouped.</w:t>
      </w:r>
    </w:p>
    <w:p>
      <w:pPr>
        <w:pStyle w:val="ListBullet"/>
        <w:spacing w:after="60" w:line="259" w:lineRule="auto"/>
        <w:ind w:left="605" w:hanging="259"/>
      </w:pPr>
      <w:r>
        <w:rPr>
          <w:rFonts w:ascii="Arial" w:hAnsi="Arial"/>
          <w:color w:val="1F2937"/>
          <w:sz w:val="20"/>
        </w:rPr>
        <w:t>KSM3 says knowledge may be represented as a graph and proposes a Knowledge object, while KSM1 defines a baseline ontology. The boundary between the ontology artifact, knowledge content, the knowledge descriptor and the wire encoding is still implicit.</w:t>
      </w:r>
    </w:p>
    <w:p>
      <w:pPr>
        <w:pStyle w:val="ListBullet"/>
        <w:spacing w:after="60" w:line="259" w:lineRule="auto"/>
        <w:ind w:left="605" w:hanging="259"/>
      </w:pPr>
      <w:r>
        <w:rPr>
          <w:rFonts w:ascii="Arial" w:hAnsi="Arial"/>
          <w:color w:val="1F2937"/>
          <w:sz w:val="20"/>
        </w:rPr>
        <w:t>The approved ontology KI permits vendor/operator extensions, but interoperability behavior is not stated: a consumer needs to know whether it can interpret the baseline, an extension, or a mapping to the baseline.</w:t>
      </w:r>
    </w:p>
    <w:p>
      <w:pPr>
        <w:pStyle w:val="ListBullet"/>
        <w:spacing w:after="60" w:line="259" w:lineRule="auto"/>
        <w:ind w:left="605" w:hanging="259"/>
      </w:pPr>
      <w:r>
        <w:rPr>
          <w:rFonts w:ascii="Arial" w:hAnsi="Arial"/>
          <w:color w:val="1F2937"/>
          <w:sz w:val="20"/>
        </w:rPr>
        <w:t>The approved solution correctly leaves reasoning engines and internal encoding to implementation. The KI should preserve this boundary while studying externally visible identifiers, versions, profiles and mappings.</w:t>
      </w:r>
    </w:p>
    <w:p>
      <w:pPr>
        <w:pStyle w:val="Heading1"/>
      </w:pPr>
      <w:r>
        <w:t>3  Proposed Changes</w:t>
      </w:r>
    </w:p>
    <w:p>
      <w:r>
        <w:rPr>
          <w:rFonts w:ascii="Arial" w:hAnsi="Arial"/>
          <w:i w:val="0"/>
          <w:color w:val="1F2937"/>
          <w:sz w:val="20"/>
        </w:rPr>
        <w:t>The following text is intended for insertion into the existing clauses. Green text represents proposed additions. Clause and requirement identifiers are placeholders.</w:t>
      </w:r>
    </w:p>
    <w:p>
      <w:pPr>
        <w:pStyle w:val="Heading2"/>
      </w:pPr>
      <w:r>
        <w:t>3.1  Update Key Issue #1: Knowledge Representation and Management</w:t>
      </w:r>
    </w:p>
    <w:p>
      <w:pPr>
        <w:spacing w:after="60" w:line="250" w:lineRule="auto"/>
        <w:ind w:left="259" w:right="144"/>
      </w:pPr>
      <w:r>
        <w:rPr>
          <w:rFonts w:ascii="Arial" w:hAnsi="Arial"/>
          <w:i w:val="0"/>
          <w:color w:val="008000"/>
          <w:sz w:val="19"/>
        </w:rPr>
        <w:t>Add the following aspects to clause 7.2.1.1 after the existing aspects:</w:t>
      </w:r>
    </w:p>
    <w:p>
      <w:pPr>
        <w:spacing w:after="60" w:line="250" w:lineRule="auto"/>
        <w:ind w:left="259" w:right="144"/>
      </w:pPr>
      <w:r>
        <w:rPr>
          <w:rFonts w:ascii="Arial" w:hAnsi="Arial"/>
          <w:i w:val="0"/>
          <w:color w:val="008000"/>
          <w:sz w:val="19"/>
        </w:rPr>
        <w:t>How to distinguish the abstract knowledge representation model from a concrete representation technology or serialization.</w:t>
      </w:r>
    </w:p>
    <w:p>
      <w:pPr>
        <w:spacing w:after="60" w:line="250" w:lineRule="auto"/>
        <w:ind w:left="259" w:right="144"/>
      </w:pPr>
      <w:r>
        <w:rPr>
          <w:rFonts w:ascii="Arial" w:hAnsi="Arial"/>
          <w:i w:val="0"/>
          <w:color w:val="008000"/>
          <w:sz w:val="19"/>
        </w:rPr>
        <w:t>What constitutes the smallest knowledge assertion, and how one or more related assertions are grouped into a uniquely identifiable knowledge instance that can be exchanged, consumed and lifecycle-managed as a unit.</w:t>
      </w:r>
    </w:p>
    <w:p>
      <w:pPr>
        <w:spacing w:after="60" w:line="250" w:lineRule="auto"/>
        <w:ind w:left="259" w:right="144"/>
      </w:pPr>
      <w:r>
        <w:rPr>
          <w:rFonts w:ascii="Arial" w:hAnsi="Arial"/>
          <w:i w:val="0"/>
          <w:color w:val="008000"/>
          <w:sz w:val="19"/>
        </w:rPr>
        <w:t>Which information belongs to the knowledge content and which information belongs to a knowledge descriptor, including identity, applicable scope, validity time, provenance, confidence, ontology reference and version.</w:t>
      </w:r>
    </w:p>
    <w:p>
      <w:pPr>
        <w:spacing w:after="60" w:line="250" w:lineRule="auto"/>
        <w:ind w:left="259" w:right="144"/>
      </w:pPr>
      <w:r>
        <w:rPr>
          <w:rFonts w:ascii="Arial" w:hAnsi="Arial"/>
          <w:i w:val="0"/>
          <w:color w:val="008000"/>
          <w:sz w:val="19"/>
        </w:rPr>
        <w:t>How shared metadata applies to all assertions in a knowledge instance, and whether statement-specific metadata or exceptions are needed.</w:t>
      </w:r>
    </w:p>
    <w:p>
      <w:pPr>
        <w:spacing w:after="60" w:line="250" w:lineRule="auto"/>
        <w:ind w:left="259" w:right="144"/>
      </w:pPr>
      <w:r>
        <w:rPr>
          <w:rFonts w:ascii="Arial" w:hAnsi="Arial"/>
          <w:i w:val="0"/>
          <w:color w:val="008000"/>
          <w:sz w:val="19"/>
        </w:rPr>
        <w:t>How a knowledge instance can be partially retrieved or updated without losing semantic completeness, provenance or consistency.</w:t>
      </w:r>
    </w:p>
    <w:p>
      <w:pPr>
        <w:spacing w:after="60" w:line="250" w:lineRule="auto"/>
        <w:ind w:left="259" w:right="144"/>
      </w:pPr>
      <w:r>
        <w:rPr>
          <w:rFonts w:ascii="Arial" w:hAnsi="Arial"/>
          <w:i w:val="0"/>
          <w:color w:val="008000"/>
          <w:sz w:val="19"/>
        </w:rPr>
        <w:t>How the knowledge representation remains independent of the wire serialization and supports mapping to one or more solution sets.</w:t>
      </w:r>
    </w:p>
    <w:p>
      <w:pPr>
        <w:spacing w:after="60" w:line="250" w:lineRule="auto"/>
        <w:ind w:left="259" w:right="144"/>
      </w:pPr>
      <w:r>
        <w:rPr>
          <w:rFonts w:ascii="Arial" w:hAnsi="Arial"/>
          <w:i w:val="0"/>
          <w:color w:val="008000"/>
          <w:sz w:val="19"/>
        </w:rPr>
        <w:t>Add the following potential requirements to clause 7.2.1.2:</w:t>
      </w:r>
    </w:p>
    <w:p>
      <w:pPr>
        <w:spacing w:after="60" w:line="250" w:lineRule="auto"/>
        <w:ind w:left="259" w:right="144"/>
      </w:pPr>
      <w:r>
        <w:rPr>
          <w:rFonts w:ascii="Arial" w:hAnsi="Arial"/>
          <w:i w:val="0"/>
          <w:color w:val="008000"/>
          <w:sz w:val="19"/>
        </w:rPr>
        <w:t>PR-KNOWLEDGE-REPRESENTATION-y1: The 3GPP management system should support a technology-independent information model for knowledge exchanged through a knowledge MnS.</w:t>
      </w:r>
    </w:p>
    <w:p>
      <w:pPr>
        <w:spacing w:after="60" w:line="250" w:lineRule="auto"/>
        <w:ind w:left="259" w:right="144"/>
      </w:pPr>
      <w:r>
        <w:rPr>
          <w:rFonts w:ascii="Arial" w:hAnsi="Arial"/>
          <w:i w:val="0"/>
          <w:color w:val="008000"/>
          <w:sz w:val="19"/>
        </w:rPr>
        <w:t>PR-KNOWLEDGE-REPRESENTATION-y2: A knowledge instance should be uniquely identifiable and may contain one or more semantically related knowledge assertions that share an exchange and lifecycle boundary.</w:t>
      </w:r>
    </w:p>
    <w:p>
      <w:pPr>
        <w:spacing w:after="60" w:line="250" w:lineRule="auto"/>
        <w:ind w:left="259" w:right="144"/>
      </w:pPr>
      <w:r>
        <w:rPr>
          <w:rFonts w:ascii="Arial" w:hAnsi="Arial"/>
          <w:i w:val="0"/>
          <w:color w:val="008000"/>
          <w:sz w:val="19"/>
        </w:rPr>
        <w:t>PR-KNOWLEDGE-REPRESENTATION-y3: A knowledge instance should identify the ontology, ontology version or ontology profile used to interpret its content.</w:t>
      </w:r>
    </w:p>
    <w:p>
      <w:pPr>
        <w:spacing w:after="60" w:line="250" w:lineRule="auto"/>
        <w:ind w:left="259" w:right="144"/>
      </w:pPr>
      <w:r>
        <w:rPr>
          <w:rFonts w:ascii="Arial" w:hAnsi="Arial"/>
          <w:i w:val="0"/>
          <w:color w:val="008000"/>
          <w:sz w:val="19"/>
        </w:rPr>
        <w:t>PR-KNOWLEDGE-REPRESENTATION-y4: The 3GPP management system should support associating context, provenance, temporal validity and quality information with a knowledge instance.</w:t>
      </w:r>
    </w:p>
    <w:p>
      <w:pPr>
        <w:spacing w:after="60" w:line="250" w:lineRule="auto"/>
        <w:ind w:left="259" w:right="144"/>
      </w:pPr>
      <w:r>
        <w:rPr>
          <w:rFonts w:ascii="Arial" w:hAnsi="Arial"/>
          <w:i w:val="0"/>
          <w:color w:val="008000"/>
          <w:sz w:val="19"/>
        </w:rPr>
        <w:t>PR-KNOWLEDGE-REPRESENTATION-y5: The 3GPP management system should support knowledge representation independently of the concrete wire serialization.</w:t>
      </w:r>
    </w:p>
    <w:p>
      <w:pPr>
        <w:pStyle w:val="Heading2"/>
      </w:pPr>
      <w:r>
        <w:t>3.2  Update Key Issue #8: Ontology</w:t>
      </w:r>
    </w:p>
    <w:p>
      <w:pPr>
        <w:spacing w:after="60" w:line="250" w:lineRule="auto"/>
        <w:ind w:left="259" w:right="144"/>
      </w:pPr>
      <w:r>
        <w:rPr>
          <w:rFonts w:ascii="Arial" w:hAnsi="Arial"/>
          <w:i w:val="0"/>
          <w:color w:val="008000"/>
          <w:sz w:val="19"/>
        </w:rPr>
        <w:t>Add the following clarification after the introductory paragraph of clause 7.2.8.1:</w:t>
      </w:r>
    </w:p>
    <w:p>
      <w:pPr>
        <w:spacing w:after="60" w:line="250" w:lineRule="auto"/>
        <w:ind w:left="259" w:right="144"/>
      </w:pPr>
      <w:r>
        <w:rPr>
          <w:rFonts w:ascii="Arial" w:hAnsi="Arial"/>
          <w:i w:val="0"/>
          <w:color w:val="008000"/>
          <w:sz w:val="19"/>
        </w:rPr>
        <w:t>An ontology defines the shared concepts, relationships, constraints and semantic rules used to interpret knowledge. Knowledge representation defines how assertions about specific entities or situations are structured and exchanged. A concrete technology may support both roles; therefore, the role is determined by the abstract model element being represented, rather than by the technology name.</w:t>
      </w:r>
    </w:p>
    <w:p>
      <w:pPr>
        <w:spacing w:after="60" w:line="250" w:lineRule="auto"/>
        <w:ind w:left="259" w:right="144"/>
      </w:pPr>
      <w:r>
        <w:rPr>
          <w:rFonts w:ascii="Arial" w:hAnsi="Arial"/>
          <w:i w:val="0"/>
          <w:color w:val="008000"/>
          <w:sz w:val="19"/>
        </w:rPr>
        <w:t>Add the following aspects to the existing study list:</w:t>
      </w:r>
    </w:p>
    <w:p>
      <w:pPr>
        <w:spacing w:after="60" w:line="250" w:lineRule="auto"/>
        <w:ind w:left="259" w:right="144"/>
      </w:pPr>
      <w:r>
        <w:rPr>
          <w:rFonts w:ascii="Arial" w:hAnsi="Arial"/>
          <w:i w:val="0"/>
          <w:color w:val="008000"/>
          <w:sz w:val="19"/>
        </w:rPr>
        <w:t>How an ontology is uniquely identified, versioned, profiled, discovered and referenced by a knowledge instance.</w:t>
      </w:r>
    </w:p>
    <w:p>
      <w:pPr>
        <w:spacing w:after="60" w:line="250" w:lineRule="auto"/>
        <w:ind w:left="259" w:right="144"/>
      </w:pPr>
      <w:r>
        <w:rPr>
          <w:rFonts w:ascii="Arial" w:hAnsi="Arial"/>
          <w:i w:val="0"/>
          <w:color w:val="008000"/>
          <w:sz w:val="19"/>
        </w:rPr>
        <w:t>How compatibility between ontology versions and profiles is expressed, including mappings, deprecation and replacement of ontology elements.</w:t>
      </w:r>
    </w:p>
    <w:p>
      <w:pPr>
        <w:spacing w:after="60" w:line="250" w:lineRule="auto"/>
        <w:ind w:left="259" w:right="144"/>
      </w:pPr>
      <w:r>
        <w:rPr>
          <w:rFonts w:ascii="Arial" w:hAnsi="Arial"/>
          <w:i w:val="0"/>
          <w:color w:val="008000"/>
          <w:sz w:val="19"/>
        </w:rPr>
        <w:t>How a standardized baseline ontology can be extended by vendors or operators while preserving interpretation of the standardized subset.</w:t>
      </w:r>
    </w:p>
    <w:p>
      <w:pPr>
        <w:spacing w:after="60" w:line="250" w:lineRule="auto"/>
        <w:ind w:left="259" w:right="144"/>
      </w:pPr>
      <w:r>
        <w:rPr>
          <w:rFonts w:ascii="Arial" w:hAnsi="Arial"/>
          <w:i w:val="0"/>
          <w:color w:val="008000"/>
          <w:sz w:val="19"/>
        </w:rPr>
        <w:t>Which conformance and fallback behavior applies when a knowledge MnS consumer does not support an ontology extension or profile referenced by a knowledge instance.</w:t>
      </w:r>
    </w:p>
    <w:p>
      <w:pPr>
        <w:spacing w:after="60" w:line="250" w:lineRule="auto"/>
        <w:ind w:left="259" w:right="144"/>
      </w:pPr>
      <w:r>
        <w:rPr>
          <w:rFonts w:ascii="Arial" w:hAnsi="Arial"/>
          <w:i w:val="0"/>
          <w:color w:val="008000"/>
          <w:sz w:val="19"/>
        </w:rPr>
        <w:t>How an implementation-specific internal ontology or representation is mapped at the knowledge MnS boundary; no standardization of a purely internal model is required when it is not exposed.</w:t>
      </w:r>
    </w:p>
    <w:p>
      <w:pPr>
        <w:spacing w:after="60" w:line="250" w:lineRule="auto"/>
        <w:ind w:left="259" w:right="144"/>
      </w:pPr>
      <w:r>
        <w:rPr>
          <w:rFonts w:ascii="Arial" w:hAnsi="Arial"/>
          <w:i w:val="0"/>
          <w:color w:val="008000"/>
          <w:sz w:val="19"/>
        </w:rPr>
        <w:t>Add the following potential requirements to clause 7.2.8.2:</w:t>
      </w:r>
    </w:p>
    <w:p>
      <w:pPr>
        <w:spacing w:after="60" w:line="250" w:lineRule="auto"/>
        <w:ind w:left="259" w:right="144"/>
      </w:pPr>
      <w:r>
        <w:rPr>
          <w:rFonts w:ascii="Arial" w:hAnsi="Arial"/>
          <w:i w:val="0"/>
          <w:color w:val="008000"/>
          <w:sz w:val="19"/>
        </w:rPr>
        <w:t>REQ-ONT-y3: The 6G management system should support unique identification and versioning of ontologies and ontology profiles used for interoperable knowledge exchange.</w:t>
      </w:r>
    </w:p>
    <w:p>
      <w:pPr>
        <w:spacing w:after="60" w:line="250" w:lineRule="auto"/>
        <w:ind w:left="259" w:right="144"/>
      </w:pPr>
      <w:r>
        <w:rPr>
          <w:rFonts w:ascii="Arial" w:hAnsi="Arial"/>
          <w:i w:val="0"/>
          <w:color w:val="008000"/>
          <w:sz w:val="19"/>
        </w:rPr>
        <w:t>REQ-ONT-y4: The 6G management system should support a governed extension mechanism for vendor-specific and operator-specific ontology elements.</w:t>
      </w:r>
    </w:p>
    <w:p>
      <w:pPr>
        <w:spacing w:after="60" w:line="250" w:lineRule="auto"/>
        <w:ind w:left="259" w:right="144"/>
      </w:pPr>
      <w:r>
        <w:rPr>
          <w:rFonts w:ascii="Arial" w:hAnsi="Arial"/>
          <w:i w:val="0"/>
          <w:color w:val="008000"/>
          <w:sz w:val="19"/>
        </w:rPr>
        <w:t>REQ-ONT-y5: Knowledge using an ontology extension should identify the extension and its relationship or mapping to the standardized baseline, when such a mapping exists.</w:t>
      </w:r>
    </w:p>
    <w:p>
      <w:pPr>
        <w:spacing w:after="60" w:line="250" w:lineRule="auto"/>
        <w:ind w:left="259" w:right="144"/>
      </w:pPr>
      <w:r>
        <w:rPr>
          <w:rFonts w:ascii="Arial" w:hAnsi="Arial"/>
          <w:i w:val="0"/>
          <w:color w:val="008000"/>
          <w:sz w:val="19"/>
        </w:rPr>
        <w:t>REQ-ONT-y6: A knowledge MnS producer should enable an authorized knowledge MnS consumer to determine the ontology or ontology profile required to interpret provided knowledge.</w:t>
      </w:r>
    </w:p>
    <w:p>
      <w:pPr>
        <w:pStyle w:val="Heading1"/>
      </w:pPr>
      <w:r>
        <w:t>4  Scope guardrails</w:t>
      </w:r>
    </w:p>
    <w:p>
      <w:pPr>
        <w:pStyle w:val="ListBullet"/>
        <w:spacing w:after="60" w:line="259" w:lineRule="auto"/>
        <w:ind w:left="605" w:hanging="259"/>
      </w:pPr>
      <w:r>
        <w:rPr>
          <w:rFonts w:ascii="Arial" w:hAnsi="Arial"/>
          <w:color w:val="1F2937"/>
          <w:sz w:val="20"/>
        </w:rPr>
        <w:t>Do not mandate OWL, RDF or a graph database in the Key Issue text. Their use and precise mapping belong in a potential solution and later Solution Set work.</w:t>
      </w:r>
    </w:p>
    <w:p>
      <w:pPr>
        <w:pStyle w:val="ListBullet"/>
        <w:spacing w:after="60" w:line="259" w:lineRule="auto"/>
        <w:ind w:left="605" w:hanging="259"/>
      </w:pPr>
      <w:r>
        <w:rPr>
          <w:rFonts w:ascii="Arial" w:hAnsi="Arial"/>
          <w:color w:val="1F2937"/>
          <w:sz w:val="20"/>
        </w:rPr>
        <w:t>Do not require vendors to disclose internal ontologies, algorithms, thresholds, training data or reasoning engines.</w:t>
      </w:r>
    </w:p>
    <w:p>
      <w:pPr>
        <w:pStyle w:val="ListBullet"/>
        <w:spacing w:after="60" w:line="259" w:lineRule="auto"/>
        <w:ind w:left="605" w:hanging="259"/>
      </w:pPr>
      <w:r>
        <w:rPr>
          <w:rFonts w:ascii="Arial" w:hAnsi="Arial"/>
          <w:color w:val="1F2937"/>
          <w:sz w:val="20"/>
        </w:rPr>
        <w:t>Do standardize externally observable semantics when vendor-specific knowledge is exchanged across an interoperable interface.</w:t>
      </w:r>
    </w:p>
    <w:p>
      <w:pPr>
        <w:pStyle w:val="ListBullet"/>
        <w:spacing w:after="60" w:line="259" w:lineRule="auto"/>
        <w:ind w:left="605" w:hanging="259"/>
      </w:pPr>
      <w:r>
        <w:rPr>
          <w:rFonts w:ascii="Arial" w:hAnsi="Arial"/>
          <w:color w:val="1F2937"/>
          <w:sz w:val="20"/>
        </w:rPr>
        <w:t>Do not equate a knowledge graph with the complete knowledge representation model; rules, assertions, descriptors and packages may require distinct treatment.</w:t>
      </w:r>
    </w:p>
    <w:p>
      <w:pPr>
        <w:pStyle w:val="ListBullet"/>
        <w:spacing w:after="60" w:line="259" w:lineRule="auto"/>
        <w:ind w:left="605" w:hanging="259"/>
      </w:pPr>
      <w:r>
        <w:rPr>
          <w:rFonts w:ascii="Arial" w:hAnsi="Arial"/>
          <w:color w:val="1F2937"/>
          <w:sz w:val="20"/>
        </w:rPr>
        <w:t>Do not duplicate the approved KIs on validation, generation, conflict handling, knowledge health or lineage. Reference their metadata needs through the common descriptor.</w:t>
      </w:r>
    </w:p>
    <w:p>
      <w:pPr>
        <w:pStyle w:val="Heading1"/>
      </w:pPr>
      <w:r>
        <w:t>5  Expected outcome</w:t>
      </w:r>
    </w:p>
    <w:p>
      <w:r>
        <w:rPr>
          <w:rFonts w:ascii="Arial" w:hAnsi="Arial"/>
          <w:i w:val="0"/>
          <w:color w:val="1F2937"/>
          <w:sz w:val="20"/>
        </w:rPr>
        <w:t>The refinements give later solutions a clear target: an abstract, technology-independent knowledge model; explicit ontology binding; interoperable extension rules; and a clean division between standardized interface semantics and implementation-internal representation.</w:t>
      </w:r>
    </w:p>
    <w:p>
      <w:pPr>
        <w:pStyle w:val="Heading1"/>
      </w:pPr>
      <w:r>
        <w:t>Reference baseline used for this draft</w:t>
      </w:r>
    </w:p>
    <w:p>
      <w:pPr>
        <w:pStyle w:val="ListBullet"/>
        <w:spacing w:after="60" w:line="259" w:lineRule="auto"/>
        <w:ind w:left="605" w:hanging="259"/>
      </w:pPr>
      <w:r>
        <w:rPr>
          <w:rFonts w:ascii="Arial" w:hAnsi="Arial"/>
          <w:color w:val="1F2937"/>
          <w:sz w:val="20"/>
        </w:rPr>
        <w:t>S5-263545 d6, approved at SA5#168: Ontology KI update and Knowledge Ontology potential solution.</w:t>
      </w:r>
    </w:p>
    <w:p>
      <w:pPr>
        <w:pStyle w:val="ListBullet"/>
        <w:spacing w:after="60" w:line="259" w:lineRule="auto"/>
        <w:ind w:left="605" w:hanging="259"/>
      </w:pPr>
      <w:r>
        <w:rPr>
          <w:rFonts w:ascii="Arial" w:hAnsi="Arial"/>
          <w:color w:val="1F2937"/>
          <w:sz w:val="20"/>
        </w:rPr>
        <w:t>S5-263546 d7, approved at SA5#168: KI #1 updates and new KIs for knowledge health, validation, generation and conflict handling.</w:t>
      </w:r>
    </w:p>
    <w:p>
      <w:pPr>
        <w:pStyle w:val="ListBullet"/>
        <w:spacing w:after="60" w:line="259" w:lineRule="auto"/>
        <w:ind w:left="605" w:hanging="259"/>
      </w:pPr>
      <w:r>
        <w:rPr>
          <w:rFonts w:ascii="Arial" w:hAnsi="Arial"/>
          <w:color w:val="1F2937"/>
          <w:sz w:val="20"/>
        </w:rPr>
        <w:t>S5-263547 d10, approved at SA5#168: Knowledge architecture and representation potential solutions.</w:t>
      </w:r>
    </w:p>
    <w:p>
      <w:pPr>
        <w:pStyle w:val="ListBullet"/>
        <w:spacing w:after="60" w:line="259" w:lineRule="auto"/>
        <w:ind w:left="605" w:hanging="259"/>
      </w:pPr>
      <w:r>
        <w:rPr>
          <w:rFonts w:ascii="Arial" w:hAnsi="Arial"/>
          <w:color w:val="1F2937"/>
          <w:sz w:val="20"/>
        </w:rPr>
        <w:t>S5-262911 chair notes, 28 August 2026 15:30: KSM1/KSM2/KSM3 pre-approval and approval record.</w:t>
      </w:r>
    </w:p>
    <w:p>
      <w:pPr>
        <w:pStyle w:val="ListBullet"/>
        <w:spacing w:after="60" w:line="259" w:lineRule="auto"/>
        <w:ind w:left="605" w:hanging="259"/>
      </w:pPr>
      <w:r>
        <w:rPr>
          <w:rFonts w:ascii="Arial" w:hAnsi="Arial"/>
          <w:color w:val="1F2937"/>
          <w:sz w:val="20"/>
        </w:rPr>
        <w:t>W3C RDF 1.1 Concepts; W3C OWL 2 Structural Specification; W3C SHACL Recommendation (technical background only).</w:t>
      </w:r>
    </w:p>
    <w:p>
      <w:r>
        <w:rPr>
          <w:rFonts w:ascii="Arial" w:hAnsi="Arial"/>
          <w:i/>
          <w:color w:val="1F2937"/>
          <w:sz w:val="20"/>
        </w:rPr>
        <w:t>Drafting note: clause and requirement numbering remains placeholder text and should be aligned to the next available TR 32.801-01 baseline before submission.</w:t>
      </w:r>
    </w:p>
    <w:sectPr w:rsidR="00FC693F" w:rsidRPr="0006063C" w:rsidSect="00034616">
      <w:headerReference w:type="default" r:id="rId9"/>
      <w:footerReference w:type="default" r:id="rId10"/>
      <w:pgSz w:w="12240" w:h="15840"/>
      <w:pgMar w:top="1037"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6666"/>
        <w:sz w:val="17"/>
      </w:rPr>
      <w:t>3GPP SA5 • FS_6G_OAM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