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Potential Solution: layered knowledge representation and ontology binding</w:t>
      </w:r>
    </w:p>
    <w:p>
      <w:pPr>
        <w:pStyle w:val="Subtitle"/>
      </w:pPr>
      <w:r>
        <w:t>Solution for Key Issue #1 and Key Issue #8 • Candidate pCR text</w:t>
      </w:r>
    </w:p>
    <w:tbl>
      <w:tblPr>
        <w:tblW w:type="dxa" w:w="9360"/>
        <w:jc w:val="left"/>
        <w:tblLayout w:type="fixed"/>
        <w:tblLook w:firstColumn="1" w:firstRow="1" w:lastColumn="0" w:lastRow="0" w:noHBand="0" w:noVBand="1" w:val="04A0"/>
        <w:tblInd w:w="120" w:type="dxa"/>
      </w:tblPr>
      <w:tblGrid>
        <w:gridCol w:w="1500"/>
        <w:gridCol w:w="7860"/>
      </w:tblGrid>
      <w:tr>
        <w:trPr>
          <w:tblHeader w:val="true"/>
        </w:trPr>
        <w:tc>
          <w:tcPr>
            <w:tcW w:type="dxa" w:w="1500"/>
            <w:tcMar>
              <w:top w:w="80" w:type="dxa"/>
              <w:start w:w="120" w:type="dxa"/>
              <w:bottom w:w="80" w:type="dxa"/>
              <w:end w:w="120" w:type="dxa"/>
            </w:tcMar>
            <w:vAlign w:val="center"/>
            <w:shd w:fill="F2F4F7"/>
          </w:tcPr>
          <w:p>
            <w:r>
              <w:rPr>
                <w:rFonts w:ascii="Arial" w:hAnsi="Arial"/>
                <w:b/>
                <w:color w:val="1F4D78"/>
                <w:sz w:val="18"/>
              </w:rPr>
              <w:t>Meeting</w:t>
            </w:r>
          </w:p>
        </w:tc>
        <w:tc>
          <w:tcPr>
            <w:tcW w:type="dxa" w:w="7860"/>
            <w:tcMar>
              <w:top w:w="80" w:type="dxa"/>
              <w:start w:w="120" w:type="dxa"/>
              <w:bottom w:w="80" w:type="dxa"/>
              <w:end w:w="120" w:type="dxa"/>
            </w:tcMar>
            <w:vAlign w:val="center"/>
          </w:tcPr>
          <w:p>
            <w:r>
              <w:rPr>
                <w:rFonts w:ascii="Arial" w:hAnsi="Arial"/>
                <w:color w:val="1F2937"/>
                <w:sz w:val="18"/>
              </w:rPr>
              <w:t>3GPP TSG-SA5 (post-SA5#168 working draft)</w:t>
            </w:r>
          </w:p>
        </w:tc>
      </w:tr>
      <w:tr>
        <w:tc>
          <w:tcPr>
            <w:tcW w:type="dxa" w:w="1500"/>
            <w:tcMar>
              <w:top w:w="80" w:type="dxa"/>
              <w:start w:w="120" w:type="dxa"/>
              <w:bottom w:w="80" w:type="dxa"/>
              <w:end w:w="120" w:type="dxa"/>
            </w:tcMar>
            <w:vAlign w:val="center"/>
            <w:shd w:fill="F2F4F7"/>
          </w:tcPr>
          <w:p>
            <w:r>
              <w:rPr>
                <w:rFonts w:ascii="Arial" w:hAnsi="Arial"/>
                <w:b/>
                <w:color w:val="1F4D78"/>
                <w:sz w:val="18"/>
              </w:rPr>
              <w:t>Work item</w:t>
            </w:r>
          </w:p>
        </w:tc>
        <w:tc>
          <w:tcPr>
            <w:tcW w:type="dxa" w:w="7860"/>
            <w:tcMar>
              <w:top w:w="80" w:type="dxa"/>
              <w:start w:w="120" w:type="dxa"/>
              <w:bottom w:w="80" w:type="dxa"/>
              <w:end w:w="120" w:type="dxa"/>
            </w:tcMar>
            <w:vAlign w:val="center"/>
          </w:tcPr>
          <w:p>
            <w:r>
              <w:rPr>
                <w:rFonts w:ascii="Arial" w:hAnsi="Arial"/>
                <w:color w:val="1F2937"/>
                <w:sz w:val="18"/>
              </w:rPr>
              <w:t>Study on 6G Management and Orchestration (FS_6G_OAM)</w:t>
            </w:r>
          </w:p>
        </w:tc>
      </w:tr>
      <w:tr>
        <w:tc>
          <w:tcPr>
            <w:tcW w:type="dxa" w:w="1500"/>
            <w:tcMar>
              <w:top w:w="80" w:type="dxa"/>
              <w:start w:w="120" w:type="dxa"/>
              <w:bottom w:w="80" w:type="dxa"/>
              <w:end w:w="120" w:type="dxa"/>
            </w:tcMar>
            <w:vAlign w:val="center"/>
            <w:shd w:fill="F2F4F7"/>
          </w:tcPr>
          <w:p>
            <w:r>
              <w:rPr>
                <w:rFonts w:ascii="Arial" w:hAnsi="Arial"/>
                <w:b/>
                <w:color w:val="1F4D78"/>
                <w:sz w:val="18"/>
              </w:rPr>
              <w:t>Spec / baseline</w:t>
            </w:r>
          </w:p>
        </w:tc>
        <w:tc>
          <w:tcPr>
            <w:tcW w:type="dxa" w:w="7860"/>
            <w:tcMar>
              <w:top w:w="80" w:type="dxa"/>
              <w:start w:w="120" w:type="dxa"/>
              <w:bottom w:w="80" w:type="dxa"/>
              <w:end w:w="120" w:type="dxa"/>
            </w:tcMar>
            <w:vAlign w:val="center"/>
          </w:tcPr>
          <w:p>
            <w:r>
              <w:rPr>
                <w:rFonts w:ascii="Arial" w:hAnsi="Arial"/>
                <w:color w:val="1F2937"/>
                <w:sz w:val="18"/>
              </w:rPr>
              <w:t>3GPP TR 32.801-01; SA5#168 approved KSM package</w:t>
            </w:r>
          </w:p>
        </w:tc>
      </w:tr>
      <w:tr>
        <w:tc>
          <w:tcPr>
            <w:tcW w:type="dxa" w:w="1500"/>
            <w:tcMar>
              <w:top w:w="80" w:type="dxa"/>
              <w:start w:w="120" w:type="dxa"/>
              <w:bottom w:w="80" w:type="dxa"/>
              <w:end w:w="120" w:type="dxa"/>
            </w:tcMar>
            <w:vAlign w:val="center"/>
            <w:shd w:fill="F2F4F7"/>
          </w:tcPr>
          <w:p>
            <w:r>
              <w:rPr>
                <w:rFonts w:ascii="Arial" w:hAnsi="Arial"/>
                <w:b/>
                <w:color w:val="1F4D78"/>
                <w:sz w:val="18"/>
              </w:rPr>
              <w:t>Document for</w:t>
            </w:r>
          </w:p>
        </w:tc>
        <w:tc>
          <w:tcPr>
            <w:tcW w:type="dxa" w:w="7860"/>
            <w:tcMar>
              <w:top w:w="80" w:type="dxa"/>
              <w:start w:w="120" w:type="dxa"/>
              <w:bottom w:w="80" w:type="dxa"/>
              <w:end w:w="120" w:type="dxa"/>
            </w:tcMar>
            <w:vAlign w:val="center"/>
          </w:tcPr>
          <w:p>
            <w:r>
              <w:rPr>
                <w:rFonts w:ascii="Arial" w:hAnsi="Arial"/>
                <w:color w:val="1F2937"/>
                <w:sz w:val="18"/>
              </w:rPr>
              <w:t>Discussion and further development</w:t>
            </w:r>
          </w:p>
        </w:tc>
      </w:tr>
      <w:tr>
        <w:tc>
          <w:tcPr>
            <w:tcW w:type="dxa" w:w="1500"/>
            <w:tcMar>
              <w:top w:w="80" w:type="dxa"/>
              <w:start w:w="120" w:type="dxa"/>
              <w:bottom w:w="80" w:type="dxa"/>
              <w:end w:w="120" w:type="dxa"/>
            </w:tcMar>
            <w:vAlign w:val="center"/>
            <w:shd w:fill="F2F4F7"/>
          </w:tcPr>
          <w:p>
            <w:r>
              <w:rPr>
                <w:rFonts w:ascii="Arial" w:hAnsi="Arial"/>
                <w:b/>
                <w:color w:val="1F4D78"/>
                <w:sz w:val="18"/>
              </w:rPr>
              <w:t>Source</w:t>
            </w:r>
          </w:p>
        </w:tc>
        <w:tc>
          <w:tcPr>
            <w:tcW w:type="dxa" w:w="7860"/>
            <w:tcMar>
              <w:top w:w="80" w:type="dxa"/>
              <w:start w:w="120" w:type="dxa"/>
              <w:bottom w:w="80" w:type="dxa"/>
              <w:end w:w="120" w:type="dxa"/>
            </w:tcMar>
            <w:vAlign w:val="center"/>
          </w:tcPr>
          <w:p>
            <w:r>
              <w:rPr>
                <w:rFonts w:ascii="Arial" w:hAnsi="Arial"/>
                <w:color w:val="1F2937"/>
                <w:sz w:val="18"/>
              </w:rPr>
              <w:t>Draft contribution</w:t>
            </w:r>
          </w:p>
        </w:tc>
      </w:tr>
    </w:tbl>
    <w:p/>
    <w:p>
      <w:pPr>
        <w:pStyle w:val="Heading1"/>
      </w:pPr>
      <w:r>
        <w:t>1  Summary</w:t>
      </w:r>
    </w:p>
    <w:p>
      <w:r>
        <w:rPr>
          <w:rFonts w:ascii="Arial" w:hAnsi="Arial"/>
          <w:i w:val="0"/>
          <w:color w:val="1F2937"/>
          <w:sz w:val="20"/>
        </w:rPr>
        <w:t>This solution defines a technology-independent layered model for knowledge exchanged through a knowledge MnS. It separates ontology artifacts, knowledge assertions, manageable knowledge instances, descriptors and transport packages. It also defines how a knowledge instance binds to a baseline ontology or extension. Concrete semantic-web technologies are treated as candidate Solution Set mappings rather than as the Stage 2 information model itself.</w:t>
      </w:r>
    </w:p>
    <w:p>
      <w:pPr>
        <w:pStyle w:val="Heading1"/>
      </w:pPr>
      <w:r>
        <w:t>2  Proposed Changes</w:t>
      </w:r>
    </w:p>
    <w:p>
      <w:pPr>
        <w:spacing w:after="60" w:line="250" w:lineRule="auto"/>
        <w:ind w:left="259" w:right="144"/>
      </w:pPr>
      <w:r>
        <w:rPr>
          <w:rFonts w:ascii="Arial" w:hAnsi="Arial"/>
          <w:i w:val="0"/>
          <w:color w:val="008000"/>
          <w:sz w:val="19"/>
        </w:rPr>
        <w:t>Insert the following potential solution under clause 8.X Knowledge Management.</w:t>
      </w:r>
    </w:p>
    <w:p>
      <w:pPr>
        <w:pStyle w:val="Heading2"/>
      </w:pPr>
      <w:r>
        <w:t>8.X.a  Potential Solution #&lt;x&gt;: Layered knowledge representation and ontology binding</w:t>
      </w:r>
    </w:p>
    <w:p>
      <w:pPr>
        <w:pStyle w:val="Heading3"/>
      </w:pPr>
      <w:r>
        <w:t>8.X.a.1  Objective and principles</w:t>
      </w:r>
    </w:p>
    <w:p>
      <w:pPr>
        <w:keepNext/>
      </w:pPr>
      <w:r>
        <w:rPr>
          <w:rFonts w:ascii="Arial" w:hAnsi="Arial"/>
          <w:i w:val="0"/>
          <w:color w:val="1F2937"/>
          <w:sz w:val="20"/>
        </w:rPr>
        <w:t>This solution addresses Key Issue #1, Knowledge Representation and Management, and Key Issue #8, Ontology. It provides the following separation of concerns:</w:t>
      </w:r>
    </w:p>
    <w:p>
      <w:pPr>
        <w:spacing w:after="60" w:line="250" w:lineRule="auto"/>
        <w:ind w:left="259" w:right="144"/>
      </w:pPr>
      <w:r>
        <w:rPr>
          <w:rFonts w:ascii="Arial" w:hAnsi="Arial"/>
          <w:i w:val="0"/>
          <w:color w:val="008000"/>
          <w:sz w:val="19"/>
        </w:rPr>
        <w:t>The ontology layer defines the vocabulary and semantics that make knowledge interpretable.</w:t>
      </w:r>
    </w:p>
    <w:p>
      <w:pPr>
        <w:spacing w:after="60" w:line="250" w:lineRule="auto"/>
        <w:ind w:left="259" w:right="144"/>
      </w:pPr>
      <w:r>
        <w:rPr>
          <w:rFonts w:ascii="Arial" w:hAnsi="Arial"/>
          <w:i w:val="0"/>
          <w:color w:val="008000"/>
          <w:sz w:val="19"/>
        </w:rPr>
        <w:t>The knowledge-content layer carries assertions about specific entities, events, states, actions or relationships.</w:t>
      </w:r>
    </w:p>
    <w:p>
      <w:pPr>
        <w:spacing w:after="60" w:line="250" w:lineRule="auto"/>
        <w:ind w:left="259" w:right="144"/>
      </w:pPr>
      <w:r>
        <w:rPr>
          <w:rFonts w:ascii="Arial" w:hAnsi="Arial"/>
          <w:i w:val="0"/>
          <w:color w:val="008000"/>
          <w:sz w:val="19"/>
        </w:rPr>
        <w:t>The knowledge-descriptor layer carries identity, applicability, provenance, quality, temporal and governance information.</w:t>
      </w:r>
    </w:p>
    <w:p>
      <w:pPr>
        <w:spacing w:after="60" w:line="250" w:lineRule="auto"/>
        <w:ind w:left="259" w:right="144"/>
      </w:pPr>
      <w:r>
        <w:rPr>
          <w:rFonts w:ascii="Arial" w:hAnsi="Arial"/>
          <w:i w:val="0"/>
          <w:color w:val="008000"/>
          <w:sz w:val="19"/>
        </w:rPr>
        <w:t>The package layer groups one or more knowledge instances for transfer without changing their identity or lifecycle.</w:t>
      </w:r>
    </w:p>
    <w:p>
      <w:pPr>
        <w:spacing w:after="60" w:line="250" w:lineRule="auto"/>
        <w:ind w:left="259" w:right="144"/>
      </w:pPr>
      <w:r>
        <w:rPr>
          <w:rFonts w:ascii="Arial" w:hAnsi="Arial"/>
          <w:i w:val="0"/>
          <w:color w:val="008000"/>
          <w:sz w:val="19"/>
        </w:rPr>
        <w:t>The serialization layer maps the abstract model to a concrete syntax or protocol encoding.</w:t>
      </w:r>
    </w:p>
    <w:p>
      <w:pPr>
        <w:spacing w:after="60" w:line="250" w:lineRule="auto"/>
        <w:ind w:left="259" w:right="144"/>
      </w:pPr>
      <w:r>
        <w:rPr>
          <w:rFonts w:ascii="Arial" w:hAnsi="Arial"/>
          <w:i w:val="0"/>
          <w:color w:val="008000"/>
          <w:sz w:val="19"/>
        </w:rPr>
        <w:t>The standardized model applies at the knowledge MnS boundary. Internal storage, reasoning engines, generation algorithms and proprietary data structures remain implementation-specific.</w:t>
      </w:r>
    </w:p>
    <w:p>
      <w:r>
        <w:br w:type="page"/>
      </w:r>
    </w:p>
    <w:p>
      <w:pPr>
        <w:pStyle w:val="Heading3"/>
      </w:pPr>
      <w:r>
        <w:t>8.X.a.2  Abstract information model</w:t>
      </w:r>
    </w:p>
    <w:tbl>
      <w:tblPr>
        <w:tblStyle w:val="TableGrid"/>
        <w:tblW w:type="dxa" w:w="9360"/>
        <w:jc w:val="left"/>
        <w:tblLayout w:type="fixed"/>
        <w:tblLook w:firstColumn="1" w:firstRow="1" w:lastColumn="0" w:lastRow="0" w:noHBand="0" w:noVBand="1" w:val="04A0"/>
        <w:tblInd w:w="120" w:type="dxa"/>
      </w:tblPr>
      <w:tblGrid>
        <w:gridCol w:w="1420"/>
        <w:gridCol w:w="4700"/>
        <w:gridCol w:w="3240"/>
      </w:tblGrid>
      <w:tr>
        <w:trPr>
          <w:tblHeader w:val="true"/>
        </w:trPr>
        <w:tc>
          <w:tcPr>
            <w:tcW w:type="dxa" w:w="1420"/>
            <w:tcMar>
              <w:top w:w="80" w:type="dxa"/>
              <w:start w:w="120" w:type="dxa"/>
              <w:bottom w:w="80" w:type="dxa"/>
              <w:end w:w="120" w:type="dxa"/>
            </w:tcMar>
            <w:vAlign w:val="center"/>
            <w:shd w:fill="1F4D78"/>
          </w:tcPr>
          <w:p>
            <w:r>
              <w:rPr>
                <w:rFonts w:ascii="Arial" w:hAnsi="Arial"/>
                <w:b/>
                <w:color w:val="FFFFFF"/>
                <w:sz w:val="18"/>
              </w:rPr>
              <w:t>Model element</w:t>
            </w:r>
          </w:p>
        </w:tc>
        <w:tc>
          <w:tcPr>
            <w:tcW w:type="dxa" w:w="4700"/>
            <w:tcMar>
              <w:top w:w="80" w:type="dxa"/>
              <w:start w:w="120" w:type="dxa"/>
              <w:bottom w:w="80" w:type="dxa"/>
              <w:end w:w="120" w:type="dxa"/>
            </w:tcMar>
            <w:vAlign w:val="center"/>
            <w:shd w:fill="1F4D78"/>
          </w:tcPr>
          <w:p>
            <w:r>
              <w:rPr>
                <w:rFonts w:ascii="Arial" w:hAnsi="Arial"/>
                <w:b/>
                <w:color w:val="FFFFFF"/>
                <w:sz w:val="18"/>
              </w:rPr>
              <w:t>Semantics and boundary</w:t>
            </w:r>
          </w:p>
        </w:tc>
        <w:tc>
          <w:tcPr>
            <w:tcW w:type="dxa" w:w="3240"/>
            <w:tcMar>
              <w:top w:w="80" w:type="dxa"/>
              <w:start w:w="120" w:type="dxa"/>
              <w:bottom w:w="80" w:type="dxa"/>
              <w:end w:w="120" w:type="dxa"/>
            </w:tcMar>
            <w:vAlign w:val="center"/>
            <w:shd w:fill="1F4D78"/>
          </w:tcPr>
          <w:p>
            <w:r>
              <w:rPr>
                <w:rFonts w:ascii="Arial" w:hAnsi="Arial"/>
                <w:b/>
                <w:color w:val="FFFFFF"/>
                <w:sz w:val="18"/>
              </w:rPr>
              <w:t>Indicative attributes</w:t>
            </w:r>
          </w:p>
        </w:tc>
      </w:tr>
      <w:tr>
        <w:tc>
          <w:tcPr>
            <w:tcW w:type="dxa" w:w="1420"/>
          </w:tcPr>
          <w:p>
            <w:pPr>
              <w:spacing w:after="40"/>
            </w:pPr>
            <w:r>
              <w:rPr>
                <w:rFonts w:ascii="Arial" w:hAnsi="Arial"/>
                <w:color w:val="1F2937"/>
                <w:sz w:val="17"/>
              </w:rPr>
              <w:t>OntologyArtifact</w:t>
            </w:r>
          </w:p>
        </w:tc>
        <w:tc>
          <w:tcPr>
            <w:tcW w:type="dxa" w:w="4700"/>
          </w:tcPr>
          <w:p>
            <w:pPr>
              <w:spacing w:after="40"/>
            </w:pPr>
            <w:r>
              <w:rPr>
                <w:rFonts w:ascii="Arial" w:hAnsi="Arial"/>
                <w:color w:val="1F2937"/>
                <w:sz w:val="17"/>
              </w:rPr>
              <w:t>Versioned semantic definition used to interpret knowledge. It is not a knowledge instance about a specific network situation.</w:t>
            </w:r>
          </w:p>
        </w:tc>
        <w:tc>
          <w:tcPr>
            <w:tcW w:type="dxa" w:w="3240"/>
          </w:tcPr>
          <w:p>
            <w:pPr>
              <w:spacing w:after="40"/>
            </w:pPr>
            <w:r>
              <w:rPr>
                <w:rFonts w:ascii="Arial" w:hAnsi="Arial"/>
                <w:color w:val="1F2937"/>
                <w:sz w:val="17"/>
              </w:rPr>
              <w:t>ontologyId, version, namespace, imports, compatibility, status</w:t>
            </w:r>
          </w:p>
        </w:tc>
      </w:tr>
      <w:tr>
        <w:tc>
          <w:tcPr>
            <w:tcW w:type="dxa" w:w="1420"/>
          </w:tcPr>
          <w:p>
            <w:pPr>
              <w:spacing w:after="40"/>
            </w:pPr>
            <w:r>
              <w:rPr>
                <w:rFonts w:ascii="Arial" w:hAnsi="Arial"/>
                <w:color w:val="1F2937"/>
                <w:sz w:val="17"/>
              </w:rPr>
              <w:t>OntologyProfile</w:t>
            </w:r>
          </w:p>
        </w:tc>
        <w:tc>
          <w:tcPr>
            <w:tcW w:type="dxa" w:w="4700"/>
          </w:tcPr>
          <w:p>
            <w:pPr>
              <w:spacing w:after="40"/>
            </w:pPr>
            <w:r>
              <w:rPr>
                <w:rFonts w:ascii="Arial" w:hAnsi="Arial"/>
                <w:color w:val="1F2937"/>
                <w:sz w:val="17"/>
              </w:rPr>
              <w:t>Use-case or domain-specific selection of ontology elements and constraints.</w:t>
            </w:r>
          </w:p>
        </w:tc>
        <w:tc>
          <w:tcPr>
            <w:tcW w:type="dxa" w:w="3240"/>
          </w:tcPr>
          <w:p>
            <w:pPr>
              <w:spacing w:after="40"/>
            </w:pPr>
            <w:r>
              <w:rPr>
                <w:rFonts w:ascii="Arial" w:hAnsi="Arial"/>
                <w:color w:val="1F2937"/>
                <w:sz w:val="17"/>
              </w:rPr>
              <w:t>profileId, version, ontologyRefs, constraintRefs</w:t>
            </w:r>
          </w:p>
        </w:tc>
      </w:tr>
      <w:tr>
        <w:tc>
          <w:tcPr>
            <w:tcW w:type="dxa" w:w="1420"/>
          </w:tcPr>
          <w:p>
            <w:pPr>
              <w:spacing w:after="40"/>
            </w:pPr>
            <w:r>
              <w:rPr>
                <w:rFonts w:ascii="Arial" w:hAnsi="Arial"/>
                <w:color w:val="1F2937"/>
                <w:sz w:val="17"/>
              </w:rPr>
              <w:t>KnowledgeStatement</w:t>
            </w:r>
          </w:p>
        </w:tc>
        <w:tc>
          <w:tcPr>
            <w:tcW w:type="dxa" w:w="4700"/>
          </w:tcPr>
          <w:p>
            <w:pPr>
              <w:spacing w:after="40"/>
            </w:pPr>
            <w:r>
              <w:rPr>
                <w:rFonts w:ascii="Arial" w:hAnsi="Arial"/>
                <w:color w:val="1F2937"/>
                <w:sz w:val="17"/>
              </w:rPr>
              <w:t>Smallest addressable assertion in the abstract model. A statement may express a fact, typed relationship, rule premise/conclusion or qualified assertion.</w:t>
            </w:r>
          </w:p>
        </w:tc>
        <w:tc>
          <w:tcPr>
            <w:tcW w:type="dxa" w:w="3240"/>
          </w:tcPr>
          <w:p>
            <w:pPr>
              <w:spacing w:after="40"/>
            </w:pPr>
            <w:r>
              <w:rPr>
                <w:rFonts w:ascii="Arial" w:hAnsi="Arial"/>
                <w:color w:val="1F2937"/>
                <w:sz w:val="17"/>
              </w:rPr>
              <w:t>subject, predicate, object/value; optional statement metadata</w:t>
            </w:r>
          </w:p>
        </w:tc>
      </w:tr>
      <w:tr>
        <w:tc>
          <w:tcPr>
            <w:tcW w:type="dxa" w:w="1420"/>
          </w:tcPr>
          <w:p>
            <w:pPr>
              <w:spacing w:after="40"/>
            </w:pPr>
            <w:r>
              <w:rPr>
                <w:rFonts w:ascii="Arial" w:hAnsi="Arial"/>
                <w:color w:val="1F2937"/>
                <w:sz w:val="17"/>
              </w:rPr>
              <w:t>KnowledgeInstance</w:t>
            </w:r>
          </w:p>
        </w:tc>
        <w:tc>
          <w:tcPr>
            <w:tcW w:type="dxa" w:w="4700"/>
          </w:tcPr>
          <w:p>
            <w:pPr>
              <w:spacing w:after="40"/>
            </w:pPr>
            <w:r>
              <w:rPr>
                <w:rFonts w:ascii="Arial" w:hAnsi="Arial"/>
                <w:color w:val="1F2937"/>
                <w:sz w:val="17"/>
              </w:rPr>
              <w:t>Uniquely identifiable semantic and lifecycle unit containing one or more related statements plus a descriptor.</w:t>
            </w:r>
          </w:p>
        </w:tc>
        <w:tc>
          <w:tcPr>
            <w:tcW w:type="dxa" w:w="3240"/>
          </w:tcPr>
          <w:p>
            <w:pPr>
              <w:spacing w:after="40"/>
            </w:pPr>
            <w:r>
              <w:rPr>
                <w:rFonts w:ascii="Arial" w:hAnsi="Arial"/>
                <w:color w:val="1F2937"/>
                <w:sz w:val="17"/>
              </w:rPr>
              <w:t>knowledgeId, statements, descriptor</w:t>
            </w:r>
          </w:p>
        </w:tc>
      </w:tr>
      <w:tr>
        <w:tc>
          <w:tcPr>
            <w:tcW w:type="dxa" w:w="1420"/>
          </w:tcPr>
          <w:p>
            <w:pPr>
              <w:spacing w:after="40"/>
            </w:pPr>
            <w:r>
              <w:rPr>
                <w:rFonts w:ascii="Arial" w:hAnsi="Arial"/>
                <w:color w:val="1F2937"/>
                <w:sz w:val="17"/>
              </w:rPr>
              <w:t>KnowledgeDescriptor</w:t>
            </w:r>
          </w:p>
        </w:tc>
        <w:tc>
          <w:tcPr>
            <w:tcW w:type="dxa" w:w="4700"/>
          </w:tcPr>
          <w:p>
            <w:pPr>
              <w:spacing w:after="40"/>
            </w:pPr>
            <w:r>
              <w:rPr>
                <w:rFonts w:ascii="Arial" w:hAnsi="Arial"/>
                <w:color w:val="1F2937"/>
                <w:sz w:val="17"/>
              </w:rPr>
              <w:t>Metadata that applies to the knowledge instance as a whole unless explicitly qualified at statement level.</w:t>
            </w:r>
          </w:p>
        </w:tc>
        <w:tc>
          <w:tcPr>
            <w:tcW w:type="dxa" w:w="3240"/>
          </w:tcPr>
          <w:p>
            <w:pPr>
              <w:spacing w:after="40"/>
            </w:pPr>
            <w:r>
              <w:rPr>
                <w:rFonts w:ascii="Arial" w:hAnsi="Arial"/>
                <w:color w:val="1F2937"/>
                <w:sz w:val="17"/>
              </w:rPr>
              <w:t>scope, purpose, validTime, provenance, confidence, quality, ontologyBinding, accessPolicy, version</w:t>
            </w:r>
          </w:p>
        </w:tc>
      </w:tr>
      <w:tr>
        <w:tc>
          <w:tcPr>
            <w:tcW w:type="dxa" w:w="1420"/>
          </w:tcPr>
          <w:p>
            <w:pPr>
              <w:spacing w:after="40"/>
            </w:pPr>
            <w:r>
              <w:rPr>
                <w:rFonts w:ascii="Arial" w:hAnsi="Arial"/>
                <w:color w:val="1F2937"/>
                <w:sz w:val="17"/>
              </w:rPr>
              <w:t>KnowledgePackage</w:t>
            </w:r>
          </w:p>
        </w:tc>
        <w:tc>
          <w:tcPr>
            <w:tcW w:type="dxa" w:w="4700"/>
          </w:tcPr>
          <w:p>
            <w:pPr>
              <w:spacing w:after="40"/>
            </w:pPr>
            <w:r>
              <w:rPr>
                <w:rFonts w:ascii="Arial" w:hAnsi="Arial"/>
                <w:color w:val="1F2937"/>
                <w:sz w:val="17"/>
              </w:rPr>
              <w:t>Transfer container for one or more knowledge instances. Packaging does not merge identity, provenance or lifecycle.</w:t>
            </w:r>
          </w:p>
        </w:tc>
        <w:tc>
          <w:tcPr>
            <w:tcW w:type="dxa" w:w="3240"/>
          </w:tcPr>
          <w:p>
            <w:pPr>
              <w:spacing w:after="40"/>
            </w:pPr>
            <w:r>
              <w:rPr>
                <w:rFonts w:ascii="Arial" w:hAnsi="Arial"/>
                <w:color w:val="1F2937"/>
                <w:sz w:val="17"/>
              </w:rPr>
              <w:t>packageId, createdTime, instanceRefs/instances, integrity information</w:t>
            </w:r>
          </w:p>
        </w:tc>
      </w:tr>
      <w:tr>
        <w:tc>
          <w:tcPr>
            <w:tcW w:type="dxa" w:w="1420"/>
          </w:tcPr>
          <w:p>
            <w:pPr>
              <w:spacing w:after="40"/>
            </w:pPr>
            <w:r>
              <w:rPr>
                <w:rFonts w:ascii="Arial" w:hAnsi="Arial"/>
                <w:color w:val="1F2937"/>
                <w:sz w:val="17"/>
              </w:rPr>
              <w:t>OntologyMapping</w:t>
            </w:r>
          </w:p>
        </w:tc>
        <w:tc>
          <w:tcPr>
            <w:tcW w:type="dxa" w:w="4700"/>
          </w:tcPr>
          <w:p>
            <w:pPr>
              <w:spacing w:after="40"/>
            </w:pPr>
            <w:r>
              <w:rPr>
                <w:rFonts w:ascii="Arial" w:hAnsi="Arial"/>
                <w:color w:val="1F2937"/>
                <w:sz w:val="17"/>
              </w:rPr>
              <w:t>Machine-processable or declared relationship between ontology elements or versions.</w:t>
            </w:r>
          </w:p>
        </w:tc>
        <w:tc>
          <w:tcPr>
            <w:tcW w:type="dxa" w:w="3240"/>
          </w:tcPr>
          <w:p>
            <w:pPr>
              <w:spacing w:after="40"/>
            </w:pPr>
            <w:r>
              <w:rPr>
                <w:rFonts w:ascii="Arial" w:hAnsi="Arial"/>
                <w:color w:val="1F2937"/>
                <w:sz w:val="17"/>
              </w:rPr>
              <w:t>sourceRef, targetRef, mappingType, mappingVersion, lossInformation</w:t>
            </w:r>
          </w:p>
        </w:tc>
      </w:tr>
    </w:tbl>
    <w:p>
      <w:pPr>
        <w:pStyle w:val="Heading3"/>
      </w:pPr>
      <w:r>
        <w:t>8.X.a.3  Knowledge-instance composition rules</w:t>
      </w:r>
    </w:p>
    <w:p>
      <w:pPr>
        <w:spacing w:after="60" w:line="250" w:lineRule="auto"/>
        <w:ind w:left="259" w:right="144"/>
      </w:pPr>
      <w:r>
        <w:rPr>
          <w:rFonts w:ascii="Arial" w:hAnsi="Arial"/>
          <w:i w:val="0"/>
          <w:color w:val="008000"/>
          <w:sz w:val="19"/>
        </w:rPr>
        <w:t>A knowledge instance contains at least one KnowledgeStatement.</w:t>
      </w:r>
    </w:p>
    <w:p>
      <w:pPr>
        <w:spacing w:after="60" w:line="250" w:lineRule="auto"/>
        <w:ind w:left="259" w:right="144"/>
      </w:pPr>
      <w:r>
        <w:rPr>
          <w:rFonts w:ascii="Arial" w:hAnsi="Arial"/>
          <w:i w:val="0"/>
          <w:color w:val="008000"/>
          <w:sz w:val="19"/>
        </w:rPr>
        <w:t>Multiple statements belong to the same knowledge instance when they jointly express one coherent fact chain, causal explanation, rule or inference result and need to be exchanged or lifecycle-managed together.</w:t>
      </w:r>
    </w:p>
    <w:p>
      <w:pPr>
        <w:spacing w:after="60" w:line="250" w:lineRule="auto"/>
        <w:ind w:left="259" w:right="144"/>
      </w:pPr>
      <w:r>
        <w:rPr>
          <w:rFonts w:ascii="Arial" w:hAnsi="Arial"/>
          <w:i w:val="0"/>
          <w:color w:val="008000"/>
          <w:sz w:val="19"/>
        </w:rPr>
        <w:t>Statements with incompatible provenance, validity time, access policy or lifecycle should be represented in different knowledge instances unless statement-level qualification preserves the differences unambiguously.</w:t>
      </w:r>
    </w:p>
    <w:p>
      <w:pPr>
        <w:spacing w:after="60" w:line="250" w:lineRule="auto"/>
        <w:ind w:left="259" w:right="144"/>
      </w:pPr>
      <w:r>
        <w:rPr>
          <w:rFonts w:ascii="Arial" w:hAnsi="Arial"/>
          <w:i w:val="0"/>
          <w:color w:val="008000"/>
          <w:sz w:val="19"/>
        </w:rPr>
        <w:t>The descriptor applies to all statements in the instance by default. A statement-specific value, when supported, overrides only the corresponding descriptor property for that statement.</w:t>
      </w:r>
    </w:p>
    <w:p>
      <w:pPr>
        <w:spacing w:after="60" w:line="250" w:lineRule="auto"/>
        <w:ind w:left="259" w:right="144"/>
      </w:pPr>
      <w:r>
        <w:rPr>
          <w:rFonts w:ascii="Arial" w:hAnsi="Arial"/>
          <w:i w:val="0"/>
          <w:color w:val="008000"/>
          <w:sz w:val="19"/>
        </w:rPr>
        <w:t>Partial retrieval or update should identify the affected statements and preserve the validity of the remaining instance. A producer may reject a partial operation that would break a declared completeness or consistency constraint.</w:t>
      </w:r>
    </w:p>
    <w:p>
      <w:pPr>
        <w:spacing w:after="60" w:line="250" w:lineRule="auto"/>
        <w:ind w:left="259" w:right="144"/>
      </w:pPr>
      <w:r>
        <w:rPr>
          <w:rFonts w:ascii="Arial" w:hAnsi="Arial"/>
          <w:i w:val="0"/>
          <w:color w:val="008000"/>
          <w:sz w:val="19"/>
        </w:rPr>
        <w:t>A KnowledgePackage may carry several independent knowledge instances, but each instance retains its own identifier, descriptor, ontology binding and lifecycle state.</w:t>
      </w:r>
    </w:p>
    <w:p>
      <w:pPr>
        <w:pStyle w:val="Heading3"/>
      </w:pPr>
      <w:r>
        <w:t>8.X.a.4  Ontology binding</w:t>
      </w:r>
    </w:p>
    <w:p>
      <w:pPr>
        <w:keepNext/>
      </w:pPr>
      <w:r>
        <w:rPr>
          <w:rFonts w:ascii="Arial" w:hAnsi="Arial"/>
          <w:i w:val="0"/>
          <w:color w:val="1F2937"/>
          <w:sz w:val="20"/>
        </w:rPr>
        <w:t>Each knowledge instance shall carry an OntologyBinding that enables the consumer to interpret its statements. The binding includes:</w:t>
      </w:r>
    </w:p>
    <w:p>
      <w:pPr>
        <w:spacing w:after="60" w:line="250" w:lineRule="auto"/>
        <w:ind w:left="259" w:right="144"/>
      </w:pPr>
      <w:r>
        <w:rPr>
          <w:rFonts w:ascii="Arial" w:hAnsi="Arial"/>
          <w:i w:val="0"/>
          <w:color w:val="008000"/>
          <w:sz w:val="19"/>
        </w:rPr>
        <w:t>a reference to the baseline ontology or ontology profile;</w:t>
      </w:r>
    </w:p>
    <w:p>
      <w:pPr>
        <w:spacing w:after="60" w:line="250" w:lineRule="auto"/>
        <w:ind w:left="259" w:right="144"/>
      </w:pPr>
      <w:r>
        <w:rPr>
          <w:rFonts w:ascii="Arial" w:hAnsi="Arial"/>
          <w:i w:val="0"/>
          <w:color w:val="008000"/>
          <w:sz w:val="19"/>
        </w:rPr>
        <w:t>a version or compatible version range;</w:t>
      </w:r>
    </w:p>
    <w:p>
      <w:pPr>
        <w:spacing w:after="60" w:line="250" w:lineRule="auto"/>
        <w:ind w:left="259" w:right="144"/>
      </w:pPr>
      <w:r>
        <w:rPr>
          <w:rFonts w:ascii="Arial" w:hAnsi="Arial"/>
          <w:i w:val="0"/>
          <w:color w:val="008000"/>
          <w:sz w:val="19"/>
        </w:rPr>
        <w:t>any extension ontology references used by the content;</w:t>
      </w:r>
    </w:p>
    <w:p>
      <w:pPr>
        <w:spacing w:after="60" w:line="250" w:lineRule="auto"/>
        <w:ind w:left="259" w:right="144"/>
      </w:pPr>
      <w:r>
        <w:rPr>
          <w:rFonts w:ascii="Arial" w:hAnsi="Arial"/>
          <w:i w:val="0"/>
          <w:color w:val="008000"/>
          <w:sz w:val="19"/>
        </w:rPr>
        <w:t>an optional mapping reference to the standardized baseline;</w:t>
      </w:r>
    </w:p>
    <w:p>
      <w:pPr>
        <w:spacing w:after="60" w:line="250" w:lineRule="auto"/>
        <w:ind w:left="259" w:right="144"/>
      </w:pPr>
      <w:r>
        <w:rPr>
          <w:rFonts w:ascii="Arial" w:hAnsi="Arial"/>
          <w:i w:val="0"/>
          <w:color w:val="008000"/>
          <w:sz w:val="19"/>
        </w:rPr>
        <w:t>a declaration of the conformance mode.</w:t>
      </w:r>
    </w:p>
    <w:p>
      <w:pPr>
        <w:keepNext/>
      </w:pPr>
      <w:r>
        <w:rPr>
          <w:rFonts w:ascii="Arial" w:hAnsi="Arial"/>
          <w:i w:val="0"/>
          <w:color w:val="1F2937"/>
          <w:sz w:val="20"/>
        </w:rPr>
        <w:t>The following conformance modes are proposed:</w:t>
      </w:r>
    </w:p>
    <w:tbl>
      <w:tblPr>
        <w:tblStyle w:val="TableGrid"/>
        <w:tblW w:type="dxa" w:w="9360"/>
        <w:jc w:val="left"/>
        <w:tblLayout w:type="fixed"/>
        <w:tblLook w:firstColumn="1" w:firstRow="1" w:lastColumn="0" w:lastRow="0" w:noHBand="0" w:noVBand="1" w:val="04A0"/>
        <w:tblInd w:w="120" w:type="dxa"/>
      </w:tblPr>
      <w:tblGrid>
        <w:gridCol w:w="1900"/>
        <w:gridCol w:w="3730"/>
        <w:gridCol w:w="3730"/>
      </w:tblGrid>
      <w:tr>
        <w:trPr>
          <w:tblHeader w:val="true"/>
        </w:trPr>
        <w:tc>
          <w:tcPr>
            <w:tcW w:type="dxa" w:w="1900"/>
            <w:tcMar>
              <w:top w:w="80" w:type="dxa"/>
              <w:start w:w="120" w:type="dxa"/>
              <w:bottom w:w="80" w:type="dxa"/>
              <w:end w:w="120" w:type="dxa"/>
            </w:tcMar>
            <w:vAlign w:val="center"/>
            <w:shd w:fill="1F4D78"/>
          </w:tcPr>
          <w:p>
            <w:r>
              <w:rPr>
                <w:rFonts w:ascii="Arial" w:hAnsi="Arial"/>
                <w:b/>
                <w:color w:val="FFFFFF"/>
                <w:sz w:val="18"/>
              </w:rPr>
              <w:t>Mode</w:t>
            </w:r>
          </w:p>
        </w:tc>
        <w:tc>
          <w:tcPr>
            <w:tcW w:type="dxa" w:w="3730"/>
            <w:tcMar>
              <w:top w:w="80" w:type="dxa"/>
              <w:start w:w="120" w:type="dxa"/>
              <w:bottom w:w="80" w:type="dxa"/>
              <w:end w:w="120" w:type="dxa"/>
            </w:tcMar>
            <w:vAlign w:val="center"/>
            <w:shd w:fill="1F4D78"/>
          </w:tcPr>
          <w:p>
            <w:r>
              <w:rPr>
                <w:rFonts w:ascii="Arial" w:hAnsi="Arial"/>
                <w:b/>
                <w:color w:val="FFFFFF"/>
                <w:sz w:val="18"/>
              </w:rPr>
              <w:t>Producer behavior</w:t>
            </w:r>
          </w:p>
        </w:tc>
        <w:tc>
          <w:tcPr>
            <w:tcW w:type="dxa" w:w="3730"/>
            <w:tcMar>
              <w:top w:w="80" w:type="dxa"/>
              <w:start w:w="120" w:type="dxa"/>
              <w:bottom w:w="80" w:type="dxa"/>
              <w:end w:w="120" w:type="dxa"/>
            </w:tcMar>
            <w:vAlign w:val="center"/>
            <w:shd w:fill="1F4D78"/>
          </w:tcPr>
          <w:p>
            <w:r>
              <w:rPr>
                <w:rFonts w:ascii="Arial" w:hAnsi="Arial"/>
                <w:b/>
                <w:color w:val="FFFFFF"/>
                <w:sz w:val="18"/>
              </w:rPr>
              <w:t>Consumer expectation</w:t>
            </w:r>
          </w:p>
        </w:tc>
      </w:tr>
      <w:tr>
        <w:tc>
          <w:tcPr>
            <w:tcW w:type="dxa" w:w="1900"/>
          </w:tcPr>
          <w:p>
            <w:pPr>
              <w:spacing w:after="40"/>
            </w:pPr>
            <w:r>
              <w:rPr>
                <w:rFonts w:ascii="Arial" w:hAnsi="Arial"/>
                <w:color w:val="1F2937"/>
                <w:sz w:val="17"/>
              </w:rPr>
              <w:t>BASELINE</w:t>
            </w:r>
          </w:p>
        </w:tc>
        <w:tc>
          <w:tcPr>
            <w:tcW w:type="dxa" w:w="3730"/>
          </w:tcPr>
          <w:p>
            <w:pPr>
              <w:spacing w:after="40"/>
            </w:pPr>
            <w:r>
              <w:rPr>
                <w:rFonts w:ascii="Arial" w:hAnsi="Arial"/>
                <w:color w:val="1F2937"/>
                <w:sz w:val="17"/>
              </w:rPr>
              <w:t>Uses only standardized baseline terms.</w:t>
            </w:r>
          </w:p>
        </w:tc>
        <w:tc>
          <w:tcPr>
            <w:tcW w:type="dxa" w:w="3730"/>
          </w:tcPr>
          <w:p>
            <w:pPr>
              <w:spacing w:after="40"/>
            </w:pPr>
            <w:r>
              <w:rPr>
                <w:rFonts w:ascii="Arial" w:hAnsi="Arial"/>
                <w:color w:val="1F2937"/>
                <w:sz w:val="17"/>
              </w:rPr>
              <w:t>A baseline-conformant consumer can interpret the complete semantic content.</w:t>
            </w:r>
          </w:p>
        </w:tc>
      </w:tr>
      <w:tr>
        <w:tc>
          <w:tcPr>
            <w:tcW w:type="dxa" w:w="1900"/>
          </w:tcPr>
          <w:p>
            <w:pPr>
              <w:spacing w:after="40"/>
            </w:pPr>
            <w:r>
              <w:rPr>
                <w:rFonts w:ascii="Arial" w:hAnsi="Arial"/>
                <w:color w:val="1F2937"/>
                <w:sz w:val="17"/>
              </w:rPr>
              <w:t>BASELINE_PLUS_EXTENSION</w:t>
            </w:r>
          </w:p>
        </w:tc>
        <w:tc>
          <w:tcPr>
            <w:tcW w:type="dxa" w:w="3730"/>
          </w:tcPr>
          <w:p>
            <w:pPr>
              <w:spacing w:after="40"/>
            </w:pPr>
            <w:r>
              <w:rPr>
                <w:rFonts w:ascii="Arial" w:hAnsi="Arial"/>
                <w:color w:val="1F2937"/>
                <w:sz w:val="17"/>
              </w:rPr>
              <w:t>Uses baseline and declared vendor/operator extension terms.</w:t>
            </w:r>
          </w:p>
        </w:tc>
        <w:tc>
          <w:tcPr>
            <w:tcW w:type="dxa" w:w="3730"/>
          </w:tcPr>
          <w:p>
            <w:pPr>
              <w:spacing w:after="40"/>
            </w:pPr>
            <w:r>
              <w:rPr>
                <w:rFonts w:ascii="Arial" w:hAnsi="Arial"/>
                <w:color w:val="1F2937"/>
                <w:sz w:val="17"/>
              </w:rPr>
              <w:t>A consumer can interpret the baseline subset and may retrieve the extension or mapping for the remaining terms.</w:t>
            </w:r>
          </w:p>
        </w:tc>
      </w:tr>
      <w:tr>
        <w:tc>
          <w:tcPr>
            <w:tcW w:type="dxa" w:w="1900"/>
          </w:tcPr>
          <w:p>
            <w:pPr>
              <w:spacing w:after="40"/>
            </w:pPr>
            <w:r>
              <w:rPr>
                <w:rFonts w:ascii="Arial" w:hAnsi="Arial"/>
                <w:color w:val="1F2937"/>
                <w:sz w:val="17"/>
              </w:rPr>
              <w:t>MAPPED_TO_BASELINE</w:t>
            </w:r>
          </w:p>
        </w:tc>
        <w:tc>
          <w:tcPr>
            <w:tcW w:type="dxa" w:w="3730"/>
          </w:tcPr>
          <w:p>
            <w:pPr>
              <w:spacing w:after="40"/>
            </w:pPr>
            <w:r>
              <w:rPr>
                <w:rFonts w:ascii="Arial" w:hAnsi="Arial"/>
                <w:color w:val="1F2937"/>
                <w:sz w:val="17"/>
              </w:rPr>
              <w:t>Uses an internal or external ontology but provides a standardized-baseline view or mapping.</w:t>
            </w:r>
          </w:p>
        </w:tc>
        <w:tc>
          <w:tcPr>
            <w:tcW w:type="dxa" w:w="3730"/>
          </w:tcPr>
          <w:p>
            <w:pPr>
              <w:spacing w:after="40"/>
            </w:pPr>
            <w:r>
              <w:rPr>
                <w:rFonts w:ascii="Arial" w:hAnsi="Arial"/>
                <w:color w:val="1F2937"/>
                <w:sz w:val="17"/>
              </w:rPr>
              <w:t>The consumer receives the mapped baseline semantics; extension detail may be lost and should be indicated.</w:t>
            </w:r>
          </w:p>
        </w:tc>
      </w:tr>
      <w:tr>
        <w:tc>
          <w:tcPr>
            <w:tcW w:type="dxa" w:w="1900"/>
          </w:tcPr>
          <w:p>
            <w:pPr>
              <w:spacing w:after="40"/>
            </w:pPr>
            <w:r>
              <w:rPr>
                <w:rFonts w:ascii="Arial" w:hAnsi="Arial"/>
                <w:color w:val="1F2937"/>
                <w:sz w:val="17"/>
              </w:rPr>
              <w:t>PRIVATE_INTERNAL</w:t>
            </w:r>
          </w:p>
        </w:tc>
        <w:tc>
          <w:tcPr>
            <w:tcW w:type="dxa" w:w="3730"/>
          </w:tcPr>
          <w:p>
            <w:pPr>
              <w:spacing w:after="40"/>
            </w:pPr>
            <w:r>
              <w:rPr>
                <w:rFonts w:ascii="Arial" w:hAnsi="Arial"/>
                <w:color w:val="1F2937"/>
                <w:sz w:val="17"/>
              </w:rPr>
              <w:t>Used only inside an implementation and not exchanged as interoperable knowledge.</w:t>
            </w:r>
          </w:p>
        </w:tc>
        <w:tc>
          <w:tcPr>
            <w:tcW w:type="dxa" w:w="3730"/>
          </w:tcPr>
          <w:p>
            <w:pPr>
              <w:spacing w:after="40"/>
            </w:pPr>
            <w:r>
              <w:rPr>
                <w:rFonts w:ascii="Arial" w:hAnsi="Arial"/>
                <w:color w:val="1F2937"/>
                <w:sz w:val="17"/>
              </w:rPr>
              <w:t>Outside the scope of the standardized knowledge MnS.</w:t>
            </w:r>
          </w:p>
        </w:tc>
      </w:tr>
    </w:tbl>
    <w:p>
      <w:r>
        <w:rPr>
          <w:rFonts w:ascii="Arial" w:hAnsi="Arial"/>
          <w:i w:val="0"/>
          <w:color w:val="1F2937"/>
          <w:sz w:val="20"/>
        </w:rPr>
        <w:t>A vendor or operator is not required to standardize or disclose a purely internal ontology. When extension terms are exposed across the knowledge MnS, the producer identifies the extension and provides either its accessible semantic definition, a mapping to the baseline, or an explicit indication that the extension is not interpretable by baseline-only consumers.</w:t>
      </w:r>
    </w:p>
    <w:p>
      <w:pPr>
        <w:pStyle w:val="Heading3"/>
      </w:pPr>
      <w:r>
        <w:t>8.X.a.5  Candidate Solution Set mapping</w:t>
      </w:r>
    </w:p>
    <w:p>
      <w:r>
        <w:rPr>
          <w:rFonts w:ascii="Arial" w:hAnsi="Arial"/>
          <w:i w:val="0"/>
          <w:color w:val="1F2937"/>
          <w:sz w:val="20"/>
        </w:rPr>
        <w:t>The abstract model does not depend on a single technology. One candidate mapping based on existing W3C standards is shown below; other mappings may be studied if they preserve the same semantics.</w:t>
      </w:r>
    </w:p>
    <w:tbl>
      <w:tblPr>
        <w:tblStyle w:val="TableGrid"/>
        <w:tblW w:type="dxa" w:w="9360"/>
        <w:jc w:val="left"/>
        <w:tblLayout w:type="fixed"/>
        <w:tblLook w:firstColumn="1" w:firstRow="1" w:lastColumn="0" w:lastRow="0" w:noHBand="0" w:noVBand="1" w:val="04A0"/>
        <w:tblInd w:w="120" w:type="dxa"/>
      </w:tblPr>
      <w:tblGrid>
        <w:gridCol w:w="2050"/>
        <w:gridCol w:w="3600"/>
        <w:gridCol w:w="3710"/>
      </w:tblGrid>
      <w:tr>
        <w:trPr>
          <w:tblHeader w:val="true"/>
        </w:trPr>
        <w:tc>
          <w:tcPr>
            <w:tcW w:type="dxa" w:w="2050"/>
            <w:tcMar>
              <w:top w:w="80" w:type="dxa"/>
              <w:start w:w="120" w:type="dxa"/>
              <w:bottom w:w="80" w:type="dxa"/>
              <w:end w:w="120" w:type="dxa"/>
            </w:tcMar>
            <w:vAlign w:val="center"/>
            <w:shd w:fill="1F4D78"/>
          </w:tcPr>
          <w:p>
            <w:r>
              <w:rPr>
                <w:rFonts w:ascii="Arial" w:hAnsi="Arial"/>
                <w:b/>
                <w:color w:val="FFFFFF"/>
                <w:sz w:val="18"/>
              </w:rPr>
              <w:t>Abstract role</w:t>
            </w:r>
          </w:p>
        </w:tc>
        <w:tc>
          <w:tcPr>
            <w:tcW w:type="dxa" w:w="3600"/>
            <w:tcMar>
              <w:top w:w="80" w:type="dxa"/>
              <w:start w:w="120" w:type="dxa"/>
              <w:bottom w:w="80" w:type="dxa"/>
              <w:end w:w="120" w:type="dxa"/>
            </w:tcMar>
            <w:vAlign w:val="center"/>
            <w:shd w:fill="1F4D78"/>
          </w:tcPr>
          <w:p>
            <w:r>
              <w:rPr>
                <w:rFonts w:ascii="Arial" w:hAnsi="Arial"/>
                <w:b/>
                <w:color w:val="FFFFFF"/>
                <w:sz w:val="18"/>
              </w:rPr>
              <w:t>Candidate mapping</w:t>
            </w:r>
          </w:p>
        </w:tc>
        <w:tc>
          <w:tcPr>
            <w:tcW w:type="dxa" w:w="3710"/>
            <w:tcMar>
              <w:top w:w="80" w:type="dxa"/>
              <w:start w:w="120" w:type="dxa"/>
              <w:bottom w:w="80" w:type="dxa"/>
              <w:end w:w="120" w:type="dxa"/>
            </w:tcMar>
            <w:vAlign w:val="center"/>
            <w:shd w:fill="1F4D78"/>
          </w:tcPr>
          <w:p>
            <w:r>
              <w:rPr>
                <w:rFonts w:ascii="Arial" w:hAnsi="Arial"/>
                <w:b/>
                <w:color w:val="FFFFFF"/>
                <w:sz w:val="18"/>
              </w:rPr>
              <w:t>Qualification</w:t>
            </w:r>
          </w:p>
        </w:tc>
      </w:tr>
      <w:tr>
        <w:tc>
          <w:tcPr>
            <w:tcW w:type="dxa" w:w="2050"/>
          </w:tcPr>
          <w:p>
            <w:pPr>
              <w:spacing w:after="40"/>
            </w:pPr>
            <w:r>
              <w:rPr>
                <w:rFonts w:ascii="Arial" w:hAnsi="Arial"/>
                <w:color w:val="1F2937"/>
                <w:sz w:val="17"/>
              </w:rPr>
              <w:t>OntologyArtifact / OntologyProfile</w:t>
            </w:r>
          </w:p>
        </w:tc>
        <w:tc>
          <w:tcPr>
            <w:tcW w:type="dxa" w:w="3600"/>
          </w:tcPr>
          <w:p>
            <w:pPr>
              <w:spacing w:after="40"/>
            </w:pPr>
            <w:r>
              <w:rPr>
                <w:rFonts w:ascii="Arial" w:hAnsi="Arial"/>
                <w:color w:val="1F2937"/>
                <w:sz w:val="17"/>
              </w:rPr>
              <w:t>RDFS and OWL ontology documents; SHACL shapes for closed-world constraints</w:t>
            </w:r>
          </w:p>
        </w:tc>
        <w:tc>
          <w:tcPr>
            <w:tcW w:type="dxa" w:w="3710"/>
          </w:tcPr>
          <w:p>
            <w:pPr>
              <w:spacing w:after="40"/>
            </w:pPr>
            <w:r>
              <w:rPr>
                <w:rFonts w:ascii="Arial" w:hAnsi="Arial"/>
                <w:color w:val="1F2937"/>
                <w:sz w:val="17"/>
              </w:rPr>
              <w:t>OWL defines formal ontology semantics; SHACL validates graph shape and constraints.</w:t>
            </w:r>
          </w:p>
        </w:tc>
      </w:tr>
      <w:tr>
        <w:tc>
          <w:tcPr>
            <w:tcW w:type="dxa" w:w="2050"/>
          </w:tcPr>
          <w:p>
            <w:pPr>
              <w:spacing w:after="40"/>
            </w:pPr>
            <w:r>
              <w:rPr>
                <w:rFonts w:ascii="Arial" w:hAnsi="Arial"/>
                <w:color w:val="1F2937"/>
                <w:sz w:val="17"/>
              </w:rPr>
              <w:t>KnowledgeStatement</w:t>
            </w:r>
          </w:p>
        </w:tc>
        <w:tc>
          <w:tcPr>
            <w:tcW w:type="dxa" w:w="3600"/>
          </w:tcPr>
          <w:p>
            <w:pPr>
              <w:spacing w:after="40"/>
            </w:pPr>
            <w:r>
              <w:rPr>
                <w:rFonts w:ascii="Arial" w:hAnsi="Arial"/>
                <w:color w:val="1F2937"/>
                <w:sz w:val="17"/>
              </w:rPr>
              <w:t>RDF triple, RDF-star qualified statement, or OWL assertion</w:t>
            </w:r>
          </w:p>
        </w:tc>
        <w:tc>
          <w:tcPr>
            <w:tcW w:type="dxa" w:w="3710"/>
          </w:tcPr>
          <w:p>
            <w:pPr>
              <w:spacing w:after="40"/>
            </w:pPr>
            <w:r>
              <w:rPr>
                <w:rFonts w:ascii="Arial" w:hAnsi="Arial"/>
                <w:color w:val="1F2937"/>
                <w:sz w:val="17"/>
              </w:rPr>
              <w:t>The chosen form depends on whether statement-level metadata is required.</w:t>
            </w:r>
          </w:p>
        </w:tc>
      </w:tr>
      <w:tr>
        <w:tc>
          <w:tcPr>
            <w:tcW w:type="dxa" w:w="2050"/>
          </w:tcPr>
          <w:p>
            <w:pPr>
              <w:spacing w:after="40"/>
            </w:pPr>
            <w:r>
              <w:rPr>
                <w:rFonts w:ascii="Arial" w:hAnsi="Arial"/>
                <w:color w:val="1F2937"/>
                <w:sz w:val="17"/>
              </w:rPr>
              <w:t>KnowledgeInstance</w:t>
            </w:r>
          </w:p>
        </w:tc>
        <w:tc>
          <w:tcPr>
            <w:tcW w:type="dxa" w:w="3600"/>
          </w:tcPr>
          <w:p>
            <w:pPr>
              <w:spacing w:after="40"/>
            </w:pPr>
            <w:r>
              <w:rPr>
                <w:rFonts w:ascii="Arial" w:hAnsi="Arial"/>
                <w:color w:val="1F2937"/>
                <w:sz w:val="17"/>
              </w:rPr>
              <w:t>Named graph or explicitly typed resource that groups statements</w:t>
            </w:r>
          </w:p>
        </w:tc>
        <w:tc>
          <w:tcPr>
            <w:tcW w:type="dxa" w:w="3710"/>
          </w:tcPr>
          <w:p>
            <w:pPr>
              <w:spacing w:after="40"/>
            </w:pPr>
            <w:r>
              <w:rPr>
                <w:rFonts w:ascii="Arial" w:hAnsi="Arial"/>
                <w:color w:val="1F2937"/>
                <w:sz w:val="17"/>
              </w:rPr>
              <w:t>The knowledgeId identifies the management/lifecycle unit, not each triple by default.</w:t>
            </w:r>
          </w:p>
        </w:tc>
      </w:tr>
      <w:tr>
        <w:tc>
          <w:tcPr>
            <w:tcW w:type="dxa" w:w="2050"/>
          </w:tcPr>
          <w:p>
            <w:pPr>
              <w:spacing w:after="40"/>
            </w:pPr>
            <w:r>
              <w:rPr>
                <w:rFonts w:ascii="Arial" w:hAnsi="Arial"/>
                <w:color w:val="1F2937"/>
                <w:sz w:val="17"/>
              </w:rPr>
              <w:t>KnowledgeDescriptor</w:t>
            </w:r>
          </w:p>
        </w:tc>
        <w:tc>
          <w:tcPr>
            <w:tcW w:type="dxa" w:w="3600"/>
          </w:tcPr>
          <w:p>
            <w:pPr>
              <w:spacing w:after="40"/>
            </w:pPr>
            <w:r>
              <w:rPr>
                <w:rFonts w:ascii="Arial" w:hAnsi="Arial"/>
                <w:color w:val="1F2937"/>
                <w:sz w:val="17"/>
              </w:rPr>
              <w:t>RDF resources/properties or a companion management information object</w:t>
            </w:r>
          </w:p>
        </w:tc>
        <w:tc>
          <w:tcPr>
            <w:tcW w:type="dxa" w:w="3710"/>
          </w:tcPr>
          <w:p>
            <w:pPr>
              <w:spacing w:after="40"/>
            </w:pPr>
            <w:r>
              <w:rPr>
                <w:rFonts w:ascii="Arial" w:hAnsi="Arial"/>
                <w:color w:val="1F2937"/>
                <w:sz w:val="17"/>
              </w:rPr>
              <w:t>Common descriptor semantics must be preserved across encodings.</w:t>
            </w:r>
          </w:p>
        </w:tc>
      </w:tr>
      <w:tr>
        <w:tc>
          <w:tcPr>
            <w:tcW w:type="dxa" w:w="2050"/>
          </w:tcPr>
          <w:p>
            <w:pPr>
              <w:spacing w:after="40"/>
            </w:pPr>
            <w:r>
              <w:rPr>
                <w:rFonts w:ascii="Arial" w:hAnsi="Arial"/>
                <w:color w:val="1F2937"/>
                <w:sz w:val="17"/>
              </w:rPr>
              <w:t>KnowledgePackage</w:t>
            </w:r>
          </w:p>
        </w:tc>
        <w:tc>
          <w:tcPr>
            <w:tcW w:type="dxa" w:w="3600"/>
          </w:tcPr>
          <w:p>
            <w:pPr>
              <w:spacing w:after="40"/>
            </w:pPr>
            <w:r>
              <w:rPr>
                <w:rFonts w:ascii="Arial" w:hAnsi="Arial"/>
                <w:color w:val="1F2937"/>
                <w:sz w:val="17"/>
              </w:rPr>
              <w:t>Dataset, multipart payload or API container</w:t>
            </w:r>
          </w:p>
        </w:tc>
        <w:tc>
          <w:tcPr>
            <w:tcW w:type="dxa" w:w="3710"/>
          </w:tcPr>
          <w:p>
            <w:pPr>
              <w:spacing w:after="40"/>
            </w:pPr>
            <w:r>
              <w:rPr>
                <w:rFonts w:ascii="Arial" w:hAnsi="Arial"/>
                <w:color w:val="1F2937"/>
                <w:sz w:val="17"/>
              </w:rPr>
              <w:t>Packaging remains separate from instance semantics.</w:t>
            </w:r>
          </w:p>
        </w:tc>
      </w:tr>
      <w:tr>
        <w:tc>
          <w:tcPr>
            <w:tcW w:type="dxa" w:w="2050"/>
          </w:tcPr>
          <w:p>
            <w:pPr>
              <w:spacing w:after="40"/>
            </w:pPr>
            <w:r>
              <w:rPr>
                <w:rFonts w:ascii="Arial" w:hAnsi="Arial"/>
                <w:color w:val="1F2937"/>
                <w:sz w:val="17"/>
              </w:rPr>
              <w:t>Query and retrieval</w:t>
            </w:r>
          </w:p>
        </w:tc>
        <w:tc>
          <w:tcPr>
            <w:tcW w:type="dxa" w:w="3600"/>
          </w:tcPr>
          <w:p>
            <w:pPr>
              <w:spacing w:after="40"/>
            </w:pPr>
            <w:r>
              <w:rPr>
                <w:rFonts w:ascii="Arial" w:hAnsi="Arial"/>
                <w:color w:val="1F2937"/>
                <w:sz w:val="17"/>
              </w:rPr>
              <w:t>SPARQL profile or MnS query parameters</w:t>
            </w:r>
          </w:p>
        </w:tc>
        <w:tc>
          <w:tcPr>
            <w:tcW w:type="dxa" w:w="3710"/>
          </w:tcPr>
          <w:p>
            <w:pPr>
              <w:spacing w:after="40"/>
            </w:pPr>
            <w:r>
              <w:rPr>
                <w:rFonts w:ascii="Arial" w:hAnsi="Arial"/>
                <w:color w:val="1F2937"/>
                <w:sz w:val="17"/>
              </w:rPr>
              <w:t>SPARQL is a candidate query surface, not an internal implementation mandate.</w:t>
            </w:r>
          </w:p>
        </w:tc>
      </w:tr>
      <w:tr>
        <w:tc>
          <w:tcPr>
            <w:tcW w:type="dxa" w:w="2050"/>
          </w:tcPr>
          <w:p>
            <w:pPr>
              <w:spacing w:after="40"/>
            </w:pPr>
            <w:r>
              <w:rPr>
                <w:rFonts w:ascii="Arial" w:hAnsi="Arial"/>
                <w:color w:val="1F2937"/>
                <w:sz w:val="17"/>
              </w:rPr>
              <w:t>Wire serialization</w:t>
            </w:r>
          </w:p>
        </w:tc>
        <w:tc>
          <w:tcPr>
            <w:tcW w:type="dxa" w:w="3600"/>
          </w:tcPr>
          <w:p>
            <w:pPr>
              <w:spacing w:after="40"/>
            </w:pPr>
            <w:r>
              <w:rPr>
                <w:rFonts w:ascii="Arial" w:hAnsi="Arial"/>
                <w:color w:val="1F2937"/>
                <w:sz w:val="17"/>
              </w:rPr>
              <w:t>Turtle, JSON-LD, RDF/XML or another negotiated encoding</w:t>
            </w:r>
          </w:p>
        </w:tc>
        <w:tc>
          <w:tcPr>
            <w:tcW w:type="dxa" w:w="3710"/>
          </w:tcPr>
          <w:p>
            <w:pPr>
              <w:spacing w:after="40"/>
            </w:pPr>
            <w:r>
              <w:rPr>
                <w:rFonts w:ascii="Arial" w:hAnsi="Arial"/>
                <w:color w:val="1F2937"/>
                <w:sz w:val="17"/>
              </w:rPr>
              <w:t>Serialization choice does not change the ontology or abstract knowledge model.</w:t>
            </w:r>
          </w:p>
        </w:tc>
      </w:tr>
    </w:tbl>
    <w:p>
      <w:pPr>
        <w:pStyle w:val="Heading3"/>
      </w:pPr>
      <w:r>
        <w:t>8.X.a.6  Knowledge MnS behavior</w:t>
      </w:r>
    </w:p>
    <w:p>
      <w:pPr>
        <w:spacing w:after="60" w:line="250" w:lineRule="auto"/>
        <w:ind w:left="259" w:right="144"/>
      </w:pPr>
      <w:r>
        <w:rPr>
          <w:rFonts w:ascii="Arial" w:hAnsi="Arial"/>
          <w:i w:val="0"/>
          <w:color w:val="008000"/>
          <w:sz w:val="19"/>
        </w:rPr>
        <w:t>The knowledge MnS producer exposes the ontology/profile identifier and version supported for provided knowledge.</w:t>
      </w:r>
    </w:p>
    <w:p>
      <w:pPr>
        <w:spacing w:after="60" w:line="250" w:lineRule="auto"/>
        <w:ind w:left="259" w:right="144"/>
      </w:pPr>
      <w:r>
        <w:rPr>
          <w:rFonts w:ascii="Arial" w:hAnsi="Arial"/>
          <w:i w:val="0"/>
          <w:color w:val="008000"/>
          <w:sz w:val="19"/>
        </w:rPr>
        <w:t>The knowledge MnS consumer may include supported ontology profiles, versions and serializations in discovery or request context.</w:t>
      </w:r>
    </w:p>
    <w:p>
      <w:pPr>
        <w:spacing w:after="60" w:line="250" w:lineRule="auto"/>
        <w:ind w:left="259" w:right="144"/>
      </w:pPr>
      <w:r>
        <w:rPr>
          <w:rFonts w:ascii="Arial" w:hAnsi="Arial"/>
          <w:i w:val="0"/>
          <w:color w:val="008000"/>
          <w:sz w:val="19"/>
        </w:rPr>
        <w:t>The producer selects a mutually supported representation or provides a baseline-mapped view when available.</w:t>
      </w:r>
    </w:p>
    <w:p>
      <w:pPr>
        <w:spacing w:after="60" w:line="250" w:lineRule="auto"/>
        <w:ind w:left="259" w:right="144"/>
      </w:pPr>
      <w:r>
        <w:rPr>
          <w:rFonts w:ascii="Arial" w:hAnsi="Arial"/>
          <w:i w:val="0"/>
          <w:color w:val="008000"/>
          <w:sz w:val="19"/>
        </w:rPr>
        <w:t>If the consumer cannot interpret required extension terms, the producer reports the incompatibility or returns only a semantically complete baseline subset; it does not silently omit required assertions.</w:t>
      </w:r>
    </w:p>
    <w:p>
      <w:pPr>
        <w:spacing w:after="60" w:line="250" w:lineRule="auto"/>
        <w:ind w:left="259" w:right="144"/>
      </w:pPr>
      <w:r>
        <w:rPr>
          <w:rFonts w:ascii="Arial" w:hAnsi="Arial"/>
          <w:i w:val="0"/>
          <w:color w:val="008000"/>
          <w:sz w:val="19"/>
        </w:rPr>
        <w:t>Knowledge retrieval returns the knowledge content and descriptor together, or returns a stable reference that allows the descriptor and required ontology artifacts to be obtained.</w:t>
      </w:r>
    </w:p>
    <w:p>
      <w:pPr>
        <w:spacing w:after="60" w:line="250" w:lineRule="auto"/>
        <w:ind w:left="259" w:right="144"/>
      </w:pPr>
      <w:r>
        <w:rPr>
          <w:rFonts w:ascii="Arial" w:hAnsi="Arial"/>
          <w:i w:val="0"/>
          <w:color w:val="008000"/>
          <w:sz w:val="19"/>
        </w:rPr>
        <w:t>Updates to an ontology do not silently reinterpret existing knowledge. Existing knowledge remains bound to the version declared at creation unless an explicit migration or mapping is applied.</w:t>
      </w:r>
    </w:p>
    <w:p>
      <w:pPr>
        <w:pStyle w:val="Heading3"/>
      </w:pPr>
      <w:r>
        <w:t>8.X.a.7  Examples</w:t>
      </w:r>
    </w:p>
    <w:p>
      <w:pPr>
        <w:keepNext/>
      </w:pPr>
      <w:r>
        <w:rPr>
          <w:rFonts w:ascii="Arial" w:hAnsi="Arial"/>
          <w:i w:val="0"/>
          <w:color w:val="1F2937"/>
          <w:sz w:val="20"/>
        </w:rPr>
        <w:t>Example 1 - one-statement knowledge instance:</w:t>
      </w:r>
    </w:p>
    <w:p>
      <w:pPr>
        <w:spacing w:after="60" w:line="250" w:lineRule="auto"/>
        <w:ind w:left="259" w:right="144"/>
      </w:pPr>
      <w:r>
        <w:rPr>
          <w:rFonts w:ascii="Arial" w:hAnsi="Arial"/>
          <w:i w:val="0"/>
          <w:color w:val="008000"/>
          <w:sz w:val="19"/>
        </w:rPr>
        <w:t>KnowledgeInstance KI-101 contains: UPF-3 hostedOn Workload-7. Its descriptor identifies the applicable network scope, valid time, provenance and ontology profile. This single statement is a complete, independently consumable fact.</w:t>
      </w:r>
    </w:p>
    <w:p>
      <w:pPr>
        <w:keepNext/>
      </w:pPr>
      <w:r>
        <w:rPr>
          <w:rFonts w:ascii="Arial" w:hAnsi="Arial"/>
          <w:i w:val="0"/>
          <w:color w:val="1F2937"/>
          <w:sz w:val="20"/>
        </w:rPr>
        <w:t>Example 2 - multi-statement causal knowledge instance:</w:t>
      </w:r>
    </w:p>
    <w:p>
      <w:pPr>
        <w:spacing w:after="60" w:line="250" w:lineRule="auto"/>
        <w:ind w:left="259" w:right="144"/>
      </w:pPr>
      <w:r>
        <w:rPr>
          <w:rFonts w:ascii="Arial" w:hAnsi="Arial"/>
          <w:i w:val="0"/>
          <w:color w:val="008000"/>
          <w:sz w:val="19"/>
        </w:rPr>
        <w:t>UPF-3 hostedOn Workload-7</w:t>
      </w:r>
    </w:p>
    <w:p>
      <w:pPr>
        <w:spacing w:after="60" w:line="250" w:lineRule="auto"/>
        <w:ind w:left="259" w:right="144"/>
      </w:pPr>
      <w:r>
        <w:rPr>
          <w:rFonts w:ascii="Arial" w:hAnsi="Arial"/>
          <w:i w:val="0"/>
          <w:color w:val="008000"/>
          <w:sz w:val="19"/>
        </w:rPr>
        <w:t>Workload-7 hasCondition CPUThrottling</w:t>
      </w:r>
    </w:p>
    <w:p>
      <w:pPr>
        <w:spacing w:after="60" w:line="250" w:lineRule="auto"/>
        <w:ind w:left="259" w:right="144"/>
      </w:pPr>
      <w:r>
        <w:rPr>
          <w:rFonts w:ascii="Arial" w:hAnsi="Arial"/>
          <w:i w:val="0"/>
          <w:color w:val="008000"/>
          <w:sz w:val="19"/>
        </w:rPr>
        <w:t>CPUThrottling causes UPFLatencyIncrease</w:t>
      </w:r>
    </w:p>
    <w:p>
      <w:pPr>
        <w:spacing w:after="60" w:line="250" w:lineRule="auto"/>
        <w:ind w:left="259" w:right="144"/>
      </w:pPr>
      <w:r>
        <w:rPr>
          <w:rFonts w:ascii="Arial" w:hAnsi="Arial"/>
          <w:i w:val="0"/>
          <w:color w:val="008000"/>
          <w:sz w:val="19"/>
        </w:rPr>
        <w:t>UPFLatencyIncrease affects UPF-3</w:t>
      </w:r>
    </w:p>
    <w:p>
      <w:pPr>
        <w:spacing w:after="60" w:line="250" w:lineRule="auto"/>
        <w:ind w:left="259" w:right="144"/>
      </w:pPr>
      <w:r>
        <w:rPr>
          <w:rFonts w:ascii="Arial" w:hAnsi="Arial"/>
          <w:i w:val="0"/>
          <w:color w:val="008000"/>
          <w:sz w:val="19"/>
        </w:rPr>
        <w:t>The four statements form one KnowledgeInstance when they are generated from the same inference, share provenance and validity, and must be consumed as one causal explanation. They may instead be separate instances if their provenance or lifecycle is independent.</w:t>
      </w:r>
    </w:p>
    <w:p>
      <w:pPr>
        <w:keepNext/>
      </w:pPr>
      <w:r>
        <w:rPr>
          <w:rFonts w:ascii="Arial" w:hAnsi="Arial"/>
          <w:i w:val="0"/>
          <w:color w:val="1F2937"/>
          <w:sz w:val="20"/>
        </w:rPr>
        <w:t>Example 3 - vendor extension:</w:t>
      </w:r>
    </w:p>
    <w:p>
      <w:pPr>
        <w:spacing w:after="60" w:line="250" w:lineRule="auto"/>
        <w:ind w:left="259" w:right="144"/>
      </w:pPr>
      <w:r>
        <w:rPr>
          <w:rFonts w:ascii="Arial" w:hAnsi="Arial"/>
          <w:i w:val="0"/>
          <w:color w:val="008000"/>
          <w:sz w:val="19"/>
        </w:rPr>
        <w:t>Vendor A exposes ex:ThermalThrottlingRisk as a subclass or mapped specialization of the baseline concept ResourceRisk. A baseline-only consumer can interpret ResourceRisk; an extension-aware consumer can also interpret the more specific vendor meaning. Vendor A need not disclose the algorithm that calculated the risk.</w:t>
      </w:r>
    </w:p>
    <w:p>
      <w:pPr>
        <w:pStyle w:val="Heading3"/>
      </w:pPr>
      <w:r>
        <w:t>8.X.a.8  Impacts and open items</w:t>
      </w:r>
    </w:p>
    <w:p>
      <w:pPr>
        <w:spacing w:after="60" w:line="250" w:lineRule="auto"/>
        <w:ind w:left="259" w:right="144"/>
      </w:pPr>
      <w:r>
        <w:rPr>
          <w:rFonts w:ascii="Arial" w:hAnsi="Arial"/>
          <w:i w:val="0"/>
          <w:color w:val="008000"/>
          <w:sz w:val="19"/>
        </w:rPr>
        <w:t>The existing Knowledge object in KSM3 can be refined as KnowledgeInstance rather than replaced.</w:t>
      </w:r>
    </w:p>
    <w:p>
      <w:pPr>
        <w:spacing w:after="60" w:line="250" w:lineRule="auto"/>
        <w:ind w:left="259" w:right="144"/>
      </w:pPr>
      <w:r>
        <w:rPr>
          <w:rFonts w:ascii="Arial" w:hAnsi="Arial"/>
          <w:i w:val="0"/>
          <w:color w:val="008000"/>
          <w:sz w:val="19"/>
        </w:rPr>
        <w:t>The existing KnowledgeContext attributes can be organized within KnowledgeDescriptor.</w:t>
      </w:r>
    </w:p>
    <w:p>
      <w:pPr>
        <w:spacing w:after="60" w:line="250" w:lineRule="auto"/>
        <w:ind w:left="259" w:right="144"/>
      </w:pPr>
      <w:r>
        <w:rPr>
          <w:rFonts w:ascii="Arial" w:hAnsi="Arial"/>
          <w:i w:val="0"/>
          <w:color w:val="008000"/>
          <w:sz w:val="19"/>
        </w:rPr>
        <w:t>Ontology lifecycle, discovery and version compatibility require alignment with KnowledgeFunction and KnowledgeJob.</w:t>
      </w:r>
    </w:p>
    <w:p>
      <w:pPr>
        <w:spacing w:after="60" w:line="250" w:lineRule="auto"/>
        <w:ind w:left="259" w:right="144"/>
      </w:pPr>
      <w:r>
        <w:rPr>
          <w:rFonts w:ascii="Arial" w:hAnsi="Arial"/>
          <w:i w:val="0"/>
          <w:color w:val="008000"/>
          <w:sz w:val="19"/>
        </w:rPr>
        <w:t>Whether statement-level metadata is required for all solution sets or only for selected profiles is FFS.</w:t>
      </w:r>
    </w:p>
    <w:p>
      <w:pPr>
        <w:spacing w:after="60" w:line="250" w:lineRule="auto"/>
        <w:ind w:left="259" w:right="144"/>
      </w:pPr>
      <w:r>
        <w:rPr>
          <w:rFonts w:ascii="Arial" w:hAnsi="Arial"/>
          <w:i w:val="0"/>
          <w:color w:val="008000"/>
          <w:sz w:val="19"/>
        </w:rPr>
        <w:t>The normative list of baseline ontology concepts and relationships is outside this contribution and should be developed incrementally from agreed management use cases.</w:t>
      </w:r>
    </w:p>
    <w:p>
      <w:pPr>
        <w:spacing w:after="60" w:line="250" w:lineRule="auto"/>
        <w:ind w:left="259" w:right="144"/>
      </w:pPr>
      <w:r>
        <w:rPr>
          <w:rFonts w:ascii="Arial" w:hAnsi="Arial"/>
          <w:i w:val="0"/>
          <w:color w:val="008000"/>
          <w:sz w:val="19"/>
        </w:rPr>
        <w:t>The exact Stage 3 encoding, media types and query profiles are FFS.</w:t>
      </w:r>
    </w:p>
    <w:p>
      <w:pPr>
        <w:pStyle w:val="Heading1"/>
      </w:pPr>
      <w:r>
        <w:t>3  Design choices for discussion</w:t>
      </w:r>
    </w:p>
    <w:tbl>
      <w:tblPr>
        <w:tblStyle w:val="TableGrid"/>
        <w:tblW w:type="dxa" w:w="9360"/>
        <w:jc w:val="left"/>
        <w:tblLayout w:type="fixed"/>
        <w:tblLook w:firstColumn="1" w:firstRow="1" w:lastColumn="0" w:lastRow="0" w:noHBand="0" w:noVBand="1" w:val="04A0"/>
        <w:tblInd w:w="120" w:type="dxa"/>
      </w:tblPr>
      <w:tblGrid>
        <w:gridCol w:w="2300"/>
        <w:gridCol w:w="3380"/>
        <w:gridCol w:w="3680"/>
      </w:tblGrid>
      <w:tr>
        <w:trPr>
          <w:tblHeader w:val="true"/>
        </w:trPr>
        <w:tc>
          <w:tcPr>
            <w:tcW w:type="dxa" w:w="2300"/>
            <w:tcMar>
              <w:top w:w="80" w:type="dxa"/>
              <w:start w:w="120" w:type="dxa"/>
              <w:bottom w:w="80" w:type="dxa"/>
              <w:end w:w="120" w:type="dxa"/>
            </w:tcMar>
            <w:vAlign w:val="center"/>
            <w:shd w:fill="1F4D78"/>
          </w:tcPr>
          <w:p>
            <w:r>
              <w:rPr>
                <w:rFonts w:ascii="Arial" w:hAnsi="Arial"/>
                <w:b/>
                <w:color w:val="FFFFFF"/>
                <w:sz w:val="18"/>
              </w:rPr>
              <w:t>Decision</w:t>
            </w:r>
          </w:p>
        </w:tc>
        <w:tc>
          <w:tcPr>
            <w:tcW w:type="dxa" w:w="3380"/>
            <w:tcMar>
              <w:top w:w="80" w:type="dxa"/>
              <w:start w:w="120" w:type="dxa"/>
              <w:bottom w:w="80" w:type="dxa"/>
              <w:end w:w="120" w:type="dxa"/>
            </w:tcMar>
            <w:vAlign w:val="center"/>
            <w:shd w:fill="1F4D78"/>
          </w:tcPr>
          <w:p>
            <w:r>
              <w:rPr>
                <w:rFonts w:ascii="Arial" w:hAnsi="Arial"/>
                <w:b/>
                <w:color w:val="FFFFFF"/>
                <w:sz w:val="18"/>
              </w:rPr>
              <w:t>Recommended position</w:t>
            </w:r>
          </w:p>
        </w:tc>
        <w:tc>
          <w:tcPr>
            <w:tcW w:type="dxa" w:w="3680"/>
            <w:tcMar>
              <w:top w:w="80" w:type="dxa"/>
              <w:start w:w="120" w:type="dxa"/>
              <w:bottom w:w="80" w:type="dxa"/>
              <w:end w:w="120" w:type="dxa"/>
            </w:tcMar>
            <w:vAlign w:val="center"/>
            <w:shd w:fill="1F4D78"/>
          </w:tcPr>
          <w:p>
            <w:r>
              <w:rPr>
                <w:rFonts w:ascii="Arial" w:hAnsi="Arial"/>
                <w:b/>
                <w:color w:val="FFFFFF"/>
                <w:sz w:val="18"/>
              </w:rPr>
              <w:t>Reason</w:t>
            </w:r>
          </w:p>
        </w:tc>
      </w:tr>
      <w:tr>
        <w:tc>
          <w:tcPr>
            <w:tcW w:type="dxa" w:w="2300"/>
          </w:tcPr>
          <w:p>
            <w:pPr>
              <w:spacing w:after="40"/>
            </w:pPr>
            <w:r>
              <w:rPr>
                <w:rFonts w:ascii="Arial" w:hAnsi="Arial"/>
                <w:color w:val="1F2937"/>
                <w:sz w:val="17"/>
              </w:rPr>
              <w:t>Is OWL an ontology or knowledge-representation Solution Set?</w:t>
            </w:r>
          </w:p>
        </w:tc>
        <w:tc>
          <w:tcPr>
            <w:tcW w:type="dxa" w:w="3380"/>
          </w:tcPr>
          <w:p>
            <w:pPr>
              <w:spacing w:after="40"/>
            </w:pPr>
            <w:r>
              <w:rPr>
                <w:rFonts w:ascii="Arial" w:hAnsi="Arial"/>
                <w:color w:val="1F2937"/>
                <w:sz w:val="17"/>
              </w:rPr>
              <w:t>Treat OWL primarily as an ontology Solution Set when mapping ontology axioms; OWL assertions may also map knowledge content. Classify by the abstract role being mapped.</w:t>
            </w:r>
          </w:p>
        </w:tc>
        <w:tc>
          <w:tcPr>
            <w:tcW w:type="dxa" w:w="3680"/>
          </w:tcPr>
          <w:p>
            <w:pPr>
              <w:spacing w:after="40"/>
            </w:pPr>
            <w:r>
              <w:rPr>
                <w:rFonts w:ascii="Arial" w:hAnsi="Arial"/>
                <w:color w:val="1F2937"/>
                <w:sz w:val="17"/>
              </w:rPr>
              <w:t>The same technology supports both vocabulary/axioms and assertions.</w:t>
            </w:r>
          </w:p>
        </w:tc>
      </w:tr>
      <w:tr>
        <w:tc>
          <w:tcPr>
            <w:tcW w:type="dxa" w:w="2300"/>
          </w:tcPr>
          <w:p>
            <w:pPr>
              <w:spacing w:after="40"/>
            </w:pPr>
            <w:r>
              <w:rPr>
                <w:rFonts w:ascii="Arial" w:hAnsi="Arial"/>
                <w:color w:val="1F2937"/>
                <w:sz w:val="17"/>
              </w:rPr>
              <w:t>Must a knowledge instance contain multiple statements?</w:t>
            </w:r>
          </w:p>
        </w:tc>
        <w:tc>
          <w:tcPr>
            <w:tcW w:type="dxa" w:w="3380"/>
          </w:tcPr>
          <w:p>
            <w:pPr>
              <w:spacing w:after="40"/>
            </w:pPr>
            <w:r>
              <w:rPr>
                <w:rFonts w:ascii="Arial" w:hAnsi="Arial"/>
                <w:color w:val="1F2937"/>
                <w:sz w:val="17"/>
              </w:rPr>
              <w:t>No. It contains one or more related statements.</w:t>
            </w:r>
          </w:p>
        </w:tc>
        <w:tc>
          <w:tcPr>
            <w:tcW w:type="dxa" w:w="3680"/>
          </w:tcPr>
          <w:p>
            <w:pPr>
              <w:spacing w:after="40"/>
            </w:pPr>
            <w:r>
              <w:rPr>
                <w:rFonts w:ascii="Arial" w:hAnsi="Arial"/>
                <w:color w:val="1F2937"/>
                <w:sz w:val="17"/>
              </w:rPr>
              <w:t>Supports atomic facts and coherent causal/rule units.</w:t>
            </w:r>
          </w:p>
        </w:tc>
      </w:tr>
      <w:tr>
        <w:tc>
          <w:tcPr>
            <w:tcW w:type="dxa" w:w="2300"/>
          </w:tcPr>
          <w:p>
            <w:pPr>
              <w:spacing w:after="40"/>
            </w:pPr>
            <w:r>
              <w:rPr>
                <w:rFonts w:ascii="Arial" w:hAnsi="Arial"/>
                <w:color w:val="1F2937"/>
                <w:sz w:val="17"/>
              </w:rPr>
              <w:t>Must external vendor extensions define an ontology?</w:t>
            </w:r>
          </w:p>
        </w:tc>
        <w:tc>
          <w:tcPr>
            <w:tcW w:type="dxa" w:w="3380"/>
          </w:tcPr>
          <w:p>
            <w:pPr>
              <w:spacing w:after="40"/>
            </w:pPr>
            <w:r>
              <w:rPr>
                <w:rFonts w:ascii="Arial" w:hAnsi="Arial"/>
                <w:color w:val="1F2937"/>
                <w:sz w:val="17"/>
              </w:rPr>
              <w:t>Yes, if extension semantics must be interpreted across the interface; otherwise map to the baseline.</w:t>
            </w:r>
          </w:p>
        </w:tc>
        <w:tc>
          <w:tcPr>
            <w:tcW w:type="dxa" w:w="3680"/>
          </w:tcPr>
          <w:p>
            <w:pPr>
              <w:spacing w:after="40"/>
            </w:pPr>
            <w:r>
              <w:rPr>
                <w:rFonts w:ascii="Arial" w:hAnsi="Arial"/>
                <w:color w:val="1F2937"/>
                <w:sz w:val="17"/>
              </w:rPr>
              <w:t>Interoperability needs declared meaning, while internal implementation remains private.</w:t>
            </w:r>
          </w:p>
        </w:tc>
      </w:tr>
      <w:tr>
        <w:tc>
          <w:tcPr>
            <w:tcW w:type="dxa" w:w="2300"/>
          </w:tcPr>
          <w:p>
            <w:pPr>
              <w:spacing w:after="40"/>
            </w:pPr>
            <w:r>
              <w:rPr>
                <w:rFonts w:ascii="Arial" w:hAnsi="Arial"/>
                <w:color w:val="1F2937"/>
                <w:sz w:val="17"/>
              </w:rPr>
              <w:t>Must internal representations use ontology technology?</w:t>
            </w:r>
          </w:p>
        </w:tc>
        <w:tc>
          <w:tcPr>
            <w:tcW w:type="dxa" w:w="3380"/>
          </w:tcPr>
          <w:p>
            <w:pPr>
              <w:spacing w:after="40"/>
            </w:pPr>
            <w:r>
              <w:rPr>
                <w:rFonts w:ascii="Arial" w:hAnsi="Arial"/>
                <w:color w:val="1F2937"/>
                <w:sz w:val="17"/>
              </w:rPr>
              <w:t>No.</w:t>
            </w:r>
          </w:p>
        </w:tc>
        <w:tc>
          <w:tcPr>
            <w:tcW w:type="dxa" w:w="3680"/>
          </w:tcPr>
          <w:p>
            <w:pPr>
              <w:spacing w:after="40"/>
            </w:pPr>
            <w:r>
              <w:rPr>
                <w:rFonts w:ascii="Arial" w:hAnsi="Arial"/>
                <w:color w:val="1F2937"/>
                <w:sz w:val="17"/>
              </w:rPr>
              <w:t>A database schema, JSON, graph store or model-internal representation is an implementation choice if it is mapped at the interface.</w:t>
            </w:r>
          </w:p>
        </w:tc>
      </w:tr>
      <w:tr>
        <w:tc>
          <w:tcPr>
            <w:tcW w:type="dxa" w:w="2300"/>
          </w:tcPr>
          <w:p>
            <w:pPr>
              <w:spacing w:after="40"/>
            </w:pPr>
            <w:r>
              <w:rPr>
                <w:rFonts w:ascii="Arial" w:hAnsi="Arial"/>
                <w:color w:val="1F2937"/>
                <w:sz w:val="17"/>
              </w:rPr>
              <w:t>Should RDF/OWL/SHACL be mandatory now?</w:t>
            </w:r>
          </w:p>
        </w:tc>
        <w:tc>
          <w:tcPr>
            <w:tcW w:type="dxa" w:w="3380"/>
          </w:tcPr>
          <w:p>
            <w:pPr>
              <w:spacing w:after="40"/>
            </w:pPr>
            <w:r>
              <w:rPr>
                <w:rFonts w:ascii="Arial" w:hAnsi="Arial"/>
                <w:color w:val="1F2937"/>
                <w:sz w:val="17"/>
              </w:rPr>
              <w:t>Keep them as a reference candidate mapping during the study.</w:t>
            </w:r>
          </w:p>
        </w:tc>
        <w:tc>
          <w:tcPr>
            <w:tcW w:type="dxa" w:w="3680"/>
          </w:tcPr>
          <w:p>
            <w:pPr>
              <w:spacing w:after="40"/>
            </w:pPr>
            <w:r>
              <w:rPr>
                <w:rFonts w:ascii="Arial" w:hAnsi="Arial"/>
                <w:color w:val="1F2937"/>
                <w:sz w:val="17"/>
              </w:rPr>
              <w:t>The Stage 2 model should stabilize before selecting the complete Stage 3 Solution Set.</w:t>
            </w:r>
          </w:p>
        </w:tc>
      </w:tr>
    </w:tbl>
    <w:p>
      <w:pPr>
        <w:pStyle w:val="Heading1"/>
      </w:pPr>
      <w:r>
        <w:t>Reference baseline used for this draft</w:t>
      </w:r>
    </w:p>
    <w:p>
      <w:pPr>
        <w:pStyle w:val="ListBullet"/>
        <w:spacing w:after="60" w:line="259" w:lineRule="auto"/>
        <w:ind w:left="605" w:hanging="259"/>
      </w:pPr>
      <w:r>
        <w:rPr>
          <w:rFonts w:ascii="Arial" w:hAnsi="Arial"/>
          <w:color w:val="1F2937"/>
          <w:sz w:val="20"/>
        </w:rPr>
        <w:t>S5-263545 d6, approved at SA5#168: Ontology KI update and Knowledge Ontology potential solution.</w:t>
      </w:r>
    </w:p>
    <w:p>
      <w:pPr>
        <w:pStyle w:val="ListBullet"/>
        <w:spacing w:after="60" w:line="259" w:lineRule="auto"/>
        <w:ind w:left="605" w:hanging="259"/>
      </w:pPr>
      <w:r>
        <w:rPr>
          <w:rFonts w:ascii="Arial" w:hAnsi="Arial"/>
          <w:color w:val="1F2937"/>
          <w:sz w:val="20"/>
        </w:rPr>
        <w:t>S5-263546 d7, approved at SA5#168: KI #1 updates and new KIs for knowledge health, validation, generation and conflict handling.</w:t>
      </w:r>
    </w:p>
    <w:p>
      <w:pPr>
        <w:pStyle w:val="ListBullet"/>
        <w:spacing w:after="60" w:line="259" w:lineRule="auto"/>
        <w:ind w:left="605" w:hanging="259"/>
      </w:pPr>
      <w:r>
        <w:rPr>
          <w:rFonts w:ascii="Arial" w:hAnsi="Arial"/>
          <w:color w:val="1F2937"/>
          <w:sz w:val="20"/>
        </w:rPr>
        <w:t>S5-263547 d10, approved at SA5#168: Knowledge architecture and representation potential solutions.</w:t>
      </w:r>
    </w:p>
    <w:p>
      <w:pPr>
        <w:pStyle w:val="ListBullet"/>
        <w:spacing w:after="60" w:line="259" w:lineRule="auto"/>
        <w:ind w:left="605" w:hanging="259"/>
      </w:pPr>
      <w:r>
        <w:rPr>
          <w:rFonts w:ascii="Arial" w:hAnsi="Arial"/>
          <w:color w:val="1F2937"/>
          <w:sz w:val="20"/>
        </w:rPr>
        <w:t>S5-262911 chair notes, 28 August 2026 15:30: KSM1/KSM2/KSM3 pre-approval and approval record.</w:t>
      </w:r>
    </w:p>
    <w:p>
      <w:pPr>
        <w:pStyle w:val="ListBullet"/>
        <w:spacing w:after="60" w:line="259" w:lineRule="auto"/>
        <w:ind w:left="605" w:hanging="259"/>
      </w:pPr>
      <w:r>
        <w:rPr>
          <w:rFonts w:ascii="Arial" w:hAnsi="Arial"/>
          <w:color w:val="1F2937"/>
          <w:sz w:val="20"/>
        </w:rPr>
        <w:t>W3C RDF 1.1 Concepts; W3C OWL 2 Structural Specification; W3C SHACL Recommendation (technical background only).</w:t>
      </w:r>
    </w:p>
    <w:p>
      <w:r>
        <w:rPr>
          <w:rFonts w:ascii="Arial" w:hAnsi="Arial"/>
          <w:i/>
          <w:color w:val="1F2937"/>
          <w:sz w:val="20"/>
        </w:rPr>
        <w:t>Drafting note: clause and requirement numbering remains placeholder text and should be aligned to the next available TR 32.801-01 baseline before submission.</w:t>
      </w:r>
    </w:p>
    <w:sectPr w:rsidR="00FC693F" w:rsidRPr="0006063C" w:rsidSect="00034616">
      <w:headerReference w:type="default" r:id="rId9"/>
      <w:footerReference w:type="default" r:id="rId10"/>
      <w:pgSz w:w="12240" w:h="15840"/>
      <w:pgMar w:top="1037" w:right="1181" w:bottom="1037" w:left="1181"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666666"/>
        <w:sz w:val="17"/>
      </w:rPr>
      <w:t>3GPP SA5 • FS_6G_OAM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4D78"/>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11182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b w:val="0"/>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