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9FDE" w14:textId="77777777" w:rsidR="007B4801" w:rsidRDefault="007B4801">
      <w:pPr>
        <w:spacing w:after="240"/>
      </w:pPr>
    </w:p>
    <w:p w14:paraId="6D1BACE3" w14:textId="77777777" w:rsidR="007B4801" w:rsidRDefault="007B4801">
      <w:pPr>
        <w:spacing w:after="240"/>
      </w:pPr>
    </w:p>
    <w:p w14:paraId="59C464DE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b/>
          <w:color w:val="1A3A5C"/>
          <w:sz w:val="56"/>
          <w:lang w:val="pt-PT"/>
        </w:rPr>
        <w:t>AINTAR</w:t>
      </w:r>
    </w:p>
    <w:p w14:paraId="5E5E81C5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color w:val="1E6AB0"/>
          <w:sz w:val="26"/>
          <w:lang w:val="pt-PT"/>
        </w:rPr>
        <w:t>Associação Intermunicipal de Tratamento de Águas Residuais</w:t>
      </w:r>
    </w:p>
    <w:p w14:paraId="6AA55CB2" w14:textId="77777777" w:rsidR="007B4801" w:rsidRPr="005D3E01" w:rsidRDefault="007B4801">
      <w:pPr>
        <w:rPr>
          <w:lang w:val="pt-PT"/>
        </w:rPr>
      </w:pPr>
    </w:p>
    <w:p w14:paraId="64E21BB6" w14:textId="77777777" w:rsidR="007B4801" w:rsidRPr="005D3E01" w:rsidRDefault="007B4801">
      <w:pPr>
        <w:rPr>
          <w:lang w:val="pt-PT"/>
        </w:rPr>
      </w:pPr>
    </w:p>
    <w:p w14:paraId="514E0968" w14:textId="77777777" w:rsidR="007B4801" w:rsidRPr="005D3E01" w:rsidRDefault="007B4801">
      <w:pPr>
        <w:pBdr>
          <w:top w:val="single" w:sz="12" w:space="0" w:color="1E6AB0"/>
          <w:bottom w:val="single" w:sz="12" w:space="0" w:color="1E6AB0"/>
        </w:pBdr>
        <w:jc w:val="center"/>
        <w:rPr>
          <w:lang w:val="pt-PT"/>
        </w:rPr>
      </w:pPr>
    </w:p>
    <w:p w14:paraId="39CBB106" w14:textId="77777777" w:rsidR="007B4801" w:rsidRPr="005D3E01" w:rsidRDefault="007B4801">
      <w:pPr>
        <w:rPr>
          <w:lang w:val="pt-PT"/>
        </w:rPr>
      </w:pPr>
    </w:p>
    <w:p w14:paraId="56530FA4" w14:textId="77777777" w:rsidR="007B4801" w:rsidRPr="005D3E01" w:rsidRDefault="007B4801">
      <w:pPr>
        <w:rPr>
          <w:lang w:val="pt-PT"/>
        </w:rPr>
      </w:pPr>
    </w:p>
    <w:p w14:paraId="4B8BE5F6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b/>
          <w:color w:val="1A3A5C"/>
          <w:sz w:val="44"/>
          <w:lang w:val="pt-PT"/>
        </w:rPr>
        <w:t>RELATÓRIO DE GESTÃO</w:t>
      </w:r>
    </w:p>
    <w:p w14:paraId="5101F0F9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color w:val="1E6AB0"/>
          <w:sz w:val="32"/>
          <w:lang w:val="pt-PT"/>
        </w:rPr>
        <w:t>Exercício de 2025</w:t>
      </w:r>
    </w:p>
    <w:p w14:paraId="52865BCB" w14:textId="77777777" w:rsidR="007B4801" w:rsidRPr="005D3E01" w:rsidRDefault="007B4801">
      <w:pPr>
        <w:rPr>
          <w:lang w:val="pt-PT"/>
        </w:rPr>
      </w:pPr>
    </w:p>
    <w:p w14:paraId="077C64B3" w14:textId="77777777" w:rsidR="007B4801" w:rsidRPr="005D3E01" w:rsidRDefault="007B4801">
      <w:pPr>
        <w:rPr>
          <w:lang w:val="pt-PT"/>
        </w:rPr>
      </w:pPr>
    </w:p>
    <w:p w14:paraId="4A2FD45C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b/>
          <w:color w:val="1A3A5C"/>
          <w:sz w:val="26"/>
          <w:lang w:val="pt-PT"/>
        </w:rPr>
        <w:t>CONTRIBUIÇÃO — Área de Tecnologias de Informação,</w:t>
      </w:r>
      <w:r w:rsidRPr="005D3E01">
        <w:rPr>
          <w:rFonts w:ascii="Calibri" w:hAnsi="Calibri"/>
          <w:b/>
          <w:color w:val="1A3A5C"/>
          <w:sz w:val="26"/>
          <w:lang w:val="pt-PT"/>
        </w:rPr>
        <w:br/>
        <w:t>Digitalização e Inovação</w:t>
      </w:r>
    </w:p>
    <w:p w14:paraId="27F2A324" w14:textId="77777777" w:rsidR="007B4801" w:rsidRPr="005D3E01" w:rsidRDefault="007B4801">
      <w:pPr>
        <w:rPr>
          <w:lang w:val="pt-PT"/>
        </w:rPr>
      </w:pPr>
    </w:p>
    <w:p w14:paraId="22696E20" w14:textId="77777777" w:rsidR="007B4801" w:rsidRPr="005D3E01" w:rsidRDefault="007B4801">
      <w:pPr>
        <w:rPr>
          <w:lang w:val="pt-PT"/>
        </w:rPr>
      </w:pPr>
    </w:p>
    <w:p w14:paraId="41B2977E" w14:textId="77777777" w:rsidR="007B4801" w:rsidRPr="005D3E01" w:rsidRDefault="007B4801">
      <w:pPr>
        <w:rPr>
          <w:lang w:val="pt-PT"/>
        </w:rPr>
      </w:pPr>
    </w:p>
    <w:p w14:paraId="7B6A9CC1" w14:textId="77777777" w:rsidR="007B4801" w:rsidRPr="005D3E01" w:rsidRDefault="007B4801">
      <w:pPr>
        <w:rPr>
          <w:lang w:val="pt-PT"/>
        </w:rPr>
      </w:pPr>
    </w:p>
    <w:p w14:paraId="440C8C1A" w14:textId="77777777" w:rsidR="007B4801" w:rsidRPr="005D3E01" w:rsidRDefault="007B4801">
      <w:pPr>
        <w:rPr>
          <w:lang w:val="pt-PT"/>
        </w:rPr>
      </w:pPr>
    </w:p>
    <w:p w14:paraId="3067A22E" w14:textId="77777777" w:rsidR="007B4801" w:rsidRPr="005D3E01" w:rsidRDefault="007B4801">
      <w:pPr>
        <w:rPr>
          <w:lang w:val="pt-PT"/>
        </w:rPr>
      </w:pPr>
    </w:p>
    <w:p w14:paraId="12C5854C" w14:textId="77777777" w:rsidR="007B4801" w:rsidRPr="005D3E01" w:rsidRDefault="00000000">
      <w:pPr>
        <w:jc w:val="center"/>
        <w:rPr>
          <w:lang w:val="pt-PT"/>
        </w:rPr>
      </w:pPr>
      <w:r w:rsidRPr="005D3E01">
        <w:rPr>
          <w:rFonts w:ascii="Calibri" w:hAnsi="Calibri"/>
          <w:color w:val="556677"/>
          <w:sz w:val="20"/>
          <w:lang w:val="pt-PT"/>
        </w:rPr>
        <w:t>Elaborado por: Rui Ramos — Responsável de Tecnologias de Informação</w:t>
      </w:r>
      <w:r w:rsidRPr="005D3E01">
        <w:rPr>
          <w:rFonts w:ascii="Calibri" w:hAnsi="Calibri"/>
          <w:color w:val="556677"/>
          <w:sz w:val="20"/>
          <w:lang w:val="pt-PT"/>
        </w:rPr>
        <w:br/>
        <w:t>Abril de 2026  |  Uso Interno</w:t>
      </w:r>
    </w:p>
    <w:p w14:paraId="3E976C22" w14:textId="77777777" w:rsidR="007B4801" w:rsidRPr="005D3E01" w:rsidRDefault="00000000">
      <w:pPr>
        <w:rPr>
          <w:lang w:val="pt-PT"/>
        </w:rPr>
      </w:pPr>
      <w:r w:rsidRPr="005D3E01">
        <w:rPr>
          <w:lang w:val="pt-PT"/>
        </w:rPr>
        <w:br w:type="page"/>
      </w:r>
    </w:p>
    <w:p w14:paraId="521C1EAE" w14:textId="77777777" w:rsidR="007B4801" w:rsidRPr="005D3E01" w:rsidRDefault="00000000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lastRenderedPageBreak/>
        <w:t>4. Tecnologias de Informação, Digitalização e Inovação</w:t>
      </w:r>
    </w:p>
    <w:p w14:paraId="1BD1DA3F" w14:textId="5026061F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4.1 Enquadramento</w:t>
      </w:r>
    </w:p>
    <w:p w14:paraId="5CAE5EFA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O ano de 2025 representou um marco significativo na área das Tecnologias de Informação da AINTAR: a consolidação e expansão da Plataforma Integrada de Gestão AINTAR (App AINTAR), um sistema desenvolvido internamente e desenhado à medida das necessidades operacionais, técnicas e administrativas da associação.</w:t>
      </w:r>
    </w:p>
    <w:p w14:paraId="287E9096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Ao longo do ano a plataforma cresceu de forma contínua e estruturada, abrangendo progressivamente todos os domínios de atividade da organização — desde a operação de campo nas infraestruturas de saneamento, à tramitação documental, ao atendimento ao munícipe e ao controlo financeiro interno.</w:t>
      </w:r>
    </w:p>
    <w:p w14:paraId="1A7D9652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Este sistema representa um ativo estratégico de soberania digital da AINTAR: desenvolvido, operado e controlado pelos seus próprios meios, sem dependência de fornecedores externos para o núcleo do sistema.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36"/>
      </w:tblGrid>
      <w:tr w:rsidR="007B4801" w:rsidRPr="005D3E01" w14:paraId="1BC8FB10" w14:textId="77777777">
        <w:tc>
          <w:tcPr>
            <w:tcW w:w="9236" w:type="dxa"/>
            <w:tcBorders>
              <w:top w:val="single" w:sz="8" w:space="0" w:color="1E6AB0"/>
              <w:left w:val="single" w:sz="8" w:space="0" w:color="1E6AB0"/>
              <w:bottom w:val="single" w:sz="8" w:space="0" w:color="1E6AB0"/>
              <w:right w:val="single" w:sz="8" w:space="0" w:color="1E6AB0"/>
            </w:tcBorders>
            <w:shd w:val="clear" w:color="auto" w:fill="D6E4F0"/>
          </w:tcPr>
          <w:p w14:paraId="5EFC9ABC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b/>
                <w:color w:val="1A3A5C"/>
                <w:sz w:val="21"/>
                <w:lang w:val="pt-PT"/>
              </w:rPr>
              <w:t>Em 2025 foram lançadas 40 versões de produção (</w:t>
            </w:r>
            <w:proofErr w:type="spellStart"/>
            <w:r w:rsidRPr="005D3E01">
              <w:rPr>
                <w:rFonts w:ascii="Calibri" w:hAnsi="Calibri"/>
                <w:b/>
                <w:color w:val="1A3A5C"/>
                <w:sz w:val="21"/>
                <w:lang w:val="pt-PT"/>
              </w:rPr>
              <w:t>builds</w:t>
            </w:r>
            <w:proofErr w:type="spellEnd"/>
            <w:r w:rsidRPr="005D3E01">
              <w:rPr>
                <w:rFonts w:ascii="Calibri" w:hAnsi="Calibri"/>
                <w:b/>
                <w:color w:val="1A3A5C"/>
                <w:sz w:val="21"/>
                <w:lang w:val="pt-PT"/>
              </w:rPr>
              <w:t>) e registados 112 contributos de desenvolvimento,</w:t>
            </w:r>
            <w:r w:rsidRPr="005D3E01">
              <w:rPr>
                <w:rFonts w:ascii="Calibri" w:hAnsi="Calibri"/>
                <w:b/>
                <w:color w:val="1A3A5C"/>
                <w:sz w:val="21"/>
                <w:lang w:val="pt-PT"/>
              </w:rPr>
              <w:br/>
              <w:t>refletindo um ciclo de entrega contínua sem interrupção do serviço.</w:t>
            </w:r>
          </w:p>
        </w:tc>
      </w:tr>
    </w:tbl>
    <w:p w14:paraId="08544359" w14:textId="77777777" w:rsidR="007B4801" w:rsidRPr="005D3E01" w:rsidRDefault="007B4801">
      <w:pPr>
        <w:spacing w:after="120"/>
        <w:rPr>
          <w:lang w:val="pt-PT"/>
        </w:rPr>
      </w:pPr>
    </w:p>
    <w:p w14:paraId="23A85918" w14:textId="04046AD2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4.2 Arquitetura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e Infraestrutura Tecnológica</w:t>
      </w:r>
    </w:p>
    <w:p w14:paraId="0C6EA432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Plataforma AINTAR assenta numa arquitetura moderna e segura, alojada no servidor de produção Windows Server 2019, acessível em app.aintar.pt com ligação encriptada HTTPS: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175"/>
        <w:gridCol w:w="5277"/>
      </w:tblGrid>
      <w:tr w:rsidR="007B4801" w14:paraId="3A67F9B0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0B9DC7AB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3F0192C2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 Utilizada</w:t>
            </w:r>
          </w:p>
        </w:tc>
      </w:tr>
      <w:tr w:rsidR="007B4801" w14:paraId="17D16C4F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41E2AD47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API Central (Backend)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301E5C8D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Python / Flask 3.1 + SQLAlchemy 2.0</w:t>
            </w:r>
          </w:p>
        </w:tc>
      </w:tr>
      <w:tr w:rsidR="007B4801" w:rsidRPr="005D3E01" w14:paraId="7ED6AD1A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5834D96E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Base de Dados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7E863CC7" w14:textId="77777777" w:rsidR="007B4801" w:rsidRPr="005D3E01" w:rsidRDefault="00000000">
            <w:pPr>
              <w:jc w:val="center"/>
              <w:rPr>
                <w:lang w:val="pt-PT"/>
              </w:rPr>
            </w:pPr>
            <w:proofErr w:type="spellStart"/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PostgreSQL</w:t>
            </w:r>
            <w:proofErr w:type="spellEnd"/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 xml:space="preserve"> (com lógica de negócio integrada)</w:t>
            </w:r>
          </w:p>
        </w:tc>
      </w:tr>
      <w:tr w:rsidR="007B4801" w14:paraId="728F5745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0CBBC6BE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Interface Web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1AC42A16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React 19 + Material-UI 7</w:t>
            </w:r>
          </w:p>
        </w:tc>
      </w:tr>
      <w:tr w:rsidR="007B4801" w14:paraId="53C94DD2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0013E4A3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Cache e Desempenho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1636EA5A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Redis</w:t>
            </w:r>
          </w:p>
        </w:tc>
      </w:tr>
      <w:tr w:rsidR="007B4801" w14:paraId="55315BF6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CBB5197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Servidor Web / Proxy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935EF7C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Nginx (HTTPS, SSL/TLS)</w:t>
            </w:r>
          </w:p>
        </w:tc>
      </w:tr>
      <w:tr w:rsidR="007B4801" w14:paraId="6972E398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61A1C621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Comunicação em Tempo Real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163AD10F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WebSockets via Socket.IO</w:t>
            </w:r>
          </w:p>
        </w:tc>
      </w:tr>
      <w:tr w:rsidR="007B4801" w:rsidRPr="005D3E01" w14:paraId="724F1D50" w14:textId="77777777">
        <w:trPr>
          <w:jc w:val="center"/>
        </w:trPr>
        <w:tc>
          <w:tcPr>
            <w:tcW w:w="425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7792326E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Autenticação</w:t>
            </w:r>
          </w:p>
        </w:tc>
        <w:tc>
          <w:tcPr>
            <w:tcW w:w="538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3EA59B99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JWT (</w:t>
            </w:r>
            <w:proofErr w:type="spellStart"/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tokens</w:t>
            </w:r>
            <w:proofErr w:type="spellEnd"/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 xml:space="preserve"> de acesso + renovação automática)</w:t>
            </w:r>
          </w:p>
        </w:tc>
      </w:tr>
    </w:tbl>
    <w:p w14:paraId="60247302" w14:textId="77777777" w:rsidR="007B4801" w:rsidRPr="005D3E01" w:rsidRDefault="007B4801">
      <w:pPr>
        <w:spacing w:after="80"/>
        <w:rPr>
          <w:lang w:val="pt-PT"/>
        </w:rPr>
      </w:pPr>
    </w:p>
    <w:p w14:paraId="715CF1C2" w14:textId="05ECC56D" w:rsidR="007B4801" w:rsidRPr="005D3E01" w:rsidRDefault="005D3E01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t>4.3 Módulos</w:t>
      </w:r>
      <w:r w:rsidR="00000000" w:rsidRPr="005D3E01">
        <w:rPr>
          <w:rFonts w:ascii="Calibri" w:hAnsi="Calibri"/>
          <w:b/>
          <w:color w:val="1A3A5C"/>
          <w:sz w:val="28"/>
          <w:lang w:val="pt-PT"/>
        </w:rPr>
        <w:t xml:space="preserve"> Desenvolvidos e Implementados em 2025</w:t>
      </w:r>
    </w:p>
    <w:p w14:paraId="15B39E1C" w14:textId="3289053D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4.3.1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Operações de Campo</w:t>
      </w:r>
    </w:p>
    <w:p w14:paraId="26C54AC0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Desenvolvido e refinado ao longo do primeiro semestre, o módulo de Operações é a ferramenta central das equipas técnicas no terreno. Permite planear, registar e acompanhar toda a atividade operacional nas infraestruturas da AINTAR:</w:t>
      </w:r>
    </w:p>
    <w:p w14:paraId="79D17286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Planeamento e registo de operações em ETAR, Estações Elevatórias, Redes e Ramais, com atribuição a operadores e modo de operação;</w:t>
      </w:r>
    </w:p>
    <w:p w14:paraId="73238985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volumes afluentes (m³ de águas residuais tratadas) por instalação, com histórico consultável;</w:t>
      </w:r>
    </w:p>
    <w:p w14:paraId="355FA37C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consumos energéticos e despesas operacionais por instalação;</w:t>
      </w:r>
    </w:p>
    <w:p w14:paraId="310FA2B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lastRenderedPageBreak/>
        <w:t>Interface adaptada a dispositivos móveis (telemóvel e tablet), com navegação por gesto, atualização por puxar e botão de ações rápidas, permitindo o uso em contexto de campo;</w:t>
      </w:r>
    </w:p>
    <w:p w14:paraId="3FE30C9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 xml:space="preserve">Visualização das tarefas em modo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Kanban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para maior clareza na gestão de trabalho;</w:t>
      </w:r>
    </w:p>
    <w:p w14:paraId="046603B3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Filtros rápidos e ordenação múltipla para consulta eficiente do histórico operacional.</w:t>
      </w:r>
    </w:p>
    <w:p w14:paraId="58A8A884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O módulo de operações recebeu, ao longo do ano, mais de 30 iterações de desenvolvimento e melhoria, fruto de um processo próximo de colaboração com as equipas operacionais.</w:t>
      </w:r>
    </w:p>
    <w:p w14:paraId="5955BC86" w14:textId="77777777" w:rsidR="007B4801" w:rsidRPr="005D3E01" w:rsidRDefault="007B4801">
      <w:pPr>
        <w:spacing w:after="80"/>
        <w:rPr>
          <w:lang w:val="pt-PT"/>
        </w:rPr>
      </w:pPr>
    </w:p>
    <w:p w14:paraId="492E4216" w14:textId="48151863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4.3.2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Gestão de Pedidos e Documentos</w:t>
      </w:r>
    </w:p>
    <w:p w14:paraId="0EAA24EE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 xml:space="preserve">O fluxo de tramitação de pedidos foi profundamente renovado em 2025, tornando o processo mais transparente, </w:t>
      </w:r>
      <w:proofErr w:type="spellStart"/>
      <w:r w:rsidRPr="005D3E01">
        <w:rPr>
          <w:rFonts w:ascii="Calibri" w:hAnsi="Calibri"/>
          <w:color w:val="1A1A2E"/>
          <w:sz w:val="21"/>
          <w:lang w:val="pt-PT"/>
        </w:rPr>
        <w:t>rastreável</w:t>
      </w:r>
      <w:proofErr w:type="spellEnd"/>
      <w:r w:rsidRPr="005D3E01">
        <w:rPr>
          <w:rFonts w:ascii="Calibri" w:hAnsi="Calibri"/>
          <w:color w:val="1A1A2E"/>
          <w:sz w:val="21"/>
          <w:lang w:val="pt-PT"/>
        </w:rPr>
        <w:t xml:space="preserve"> e eficiente:</w:t>
      </w:r>
    </w:p>
    <w:p w14:paraId="3057774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 xml:space="preserve">Motor de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workflow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com geração automática de linha de tempo visual por fases, mostrando o histórico completo de cada pedido;</w:t>
      </w:r>
    </w:p>
    <w:p w14:paraId="2686ECA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Sistema de notificações em tempo real — quando um documento muda de estado, os utilizadores relevantes são notificados instantaneamente;</w:t>
      </w:r>
    </w:p>
    <w:p w14:paraId="2132908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Alertas automáticos de documentos em atraso — identificação e destaque de pedidos com prazos ultrapassados;</w:t>
      </w:r>
    </w:p>
    <w:p w14:paraId="2BE033B0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Replicação e reabertura de pedidos — elimina trabalho duplicado em situações recorrentes;</w:t>
      </w:r>
    </w:p>
    <w:p w14:paraId="532B9ED5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Gestão de anexos com suporte a arrastar-e-largar (drag-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and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>-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drop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>);</w:t>
      </w:r>
    </w:p>
    <w:p w14:paraId="4B793E8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Validação algorítmica de NIF no momento de criação do pedido, eliminando erros de registo.</w:t>
      </w:r>
    </w:p>
    <w:p w14:paraId="056173A7" w14:textId="223D09DD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4.3.3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Pagamentos Digitais — Integração SIBS</w:t>
      </w:r>
    </w:p>
    <w:p w14:paraId="069E8BA3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Em 2025 foi implementado e estabilizado o módulo de pagamentos com integração na SIBS (Sistema Interbancário de Serviços), cobrindo todos os métodos de cobrança da AINTAR: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727"/>
        <w:gridCol w:w="4725"/>
      </w:tblGrid>
      <w:tr w:rsidR="007B4801" w14:paraId="476585B6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0B5FA803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Pagamento</w:t>
            </w:r>
            <w:proofErr w:type="spellEnd"/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6FBD2C9D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 em 2025</w:t>
            </w:r>
          </w:p>
        </w:tc>
      </w:tr>
      <w:tr w:rsidR="007B4801" w14:paraId="7DCDCA7B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1CC76891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MBWay</w:t>
            </w:r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29034729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 w:rsidR="007B4801" w14:paraId="47BC2E4D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5ADDC1AD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Referência Multibanco</w:t>
            </w:r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085BE065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 w:rsidR="007B4801" w14:paraId="164FFD27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19490EE0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Transferência Bancária</w:t>
            </w:r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22CC651E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 w:rsidR="007B4801" w14:paraId="060B723B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15AF7F10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Numerário (Caixa)</w:t>
            </w:r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08AA3DA4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 w:rsidR="007B4801" w14:paraId="472071C1" w14:textId="77777777">
        <w:trPr>
          <w:jc w:val="center"/>
        </w:trPr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0029F703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Pagamento Municipal</w:t>
            </w:r>
          </w:p>
        </w:tc>
        <w:tc>
          <w:tcPr>
            <w:tcW w:w="4819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4F5DCB1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</w:tbl>
    <w:p w14:paraId="42B8E037" w14:textId="77777777" w:rsidR="007B4801" w:rsidRDefault="007B4801">
      <w:pPr>
        <w:spacing w:after="80"/>
      </w:pPr>
    </w:p>
    <w:p w14:paraId="497E756C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 xml:space="preserve">O sistema recebe confirmações de pagamento automáticas via </w:t>
      </w:r>
      <w:proofErr w:type="spellStart"/>
      <w:r w:rsidRPr="005D3E01">
        <w:rPr>
          <w:rFonts w:ascii="Calibri" w:hAnsi="Calibri"/>
          <w:color w:val="1A1A2E"/>
          <w:sz w:val="21"/>
          <w:lang w:val="pt-PT"/>
        </w:rPr>
        <w:t>webhook</w:t>
      </w:r>
      <w:proofErr w:type="spellEnd"/>
      <w:r w:rsidRPr="005D3E01">
        <w:rPr>
          <w:rFonts w:ascii="Calibri" w:hAnsi="Calibri"/>
          <w:color w:val="1A1A2E"/>
          <w:sz w:val="21"/>
          <w:lang w:val="pt-PT"/>
        </w:rPr>
        <w:t xml:space="preserve"> SIBS (comunicação encriptada AES-GCM), atualizando o estado das faturas em tempo real sem intervenção manual — o fluxo de cobrança conclui-se de forma autónoma após pagamento do cliente.</w:t>
      </w:r>
    </w:p>
    <w:p w14:paraId="136B891A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Possibilidade de alterar o método de pagamento após emissão;</w:t>
      </w:r>
    </w:p>
    <w:p w14:paraId="1F776E4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pagamentos manuais com atribuição de responsabilidade ao utilizador;</w:t>
      </w:r>
    </w:p>
    <w:p w14:paraId="43CD9C37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Visualização do estado de fatura acessível a todos os intervenientes do processo.</w:t>
      </w:r>
    </w:p>
    <w:p w14:paraId="41EEB356" w14:textId="75A74BFC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4.3.4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Saneamento — ETAR e Estações Elevatórias</w:t>
      </w:r>
    </w:p>
    <w:p w14:paraId="7D62BD69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gestão das infraestruturas de saneamento foi integrada na plataforma com um conjunto alargado de funcionalidades de registo operacional, organizadas por tipo de instalação:</w:t>
      </w:r>
    </w:p>
    <w:p w14:paraId="500956CF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ETAR e EE — </w:t>
      </w:r>
      <w:r w:rsidRPr="005D3E01">
        <w:rPr>
          <w:rFonts w:ascii="Calibri" w:hAnsi="Calibri"/>
          <w:color w:val="1A1A2E"/>
          <w:sz w:val="20"/>
          <w:lang w:val="pt-PT"/>
        </w:rPr>
        <w:t>Volumes de afluência e de água limpa tratada (m³);</w:t>
      </w:r>
    </w:p>
    <w:p w14:paraId="1154322C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lastRenderedPageBreak/>
        <w:t xml:space="preserve">ETAR e EE — </w:t>
      </w:r>
      <w:r w:rsidRPr="005D3E01">
        <w:rPr>
          <w:rFonts w:ascii="Calibri" w:hAnsi="Calibri"/>
          <w:color w:val="1A1A2E"/>
          <w:sz w:val="20"/>
          <w:lang w:val="pt-PT"/>
        </w:rPr>
        <w:t>Consumo de energia elétrica e despesas operacionais;</w:t>
      </w:r>
    </w:p>
    <w:p w14:paraId="661575D5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ETAR e EE — </w:t>
      </w:r>
      <w:r w:rsidRPr="005D3E01">
        <w:rPr>
          <w:rFonts w:ascii="Calibri" w:hAnsi="Calibri"/>
          <w:color w:val="1A1A2E"/>
          <w:sz w:val="20"/>
          <w:lang w:val="pt-PT"/>
        </w:rPr>
        <w:t>Retirada e destino de lamas; desmatações perimetrais; reparações; vedações; visitas técnicas;</w:t>
      </w:r>
    </w:p>
    <w:p w14:paraId="605660E4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ETAR — </w:t>
      </w:r>
      <w:r w:rsidRPr="005D3E01">
        <w:rPr>
          <w:rFonts w:ascii="Calibri" w:hAnsi="Calibri"/>
          <w:color w:val="1A1A2E"/>
          <w:sz w:val="20"/>
          <w:lang w:val="pt-PT"/>
        </w:rPr>
        <w:t>Análises laboratoriais de qualidade ambiental dos efluentes;</w:t>
      </w:r>
    </w:p>
    <w:p w14:paraId="6CCFF5F9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Rede — </w:t>
      </w:r>
      <w:r w:rsidRPr="005D3E01">
        <w:rPr>
          <w:rFonts w:ascii="Calibri" w:hAnsi="Calibri"/>
          <w:color w:val="1A1A2E"/>
          <w:sz w:val="20"/>
          <w:lang w:val="pt-PT"/>
        </w:rPr>
        <w:t>Desobstruções de coletores e caixas de visita; reparações de colapso;</w:t>
      </w:r>
    </w:p>
    <w:p w14:paraId="011C47EC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Ramais — </w:t>
      </w:r>
      <w:r w:rsidRPr="005D3E01">
        <w:rPr>
          <w:rFonts w:ascii="Calibri" w:hAnsi="Calibri"/>
          <w:color w:val="1A1A2E"/>
          <w:sz w:val="20"/>
          <w:lang w:val="pt-PT"/>
        </w:rPr>
        <w:t>Despesas e desobstruções de ramais domiciliários.</w:t>
      </w:r>
    </w:p>
    <w:p w14:paraId="34FFE2F4" w14:textId="77777777" w:rsidR="007B4801" w:rsidRPr="005D3E01" w:rsidRDefault="007B4801">
      <w:pPr>
        <w:spacing w:after="40"/>
        <w:rPr>
          <w:lang w:val="pt-PT"/>
        </w:rPr>
      </w:pPr>
    </w:p>
    <w:p w14:paraId="57B289A6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b/>
          <w:color w:val="1A1A2E"/>
          <w:sz w:val="21"/>
          <w:lang w:val="pt-PT"/>
        </w:rPr>
        <w:t xml:space="preserve">Destaque: </w:t>
      </w:r>
      <w:r w:rsidRPr="005D3E01">
        <w:rPr>
          <w:rFonts w:ascii="Calibri" w:hAnsi="Calibri"/>
          <w:color w:val="1A1A2E"/>
          <w:sz w:val="21"/>
          <w:lang w:val="pt-PT"/>
        </w:rPr>
        <w:t>Em agosto de 2025 foi implementado um módulo específico de registo e acompanhamento de incumprimentos ambientais em ETAR, permitindo documentar, acompanhar e reportar situações de desvio face aos parâmetros de descarga legalmente exigidos — instrumento fundamental de conformidade regulatória.</w:t>
      </w:r>
    </w:p>
    <w:p w14:paraId="775796EE" w14:textId="5BA1A461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4.3.5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Telemetria </w:t>
      </w:r>
      <w:proofErr w:type="spellStart"/>
      <w:r w:rsidR="00000000" w:rsidRPr="005D3E01">
        <w:rPr>
          <w:rFonts w:ascii="Calibri" w:hAnsi="Calibri"/>
          <w:b/>
          <w:color w:val="1E6AB0"/>
          <w:sz w:val="23"/>
          <w:lang w:val="pt-PT"/>
        </w:rPr>
        <w:t>IoT</w:t>
      </w:r>
      <w:proofErr w:type="spellEnd"/>
    </w:p>
    <w:p w14:paraId="76462716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plataforma recebe e armazena em tempo real dados provenientes de sensores remotos instalados nas infraestruturas hídricas da AINTAR:</w:t>
      </w:r>
    </w:p>
    <w:p w14:paraId="7C56764B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Ingestão automática de dados via API segura por chave de autenticação, sem intervenção humana;</w:t>
      </w:r>
    </w:p>
    <w:p w14:paraId="1C050C77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Consulta, filtragem e análise de leituras por instalação e intervalo temporal;</w:t>
      </w:r>
    </w:p>
    <w:p w14:paraId="08BBF665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proofErr w:type="spellStart"/>
      <w:r w:rsidRPr="005D3E01">
        <w:rPr>
          <w:rFonts w:ascii="Calibri" w:hAnsi="Calibri"/>
          <w:color w:val="1A1A2E"/>
          <w:sz w:val="20"/>
          <w:lang w:val="pt-PT"/>
        </w:rPr>
        <w:t>Dashboard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de telemetria com visualização de parâmetros em tempo real;</w:t>
      </w:r>
    </w:p>
    <w:p w14:paraId="2DE826E8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Suporte a múltiplos tipos de sensores e parâmetros configuráveis.</w:t>
      </w:r>
    </w:p>
    <w:p w14:paraId="3E295E2F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Esta componente representa um passo concreto da AINTAR na direção da monitorização contínua e automatizada dos seus ativos hídricos, reduzindo a dependência de inspeções presenciais de rotina.</w:t>
      </w:r>
    </w:p>
    <w:p w14:paraId="540F0AFD" w14:textId="27DAF5A4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4.3.6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EPI — Equipamentos de Proteção Individual</w:t>
      </w:r>
    </w:p>
    <w:p w14:paraId="6025648C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Desenvolvido em articulação com o departamento de Recursos Humanos e Segurança no Trabalho, este módulo centraliza a gestão de equipamentos de proteção e fardamento:</w:t>
      </w:r>
    </w:p>
    <w:p w14:paraId="158F4A7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Cadastro de equipamentos e fardamento disponíveis em stock;</w:t>
      </w:r>
    </w:p>
    <w:p w14:paraId="35299260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entregas a colaboradores, com historial individual por funcionário;</w:t>
      </w:r>
    </w:p>
    <w:p w14:paraId="16E1351C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Preferências individuais de EPI por colaborador;</w:t>
      </w:r>
    </w:p>
    <w:p w14:paraId="58BF2A8B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Criação de registos de novos colaboradores diretamente na plataforma;</w:t>
      </w:r>
    </w:p>
    <w:p w14:paraId="38CFF941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Consulta de histórico por data ou por funcionário.</w:t>
      </w:r>
    </w:p>
    <w:p w14:paraId="1D99F587" w14:textId="3D312FC9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4.3.7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Gestão de Frota</w:t>
      </w:r>
    </w:p>
    <w:p w14:paraId="366CF763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gestão da frota de veículos da AINTAR encontra-se integrada na plataforma, eliminando registos dispersos em papel ou folhas de cálculo:</w:t>
      </w:r>
    </w:p>
    <w:p w14:paraId="0D5B656A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Catálogo de veículos da organização com ficha de cada viatura;</w:t>
      </w:r>
    </w:p>
    <w:p w14:paraId="064E3BD3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Atribuição de veículos a colaboradores com registo histórico;</w:t>
      </w:r>
    </w:p>
    <w:p w14:paraId="0259B67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manutenções e intervenções na frota.</w:t>
      </w:r>
    </w:p>
    <w:p w14:paraId="46BAB306" w14:textId="4424C88A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4.3.8 Gestão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Ofícios e Assinatura Digital</w:t>
      </w:r>
    </w:p>
    <w:p w14:paraId="0372D051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Foi implementado o módulo de ofícios e expediente com ciclo de vida documental completo e capacidade de assinatura digital integrada na plataforma:</w:t>
      </w:r>
    </w:p>
    <w:p w14:paraId="66AE6374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Emissão de ofícios com geração automática de PDF;</w:t>
      </w:r>
    </w:p>
    <w:p w14:paraId="4B2A438A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lastRenderedPageBreak/>
        <w:t>Ciclo de vida controlado: Rascunho → Emitido → Assinado → Cancelado;</w:t>
      </w:r>
    </w:p>
    <w:p w14:paraId="2F6DDC47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Assinatura digital integrada — o signatário assina diretamente na plataforma, ficando a data, hora e assinatura registadas no documento PDF;</w:t>
      </w:r>
    </w:p>
    <w:p w14:paraId="24A84CC9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Replicação de ofícios para agilizar respostas recorrentes;</w:t>
      </w:r>
    </w:p>
    <w:p w14:paraId="67968F50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Auditoria completa com registo de todas as alterações.</w:t>
      </w:r>
    </w:p>
    <w:p w14:paraId="1604D72B" w14:textId="4E32F4D0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4.3.9 Módulo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de Obras e Intervenções Estruturais</w:t>
      </w:r>
    </w:p>
    <w:p w14:paraId="52BF3DB3" w14:textId="77777777" w:rsidR="007B4801" w:rsidRDefault="00000000">
      <w:pPr>
        <w:spacing w:after="100"/>
        <w:jc w:val="both"/>
        <w:rPr>
          <w:rFonts w:ascii="Calibri" w:hAnsi="Calibri"/>
          <w:color w:val="1A1A2E"/>
          <w:sz w:val="21"/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O registo e acompanhamento de obras por instalação passou a estar integrado na plataforma, com histórico consultável e associação direta à infraestrutura intervencionada — permitindo rastrear investimentos e intervenções de maior envergadura em cada ativo.</w:t>
      </w:r>
    </w:p>
    <w:p w14:paraId="67B93272" w14:textId="77777777" w:rsidR="005D3E01" w:rsidRPr="005D3E01" w:rsidRDefault="005D3E01">
      <w:pPr>
        <w:spacing w:after="100"/>
        <w:jc w:val="both"/>
        <w:rPr>
          <w:lang w:val="pt-PT"/>
        </w:rPr>
      </w:pPr>
    </w:p>
    <w:p w14:paraId="072A1901" w14:textId="1492A3E8" w:rsidR="007B4801" w:rsidRPr="005D3E01" w:rsidRDefault="005D3E01" w:rsidP="005D3E01">
      <w:pPr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t>4.4 Suporte</w:t>
      </w:r>
      <w:r w:rsidR="00000000" w:rsidRPr="005D3E01">
        <w:rPr>
          <w:rFonts w:ascii="Calibri" w:hAnsi="Calibri"/>
          <w:b/>
          <w:color w:val="1A3A5C"/>
          <w:sz w:val="28"/>
          <w:lang w:val="pt-PT"/>
        </w:rPr>
        <w:t xml:space="preserve"> Operacional, Processos e Infraestrutura Informática</w:t>
      </w:r>
    </w:p>
    <w:p w14:paraId="750DFD99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Para além do desenvolvimento da plataforma digital, a área de Tecnologias de Informação da AINTAR desempenha um papel ativo e transversal no funcionamento diário da organização, cobrindo três dimensões fundamentais de suporte interno.</w:t>
      </w:r>
    </w:p>
    <w:p w14:paraId="34C6C64D" w14:textId="600775AB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4.4.1 Suporte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à Migração de Instalações (Novembro de 2025)</w:t>
      </w:r>
    </w:p>
    <w:p w14:paraId="48B24B38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Em novembro de 2025, a AINTAR procedeu à mudança e migração das suas instalações. A área de TI assumiu a coordenação e execução integral do processo tecnológico associado, garantindo a continuidade total do serviço durante e após a transição:</w:t>
      </w:r>
    </w:p>
    <w:p w14:paraId="7AFC759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Planeamento e preparação antecipada de toda a infraestrutura tecnológica para o novo espaço;</w:t>
      </w:r>
    </w:p>
    <w:p w14:paraId="4238F2CF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Desmontagem, transporte e reinstalação de todos os equipamentos informáticos com zero perda de dados;</w:t>
      </w:r>
    </w:p>
    <w:p w14:paraId="1DC7C2E6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Reconfigurações de rede, conectividade e acessos no novo espaço;</w:t>
      </w:r>
    </w:p>
    <w:p w14:paraId="138CA0EA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Verificação e teste de todos os sistemas e serviços após a migração, assegurando o retorno à plena operacionalidade no menor tempo possível;</w:t>
      </w:r>
    </w:p>
    <w:p w14:paraId="1505DCB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Acompanhamento dos colaboradores durante o período de adaptação ao novo ambiente de trabalho.</w:t>
      </w:r>
    </w:p>
    <w:p w14:paraId="1CF0482C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migração decorreu sem interrupção do serviço informático prestado, com a plataforma AINTAR a manter-se disponível e operacional durante todo o processo.</w:t>
      </w:r>
    </w:p>
    <w:p w14:paraId="490D799B" w14:textId="653FE8C8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4.4.2 Definição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e Acompanhamento de Processos e Procedimentos</w:t>
      </w:r>
    </w:p>
    <w:p w14:paraId="24FEFCF0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área de TI participou ativamente, ao longo de 2025, na implementação e acompanhamento da definição de processos e procedimentos internos, com o objetivo de melhorar o funcionamento dos serviços da AINTAR e garantir que estes sejam simples, transparentes e eficientes.</w:t>
      </w:r>
    </w:p>
    <w:p w14:paraId="653A3D8E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Este trabalho desenvolveu-se em duas vertentes complementares:</w:t>
      </w:r>
    </w:p>
    <w:p w14:paraId="06585D89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Análise — </w:t>
      </w:r>
      <w:r w:rsidRPr="005D3E01">
        <w:rPr>
          <w:rFonts w:ascii="Calibri" w:hAnsi="Calibri"/>
          <w:color w:val="1A1A2E"/>
          <w:sz w:val="20"/>
          <w:lang w:val="pt-PT"/>
        </w:rPr>
        <w:t>Levantamento e mapeamento de fluxos de trabalho existentes — identificando redundâncias, pontos de fricção e oportunidades de melhoria nos processos operacionais e administrativos;</w:t>
      </w:r>
    </w:p>
    <w:p w14:paraId="0709084C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Implementação — </w:t>
      </w:r>
      <w:r w:rsidRPr="005D3E01">
        <w:rPr>
          <w:rFonts w:ascii="Calibri" w:hAnsi="Calibri"/>
          <w:color w:val="1A1A2E"/>
          <w:sz w:val="20"/>
          <w:lang w:val="pt-PT"/>
        </w:rPr>
        <w:t>Tradução dos processos definidos em funcionalidades concretas da plataforma digital — garantindo que o sistema reflete e suporta fielmente a forma como a organização trabalha, e não o inverso.</w:t>
      </w:r>
    </w:p>
    <w:p w14:paraId="008FEF94" w14:textId="77777777" w:rsidR="007B4801" w:rsidRDefault="00000000">
      <w:pPr>
        <w:spacing w:after="100"/>
        <w:jc w:val="both"/>
      </w:pPr>
      <w:r w:rsidRPr="005D3E01">
        <w:rPr>
          <w:rFonts w:ascii="Calibri" w:hAnsi="Calibri"/>
          <w:color w:val="1A1A2E"/>
          <w:sz w:val="21"/>
          <w:lang w:val="pt-PT"/>
        </w:rPr>
        <w:lastRenderedPageBreak/>
        <w:t xml:space="preserve">A proximidade entre a definição do processo e a sua implementação tecnológica permitiu ciclos de melhoria curtos e iterativos, com resultados visíveis rapidamente. </w:t>
      </w:r>
      <w:proofErr w:type="spellStart"/>
      <w:r>
        <w:rPr>
          <w:rFonts w:ascii="Calibri" w:hAnsi="Calibri"/>
          <w:color w:val="1A1A2E"/>
          <w:sz w:val="21"/>
        </w:rPr>
        <w:t>Os</w:t>
      </w:r>
      <w:proofErr w:type="spellEnd"/>
      <w:r>
        <w:rPr>
          <w:rFonts w:ascii="Calibri" w:hAnsi="Calibri"/>
          <w:color w:val="1A1A2E"/>
          <w:sz w:val="21"/>
        </w:rPr>
        <w:t xml:space="preserve"> </w:t>
      </w:r>
      <w:proofErr w:type="spellStart"/>
      <w:r>
        <w:rPr>
          <w:rFonts w:ascii="Calibri" w:hAnsi="Calibri"/>
          <w:color w:val="1A1A2E"/>
          <w:sz w:val="21"/>
        </w:rPr>
        <w:t>princípios</w:t>
      </w:r>
      <w:proofErr w:type="spellEnd"/>
      <w:r>
        <w:rPr>
          <w:rFonts w:ascii="Calibri" w:hAnsi="Calibri"/>
          <w:color w:val="1A1A2E"/>
          <w:sz w:val="21"/>
        </w:rPr>
        <w:t xml:space="preserve"> </w:t>
      </w:r>
      <w:proofErr w:type="spellStart"/>
      <w:r>
        <w:rPr>
          <w:rFonts w:ascii="Calibri" w:hAnsi="Calibri"/>
          <w:color w:val="1A1A2E"/>
          <w:sz w:val="21"/>
        </w:rPr>
        <w:t>orientadores</w:t>
      </w:r>
      <w:proofErr w:type="spellEnd"/>
      <w:r>
        <w:rPr>
          <w:rFonts w:ascii="Calibri" w:hAnsi="Calibri"/>
          <w:color w:val="1A1A2E"/>
          <w:sz w:val="21"/>
        </w:rPr>
        <w:t xml:space="preserve"> </w:t>
      </w:r>
      <w:proofErr w:type="spellStart"/>
      <w:r>
        <w:rPr>
          <w:rFonts w:ascii="Calibri" w:hAnsi="Calibri"/>
          <w:color w:val="1A1A2E"/>
          <w:sz w:val="21"/>
        </w:rPr>
        <w:t>desta</w:t>
      </w:r>
      <w:proofErr w:type="spellEnd"/>
      <w:r>
        <w:rPr>
          <w:rFonts w:ascii="Calibri" w:hAnsi="Calibri"/>
          <w:color w:val="1A1A2E"/>
          <w:sz w:val="21"/>
        </w:rPr>
        <w:t xml:space="preserve"> abordagem foram:</w:t>
      </w:r>
    </w:p>
    <w:p w14:paraId="2CE6BB70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Simplicidade — eliminar passos desnecessários e tornar cada processo tão direto quanto possível;</w:t>
      </w:r>
    </w:p>
    <w:p w14:paraId="2AB173C8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Transparência — todos os intervenientes têm visibilidade sobre o estado de cada processo;</w:t>
      </w:r>
    </w:p>
    <w:p w14:paraId="74B3988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Eficiência — reduzir o esforço manual e o risco de erro em tarefas recorrentes.</w:t>
      </w:r>
    </w:p>
    <w:p w14:paraId="28F0806D" w14:textId="1BCD9A9C" w:rsidR="007B4801" w:rsidRPr="005D3E01" w:rsidRDefault="005D3E01">
      <w:pPr>
        <w:keepNext/>
        <w:spacing w:before="240" w:after="60"/>
        <w:rPr>
          <w:lang w:val="pt-PT"/>
        </w:rPr>
      </w:pPr>
      <w:r w:rsidRPr="005D3E01">
        <w:rPr>
          <w:rFonts w:ascii="Calibri" w:hAnsi="Calibri"/>
          <w:b/>
          <w:color w:val="1E6AB0"/>
          <w:sz w:val="23"/>
          <w:lang w:val="pt-PT"/>
        </w:rPr>
        <w:t>4.4.3 Suporte</w:t>
      </w:r>
      <w:r w:rsidR="00000000" w:rsidRPr="005D3E01">
        <w:rPr>
          <w:rFonts w:ascii="Calibri" w:hAnsi="Calibri"/>
          <w:b/>
          <w:color w:val="1E6AB0"/>
          <w:sz w:val="23"/>
          <w:lang w:val="pt-PT"/>
        </w:rPr>
        <w:t xml:space="preserve"> Técnico Permanente e Manutenção do Parque Informático</w:t>
      </w:r>
    </w:p>
    <w:p w14:paraId="2D7BA8FF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área de TI presta acompanhamento técnico a tempo inteiro a toda a organização, garantindo o bom funcionamento do parque informático e respondendo de forma célere às necessidades dos colaboradores.</w:t>
      </w:r>
    </w:p>
    <w:p w14:paraId="7C0EF87A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As principais atividades de suporte e manutenção em 2025 incluíram:</w:t>
      </w:r>
    </w:p>
    <w:p w14:paraId="655F6936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Acompanhamento e avaliação da evolução tecnológica de equipamentos — identificação de necessidades de renovação e assessoria na aquisição de novos equipamentos;</w:t>
      </w:r>
    </w:p>
    <w:p w14:paraId="1854376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Manutenção preventiva e corretiva de computadores, impressoras, scanners e restantes periféricos;</w:t>
      </w:r>
    </w:p>
    <w:p w14:paraId="71DF1F45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Gestão de licenças de software, atualizações de sistema operativo e aplicações;</w:t>
      </w:r>
    </w:p>
    <w:p w14:paraId="17BF8FA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Configuração e suporte a equipamentos de rede (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switches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>, routers, pontos de acesso Wi-Fi);</w:t>
      </w:r>
    </w:p>
    <w:p w14:paraId="2AF5ED2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Resolução de incidentes técnicos reportados pelos utilizadores, com resposta no próprio dia;</w:t>
      </w:r>
    </w:p>
    <w:p w14:paraId="3798C172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Acompanhamento da segurança dos postos de trabalho — antivírus, políticas de passwords, backups locais.</w:t>
      </w:r>
    </w:p>
    <w:p w14:paraId="7A42140B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Este suporte técnico permanente representa um contributo direto para a produtividade dos colaboradores e para a continuidade operacional da AINTAR, minimizando tempos de paragem por falha de equipamento ou software.</w:t>
      </w:r>
    </w:p>
    <w:p w14:paraId="5407DDD6" w14:textId="77777777" w:rsidR="007B4801" w:rsidRPr="005D3E01" w:rsidRDefault="00000000">
      <w:pPr>
        <w:rPr>
          <w:lang w:val="pt-PT"/>
        </w:rPr>
      </w:pPr>
      <w:r w:rsidRPr="005D3E01">
        <w:rPr>
          <w:lang w:val="pt-PT"/>
        </w:rPr>
        <w:br w:type="page"/>
      </w:r>
    </w:p>
    <w:p w14:paraId="4CD62DB0" w14:textId="5B4DA30C" w:rsidR="007B4801" w:rsidRPr="005D3E01" w:rsidRDefault="005D3E01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lastRenderedPageBreak/>
        <w:t>4.5 Segurança</w:t>
      </w:r>
      <w:r w:rsidR="00000000" w:rsidRPr="005D3E01">
        <w:rPr>
          <w:rFonts w:ascii="Calibri" w:hAnsi="Calibri"/>
          <w:b/>
          <w:color w:val="1A3A5C"/>
          <w:sz w:val="28"/>
          <w:lang w:val="pt-PT"/>
        </w:rPr>
        <w:t>, Controlo de Acessos e Conformidade</w:t>
      </w:r>
    </w:p>
    <w:p w14:paraId="4FA395B3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plataforma implementa um sistema de controlo de acessos granular por função (RBAC — Role-</w:t>
      </w:r>
      <w:proofErr w:type="spellStart"/>
      <w:r w:rsidRPr="005D3E01">
        <w:rPr>
          <w:rFonts w:ascii="Calibri" w:hAnsi="Calibri"/>
          <w:color w:val="1A1A2E"/>
          <w:sz w:val="21"/>
          <w:lang w:val="pt-PT"/>
        </w:rPr>
        <w:t>Based</w:t>
      </w:r>
      <w:proofErr w:type="spellEnd"/>
      <w:r w:rsidRPr="005D3E01">
        <w:rPr>
          <w:rFonts w:ascii="Calibri" w:hAnsi="Calibri"/>
          <w:color w:val="1A1A2E"/>
          <w:sz w:val="21"/>
          <w:lang w:val="pt-PT"/>
        </w:rPr>
        <w:t xml:space="preserve"> Access </w:t>
      </w:r>
      <w:proofErr w:type="spellStart"/>
      <w:r w:rsidRPr="005D3E01">
        <w:rPr>
          <w:rFonts w:ascii="Calibri" w:hAnsi="Calibri"/>
          <w:color w:val="1A1A2E"/>
          <w:sz w:val="21"/>
          <w:lang w:val="pt-PT"/>
        </w:rPr>
        <w:t>Control</w:t>
      </w:r>
      <w:proofErr w:type="spellEnd"/>
      <w:r w:rsidRPr="005D3E01">
        <w:rPr>
          <w:rFonts w:ascii="Calibri" w:hAnsi="Calibri"/>
          <w:color w:val="1A1A2E"/>
          <w:sz w:val="21"/>
          <w:lang w:val="pt-PT"/>
        </w:rPr>
        <w:t>): cada colaborador tem acesso exclusivamente às funcionalidades que lhe foram atribuídas, com permissões configuradas individualmente por módulo e por ação (visualizar, editar, gerir). É garantido o princípio do mínimo privilégio em toda a plataforma.</w:t>
      </w:r>
    </w:p>
    <w:p w14:paraId="51B2C8EC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Medidas de segurança implementadas ou reforçadas em 2025:</w:t>
      </w:r>
    </w:p>
    <w:p w14:paraId="52D2D7DB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 xml:space="preserve">Autenticação por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tokens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JWT de curta duração com renovação automática controlada;</w:t>
      </w:r>
    </w:p>
    <w:p w14:paraId="7DAFC964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Registo de sessões — cada acesso é gravado com utilizador, endereço IP e horas de início e fim;</w:t>
      </w:r>
    </w:p>
    <w:p w14:paraId="5BCE038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 xml:space="preserve">Sistema centralizado de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logging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(outubro de 2025) — todos os eventos do sistema são registados para auditoria e diagnóstico;</w:t>
      </w:r>
    </w:p>
    <w:p w14:paraId="096B2CBD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Encriptação HTTPS em todas as comunicações entre o browser e o servidor;</w:t>
      </w:r>
    </w:p>
    <w:p w14:paraId="6FA01371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Validação de dados em dupla camada — no browser e no servidor — prevenindo erros e submissões maliciosas;</w:t>
      </w:r>
    </w:p>
    <w:p w14:paraId="6B16CC83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proofErr w:type="spellStart"/>
      <w:r w:rsidRPr="005D3E01">
        <w:rPr>
          <w:rFonts w:ascii="Calibri" w:hAnsi="Calibri"/>
          <w:color w:val="1A1A2E"/>
          <w:sz w:val="20"/>
          <w:lang w:val="pt-PT"/>
        </w:rPr>
        <w:t>Webhooks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com encriptação AES-GCM para comunicação segura com entidades externas (SIBS).</w:t>
      </w:r>
    </w:p>
    <w:p w14:paraId="64B09E2C" w14:textId="2256E7EB" w:rsidR="007B4801" w:rsidRPr="005D3E01" w:rsidRDefault="005D3E01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t>4.6 Disponibilidade</w:t>
      </w:r>
      <w:r w:rsidR="00000000" w:rsidRPr="005D3E01">
        <w:rPr>
          <w:rFonts w:ascii="Calibri" w:hAnsi="Calibri"/>
          <w:b/>
          <w:color w:val="1A3A5C"/>
          <w:sz w:val="28"/>
          <w:lang w:val="pt-PT"/>
        </w:rPr>
        <w:t xml:space="preserve"> e Continuidade do Serviço</w:t>
      </w:r>
    </w:p>
    <w:p w14:paraId="66B0DD11" w14:textId="77777777" w:rsidR="007B4801" w:rsidRDefault="00000000">
      <w:pPr>
        <w:spacing w:after="100"/>
        <w:jc w:val="both"/>
      </w:pPr>
      <w:r w:rsidRPr="005D3E01">
        <w:rPr>
          <w:rFonts w:ascii="Calibri" w:hAnsi="Calibri"/>
          <w:color w:val="1A1A2E"/>
          <w:sz w:val="21"/>
          <w:lang w:val="pt-PT"/>
        </w:rPr>
        <w:t xml:space="preserve">A plataforma esteve disponível de forma contínua ao longo de 2025. As atualizações foram realizadas de forma transparente, sem interrupção do serviço para os utilizadores. </w:t>
      </w:r>
      <w:r>
        <w:rPr>
          <w:rFonts w:ascii="Calibri" w:hAnsi="Calibri"/>
          <w:color w:val="1A1A2E"/>
          <w:sz w:val="21"/>
        </w:rPr>
        <w:t xml:space="preserve">O </w:t>
      </w:r>
      <w:proofErr w:type="spellStart"/>
      <w:r>
        <w:rPr>
          <w:rFonts w:ascii="Calibri" w:hAnsi="Calibri"/>
          <w:color w:val="1A1A2E"/>
          <w:sz w:val="21"/>
        </w:rPr>
        <w:t>sistema</w:t>
      </w:r>
      <w:proofErr w:type="spellEnd"/>
      <w:r>
        <w:rPr>
          <w:rFonts w:ascii="Calibri" w:hAnsi="Calibri"/>
          <w:color w:val="1A1A2E"/>
          <w:sz w:val="21"/>
        </w:rPr>
        <w:t xml:space="preserve"> de deployment automatizado permite:</w:t>
      </w:r>
    </w:p>
    <w:p w14:paraId="2A1DC246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Colocação de novas versões em produção com tempo de inatividade mínimo;</w:t>
      </w:r>
    </w:p>
    <w:p w14:paraId="52B2BCE3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Modo de manutenção com página informativa para os utilizadores durante intervenções programadas;</w:t>
      </w:r>
    </w:p>
    <w:p w14:paraId="2E0538EB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color w:val="1A1A2E"/>
          <w:sz w:val="20"/>
          <w:lang w:val="pt-PT"/>
        </w:rPr>
        <w:t>Possibilidade de reversão rápida para versão anterior em caso de necessidade.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36"/>
      </w:tblGrid>
      <w:tr w:rsidR="007B4801" w:rsidRPr="005D3E01" w14:paraId="5DF302CB" w14:textId="77777777">
        <w:tc>
          <w:tcPr>
            <w:tcW w:w="9236" w:type="dxa"/>
            <w:tcBorders>
              <w:top w:val="single" w:sz="8" w:space="0" w:color="1E6AB0"/>
              <w:left w:val="single" w:sz="8" w:space="0" w:color="1E6AB0"/>
              <w:bottom w:val="single" w:sz="8" w:space="0" w:color="1E6AB0"/>
              <w:right w:val="single" w:sz="8" w:space="0" w:color="1E6AB0"/>
            </w:tcBorders>
            <w:shd w:val="clear" w:color="auto" w:fill="D6E4F0"/>
          </w:tcPr>
          <w:p w14:paraId="19654ACB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b/>
                <w:color w:val="1A3A5C"/>
                <w:sz w:val="21"/>
                <w:lang w:val="pt-PT"/>
              </w:rPr>
              <w:t>Versões lançadas em produção: 40  |  Contributos de desenvolvimento registados: 112  |  Período de desenvolvimento ativo: Janeiro — Novembro 2025</w:t>
            </w:r>
          </w:p>
        </w:tc>
      </w:tr>
    </w:tbl>
    <w:p w14:paraId="4EBF16AA" w14:textId="77777777" w:rsidR="007B4801" w:rsidRPr="005D3E01" w:rsidRDefault="007B4801">
      <w:pPr>
        <w:spacing w:after="120"/>
        <w:rPr>
          <w:lang w:val="pt-PT"/>
        </w:rPr>
      </w:pPr>
    </w:p>
    <w:p w14:paraId="13D54756" w14:textId="21FE6199" w:rsidR="007B4801" w:rsidRPr="005D3E01" w:rsidRDefault="005D3E01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t>4.7 Perspetivas</w:t>
      </w:r>
      <w:r w:rsidR="00000000" w:rsidRPr="005D3E01">
        <w:rPr>
          <w:rFonts w:ascii="Calibri" w:hAnsi="Calibri"/>
          <w:b/>
          <w:color w:val="1A3A5C"/>
          <w:sz w:val="28"/>
          <w:lang w:val="pt-PT"/>
        </w:rPr>
        <w:t xml:space="preserve"> para 2026</w:t>
      </w:r>
    </w:p>
    <w:p w14:paraId="781E5DF8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Com a plataforma operacional e os módulos nucleares estabilizados, a estratégia de TI para 2026 centra-se nos seguintes vetores:</w:t>
      </w:r>
    </w:p>
    <w:p w14:paraId="4007E7FB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1. </w:t>
      </w:r>
      <w:r w:rsidRPr="005D3E01">
        <w:rPr>
          <w:rFonts w:ascii="Calibri" w:hAnsi="Calibri"/>
          <w:color w:val="1A1A2E"/>
          <w:sz w:val="20"/>
          <w:lang w:val="pt-PT"/>
        </w:rPr>
        <w:t>Conclusão e lançamento da interface de nova geração (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React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19 /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Vite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>) — mais rápida, com melhor experiência de utilização em todos os dispositivos;</w:t>
      </w:r>
    </w:p>
    <w:p w14:paraId="0A5B6FD0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2. </w:t>
      </w:r>
      <w:r w:rsidRPr="005D3E01">
        <w:rPr>
          <w:rFonts w:ascii="Calibri" w:hAnsi="Calibri"/>
          <w:color w:val="1A1A2E"/>
          <w:sz w:val="20"/>
          <w:lang w:val="pt-PT"/>
        </w:rPr>
        <w:t xml:space="preserve">Expansão da rede de telemetria — mais sensores e integração com </w:t>
      </w:r>
      <w:proofErr w:type="spellStart"/>
      <w:r w:rsidRPr="005D3E01">
        <w:rPr>
          <w:rFonts w:ascii="Calibri" w:hAnsi="Calibri"/>
          <w:color w:val="1A1A2E"/>
          <w:sz w:val="20"/>
          <w:lang w:val="pt-PT"/>
        </w:rPr>
        <w:t>dashboards</w:t>
      </w:r>
      <w:proofErr w:type="spellEnd"/>
      <w:r w:rsidRPr="005D3E01">
        <w:rPr>
          <w:rFonts w:ascii="Calibri" w:hAnsi="Calibri"/>
          <w:color w:val="1A1A2E"/>
          <w:sz w:val="20"/>
          <w:lang w:val="pt-PT"/>
        </w:rPr>
        <w:t xml:space="preserve"> analíticos avançados;</w:t>
      </w:r>
    </w:p>
    <w:p w14:paraId="70DD3A0E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3. </w:t>
      </w:r>
      <w:r w:rsidRPr="005D3E01">
        <w:rPr>
          <w:rFonts w:ascii="Calibri" w:hAnsi="Calibri"/>
          <w:color w:val="1A1A2E"/>
          <w:sz w:val="20"/>
          <w:lang w:val="pt-PT"/>
        </w:rPr>
        <w:t>Geração automática de relatórios operacionais periódicos a partir dos dados acumulados na plataforma;</w:t>
      </w:r>
    </w:p>
    <w:p w14:paraId="72090D77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4. </w:t>
      </w:r>
      <w:r w:rsidRPr="005D3E01">
        <w:rPr>
          <w:rFonts w:ascii="Calibri" w:hAnsi="Calibri"/>
          <w:color w:val="1A1A2E"/>
          <w:sz w:val="20"/>
          <w:lang w:val="pt-PT"/>
        </w:rPr>
        <w:t>Integração de dados com entidades reguladoras externas (ERSAR, APA);</w:t>
      </w:r>
    </w:p>
    <w:p w14:paraId="60567B1A" w14:textId="77777777" w:rsidR="007B4801" w:rsidRPr="005D3E01" w:rsidRDefault="00000000">
      <w:pPr>
        <w:pStyle w:val="Listacommarcas"/>
        <w:spacing w:before="20" w:after="20"/>
        <w:ind w:left="454"/>
        <w:rPr>
          <w:lang w:val="pt-PT"/>
        </w:rPr>
      </w:pPr>
      <w:r w:rsidRPr="005D3E01">
        <w:rPr>
          <w:rFonts w:ascii="Calibri" w:hAnsi="Calibri"/>
          <w:b/>
          <w:color w:val="1A1A2E"/>
          <w:sz w:val="20"/>
          <w:lang w:val="pt-PT"/>
        </w:rPr>
        <w:t xml:space="preserve">5. </w:t>
      </w:r>
      <w:r w:rsidRPr="005D3E01">
        <w:rPr>
          <w:rFonts w:ascii="Calibri" w:hAnsi="Calibri"/>
          <w:color w:val="1A1A2E"/>
          <w:sz w:val="20"/>
          <w:lang w:val="pt-PT"/>
        </w:rPr>
        <w:t>Estudo de viabilidade de aplicação móvel nativa para uso em campo sem ligação à internet.</w:t>
      </w:r>
    </w:p>
    <w:p w14:paraId="70BD6B6F" w14:textId="3CC68323" w:rsidR="007B4801" w:rsidRPr="005D3E01" w:rsidRDefault="005D3E01">
      <w:pPr>
        <w:keepNext/>
        <w:pBdr>
          <w:top w:val="single" w:sz="12" w:space="1" w:color="1E6AB0"/>
        </w:pBdr>
        <w:spacing w:before="360" w:after="80"/>
        <w:rPr>
          <w:lang w:val="pt-PT"/>
        </w:rPr>
      </w:pPr>
      <w:r w:rsidRPr="005D3E01">
        <w:rPr>
          <w:rFonts w:ascii="Calibri" w:hAnsi="Calibri"/>
          <w:b/>
          <w:color w:val="1A3A5C"/>
          <w:sz w:val="28"/>
          <w:lang w:val="pt-PT"/>
        </w:rPr>
        <w:lastRenderedPageBreak/>
        <w:t>4.8 Síntese</w:t>
      </w:r>
    </w:p>
    <w:p w14:paraId="2DCF7D1B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tabela seguinte resume o estado de cada área tecnológica e de suporte no final do exercício de 2025: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03"/>
        <w:gridCol w:w="4449"/>
      </w:tblGrid>
      <w:tr w:rsidR="007B4801" w14:paraId="2C1ABF46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0BFF5159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  <w:proofErr w:type="spellEnd"/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1A3A5C"/>
            <w:vAlign w:val="center"/>
          </w:tcPr>
          <w:p w14:paraId="5CE08352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Situação em Dezembro de 2025</w:t>
            </w:r>
          </w:p>
        </w:tc>
      </w:tr>
      <w:tr w:rsidR="007B4801" w14:paraId="3FAF1551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1928BC25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Plataforma Web (app.aintar.pt)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4AC69781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 — 40 versões lançadas</w:t>
            </w:r>
          </w:p>
        </w:tc>
      </w:tr>
      <w:tr w:rsidR="007B4801" w14:paraId="42BD9B8B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3AD19C05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Módulo de Operações de Campo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165B2C42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217A4F"/>
                <w:sz w:val="20"/>
              </w:rPr>
              <w:t>Implementado</w:t>
            </w:r>
            <w:proofErr w:type="spellEnd"/>
            <w:r>
              <w:rPr>
                <w:rFonts w:ascii="Calibri" w:hAnsi="Calibri"/>
                <w:b/>
                <w:color w:val="217A4F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b/>
                <w:color w:val="217A4F"/>
                <w:sz w:val="20"/>
              </w:rPr>
              <w:t>estabilizado</w:t>
            </w:r>
            <w:proofErr w:type="spellEnd"/>
          </w:p>
        </w:tc>
      </w:tr>
      <w:tr w:rsidR="007B4801" w14:paraId="1BE192D8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7F050CD7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Módulo de Pedidos e Documentos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7FCAA324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217A4F"/>
                <w:sz w:val="20"/>
              </w:rPr>
              <w:t>Implementado</w:t>
            </w:r>
            <w:proofErr w:type="spellEnd"/>
            <w:r>
              <w:rPr>
                <w:rFonts w:ascii="Calibri" w:hAnsi="Calibri"/>
                <w:b/>
                <w:color w:val="217A4F"/>
                <w:sz w:val="20"/>
              </w:rPr>
              <w:t xml:space="preserve"> com workflow digital</w:t>
            </w:r>
          </w:p>
        </w:tc>
      </w:tr>
      <w:tr w:rsidR="007B4801" w14:paraId="21BC795A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37CB1833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Pagamentos Digitais (SIBS / MBWay / MB)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056C2B0E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217A4F"/>
                <w:sz w:val="20"/>
              </w:rPr>
              <w:t>Integrado</w:t>
            </w:r>
            <w:proofErr w:type="spellEnd"/>
            <w:r>
              <w:rPr>
                <w:rFonts w:ascii="Calibri" w:hAnsi="Calibri"/>
                <w:b/>
                <w:color w:val="217A4F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  <w:proofErr w:type="spellEnd"/>
          </w:p>
        </w:tc>
      </w:tr>
      <w:tr w:rsidR="007B4801" w14:paraId="796D7AB8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56882D30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Telemetria IoT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413A6CD2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Receção e consulta operacionais</w:t>
            </w:r>
          </w:p>
        </w:tc>
      </w:tr>
      <w:tr w:rsidR="007B4801" w14:paraId="275B85AD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7809DB27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EPI / Frota / Obras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2D29602E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Módulos integrados na plataforma</w:t>
            </w:r>
          </w:p>
        </w:tc>
      </w:tr>
      <w:tr w:rsidR="007B4801" w14:paraId="3214791D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7D2403D4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Ofícios com Assinatura Digital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9B3CEE1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</w:t>
            </w:r>
          </w:p>
        </w:tc>
      </w:tr>
      <w:tr w:rsidR="007B4801" w:rsidRPr="005D3E01" w14:paraId="143C30F1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56770C2D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Segurança e Controlo de Acessos (RBAC)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301AEE7E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Ativo em todos os módulos</w:t>
            </w:r>
          </w:p>
        </w:tc>
      </w:tr>
      <w:tr w:rsidR="007B4801" w14:paraId="64D509D7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42E46DE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 xml:space="preserve">Logging e Auditoria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Centralizada</w:t>
            </w:r>
            <w:proofErr w:type="spellEnd"/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5E61B120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(out. 2025)</w:t>
            </w:r>
          </w:p>
        </w:tc>
      </w:tr>
      <w:tr w:rsidR="007B4801" w14:paraId="1CD9AF31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5BE7688D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Gestão de Incumprimentos Ambientais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57A2D531" w14:textId="77777777" w:rsidR="007B4801" w:rsidRDefault="00000000"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(ago. 2025)</w:t>
            </w:r>
          </w:p>
        </w:tc>
      </w:tr>
      <w:tr w:rsidR="007B4801" w14:paraId="56BC960E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66229DFA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Migração de Instalações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59135BFB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Concluída sem interrupção (nov. 2025)</w:t>
            </w:r>
          </w:p>
        </w:tc>
      </w:tr>
      <w:tr w:rsidR="007B4801" w14:paraId="514D951C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1BD58A2E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Definição de Processos e Procedimentos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vAlign w:val="center"/>
          </w:tcPr>
          <w:p w14:paraId="6A22BA2F" w14:textId="77777777" w:rsidR="007B4801" w:rsidRDefault="00000000"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 xml:space="preserve">Em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curso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abordagem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contínua</w:t>
            </w:r>
            <w:proofErr w:type="spellEnd"/>
          </w:p>
        </w:tc>
      </w:tr>
      <w:tr w:rsidR="007B4801" w14:paraId="1D979FE3" w14:textId="77777777">
        <w:trPr>
          <w:jc w:val="center"/>
        </w:trPr>
        <w:tc>
          <w:tcPr>
            <w:tcW w:w="5102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285E2C90" w14:textId="77777777" w:rsidR="007B4801" w:rsidRPr="005D3E01" w:rsidRDefault="00000000">
            <w:pPr>
              <w:jc w:val="center"/>
              <w:rPr>
                <w:lang w:val="pt-PT"/>
              </w:rPr>
            </w:pPr>
            <w:r w:rsidRPr="005D3E01">
              <w:rPr>
                <w:rFonts w:ascii="Calibri" w:hAnsi="Calibri"/>
                <w:color w:val="1A1A2E"/>
                <w:sz w:val="20"/>
                <w:lang w:val="pt-PT"/>
              </w:rPr>
              <w:t>Suporte e Manutenção do Parque Informático</w:t>
            </w:r>
          </w:p>
        </w:tc>
        <w:tc>
          <w:tcPr>
            <w:tcW w:w="4535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4F6F8"/>
            <w:vAlign w:val="center"/>
          </w:tcPr>
          <w:p w14:paraId="3FE05E8A" w14:textId="77777777" w:rsidR="007B4801" w:rsidRDefault="00000000">
            <w:pPr>
              <w:jc w:val="center"/>
            </w:pPr>
            <w:proofErr w:type="spellStart"/>
            <w:r>
              <w:rPr>
                <w:rFonts w:ascii="Calibri" w:hAnsi="Calibri"/>
                <w:color w:val="1A1A2E"/>
                <w:sz w:val="20"/>
              </w:rPr>
              <w:t>Prestado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a tempo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inteiro</w:t>
            </w:r>
            <w:proofErr w:type="spellEnd"/>
          </w:p>
        </w:tc>
      </w:tr>
    </w:tbl>
    <w:p w14:paraId="5CDD9371" w14:textId="77777777" w:rsidR="007B4801" w:rsidRDefault="007B4801">
      <w:pPr>
        <w:spacing w:after="80"/>
      </w:pPr>
    </w:p>
    <w:p w14:paraId="3B6E36EF" w14:textId="77777777" w:rsidR="007B4801" w:rsidRPr="005D3E01" w:rsidRDefault="00000000">
      <w:pPr>
        <w:spacing w:after="100"/>
        <w:jc w:val="both"/>
        <w:rPr>
          <w:lang w:val="pt-PT"/>
        </w:rPr>
      </w:pPr>
      <w:r w:rsidRPr="005D3E01">
        <w:rPr>
          <w:rFonts w:ascii="Calibri" w:hAnsi="Calibri"/>
          <w:color w:val="1A1A2E"/>
          <w:sz w:val="21"/>
          <w:lang w:val="pt-PT"/>
        </w:rPr>
        <w:t>A AINTAR encerra 2025 com uma plataforma digital própria, robusta e abrangente, que cobre transversalmente a sua atividade operacional e administrativa. Este ativo tecnológico cria as condições para uma gestão mais eficiente, transparente e orientada por dados nos anos vindouros — em benefício direto dos municípios associados e dos munícipes que servimos.</w:t>
      </w:r>
    </w:p>
    <w:p w14:paraId="0E3E4359" w14:textId="77777777" w:rsidR="007B4801" w:rsidRPr="005D3E01" w:rsidRDefault="007B4801">
      <w:pPr>
        <w:rPr>
          <w:lang w:val="pt-PT"/>
        </w:rPr>
      </w:pPr>
    </w:p>
    <w:p w14:paraId="05AA5C9E" w14:textId="77777777" w:rsidR="007B4801" w:rsidRPr="005D3E01" w:rsidRDefault="00000000">
      <w:pPr>
        <w:jc w:val="right"/>
        <w:rPr>
          <w:lang w:val="pt-PT"/>
        </w:rPr>
      </w:pPr>
      <w:r w:rsidRPr="005D3E01">
        <w:rPr>
          <w:rFonts w:ascii="Calibri" w:hAnsi="Calibri"/>
          <w:i/>
          <w:color w:val="556677"/>
          <w:sz w:val="20"/>
          <w:lang w:val="pt-PT"/>
        </w:rPr>
        <w:t>Rui Ramos — Responsável de Tecnologias de Informação</w:t>
      </w:r>
      <w:r w:rsidRPr="005D3E01">
        <w:rPr>
          <w:rFonts w:ascii="Calibri" w:hAnsi="Calibri"/>
          <w:i/>
          <w:color w:val="556677"/>
          <w:sz w:val="20"/>
          <w:lang w:val="pt-PT"/>
        </w:rPr>
        <w:br/>
        <w:t>Abril de 2026</w:t>
      </w:r>
    </w:p>
    <w:sectPr w:rsidR="007B4801" w:rsidRPr="005D3E01" w:rsidSect="00034616">
      <w:headerReference w:type="default" r:id="rId8"/>
      <w:footerReference w:type="default" r:id="rId9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E984" w14:textId="77777777" w:rsidR="00B447C6" w:rsidRDefault="00B447C6">
      <w:pPr>
        <w:spacing w:after="0" w:line="240" w:lineRule="auto"/>
      </w:pPr>
      <w:r>
        <w:separator/>
      </w:r>
    </w:p>
  </w:endnote>
  <w:endnote w:type="continuationSeparator" w:id="0">
    <w:p w14:paraId="52306C31" w14:textId="77777777" w:rsidR="00B447C6" w:rsidRDefault="00B44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E012" w14:textId="77777777" w:rsidR="007B4801" w:rsidRPr="005D3E01" w:rsidRDefault="00000000">
    <w:pPr>
      <w:pStyle w:val="Rodap"/>
      <w:jc w:val="center"/>
      <w:rPr>
        <w:lang w:val="pt-PT"/>
      </w:rPr>
    </w:pPr>
    <w:r w:rsidRPr="005D3E01">
      <w:rPr>
        <w:rFonts w:ascii="Calibri" w:hAnsi="Calibri"/>
        <w:color w:val="8899AA"/>
        <w:sz w:val="16"/>
        <w:lang w:val="pt-PT"/>
      </w:rPr>
      <w:t>Elaborado por: Rui Ramos — Responsável de TI  |  Abril de 2026  | 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6BE4" w14:textId="77777777" w:rsidR="00B447C6" w:rsidRDefault="00B447C6">
      <w:pPr>
        <w:spacing w:after="0" w:line="240" w:lineRule="auto"/>
      </w:pPr>
      <w:r>
        <w:separator/>
      </w:r>
    </w:p>
  </w:footnote>
  <w:footnote w:type="continuationSeparator" w:id="0">
    <w:p w14:paraId="42724F55" w14:textId="77777777" w:rsidR="00B447C6" w:rsidRDefault="00B44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1B36" w14:textId="77777777" w:rsidR="007B4801" w:rsidRPr="005D3E01" w:rsidRDefault="00000000">
    <w:pPr>
      <w:pStyle w:val="Cabealho"/>
      <w:pBdr>
        <w:bottom w:val="single" w:sz="4" w:space="0" w:color="B8C8D8"/>
      </w:pBdr>
      <w:jc w:val="right"/>
      <w:rPr>
        <w:lang w:val="pt-PT"/>
      </w:rPr>
    </w:pPr>
    <w:r w:rsidRPr="005D3E01">
      <w:rPr>
        <w:rFonts w:ascii="Calibri" w:hAnsi="Calibri"/>
        <w:color w:val="8899AA"/>
        <w:sz w:val="16"/>
        <w:lang w:val="pt-PT"/>
      </w:rPr>
      <w:t>AINTAR  |  Relatório de Gestão 2025  |  Tecnologias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527662">
    <w:abstractNumId w:val="8"/>
  </w:num>
  <w:num w:numId="2" w16cid:durableId="168522989">
    <w:abstractNumId w:val="6"/>
  </w:num>
  <w:num w:numId="3" w16cid:durableId="2048678961">
    <w:abstractNumId w:val="5"/>
  </w:num>
  <w:num w:numId="4" w16cid:durableId="234433295">
    <w:abstractNumId w:val="4"/>
  </w:num>
  <w:num w:numId="5" w16cid:durableId="1255867049">
    <w:abstractNumId w:val="7"/>
  </w:num>
  <w:num w:numId="6" w16cid:durableId="1181163141">
    <w:abstractNumId w:val="3"/>
  </w:num>
  <w:num w:numId="7" w16cid:durableId="660426318">
    <w:abstractNumId w:val="2"/>
  </w:num>
  <w:num w:numId="8" w16cid:durableId="456487149">
    <w:abstractNumId w:val="1"/>
  </w:num>
  <w:num w:numId="9" w16cid:durableId="151141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E01"/>
    <w:rsid w:val="007B4801"/>
    <w:rsid w:val="00A261A6"/>
    <w:rsid w:val="00AA1D8D"/>
    <w:rsid w:val="00B447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B79BB"/>
  <w14:defaultImageDpi w14:val="300"/>
  <w15:docId w15:val="{8F264766-0AB8-418E-81E4-9E4DE4EF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2443</Words>
  <Characters>13194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Ramos</cp:lastModifiedBy>
  <cp:revision>3</cp:revision>
  <dcterms:created xsi:type="dcterms:W3CDTF">2013-12-23T23:15:00Z</dcterms:created>
  <dcterms:modified xsi:type="dcterms:W3CDTF">2026-04-14T10:17:00Z</dcterms:modified>
  <cp:category/>
</cp:coreProperties>
</file>