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/>
          <w:b/>
          <w:color w:val="1A3A5C"/>
          <w:sz w:val="56"/>
        </w:rPr>
        <w:t>AINTAR</w:t>
      </w:r>
    </w:p>
    <w:p>
      <w:pPr>
        <w:jc w:val="center"/>
      </w:pPr>
      <w:r>
        <w:rPr>
          <w:rFonts w:ascii="Calibri" w:hAnsi="Calibri"/>
          <w:color w:val="1E6AB0"/>
          <w:sz w:val="26"/>
        </w:rPr>
        <w:t>Associação Intermunicipal de Tratamento de Águas Residuais</w:t>
      </w:r>
    </w:p>
    <w:p/>
    <w:p/>
    <w:p>
      <w:pPr>
        <w:jc w:val="center"/>
        <w:pBdr>
          <w:top w:val="single" w:sz="12" w:color="1E6AB0"/>
          <w:bottom w:val="single" w:sz="12" w:color="1E6AB0"/>
        </w:pBdr>
      </w:pPr>
    </w:p>
    <w:p/>
    <w:p/>
    <w:p>
      <w:pPr>
        <w:jc w:val="center"/>
      </w:pPr>
      <w:r>
        <w:rPr>
          <w:rFonts w:ascii="Calibri" w:hAnsi="Calibri"/>
          <w:b/>
          <w:color w:val="1A3A5C"/>
          <w:sz w:val="44"/>
        </w:rPr>
        <w:t>RELATÓRIO DE GESTÃO</w:t>
      </w:r>
    </w:p>
    <w:p>
      <w:pPr>
        <w:jc w:val="center"/>
      </w:pPr>
      <w:r>
        <w:rPr>
          <w:rFonts w:ascii="Calibri" w:hAnsi="Calibri"/>
          <w:color w:val="1E6AB0"/>
          <w:sz w:val="32"/>
        </w:rPr>
        <w:t>Exercício de 2025</w:t>
      </w:r>
    </w:p>
    <w:p/>
    <w:p/>
    <w:p>
      <w:pPr>
        <w:jc w:val="center"/>
      </w:pPr>
      <w:r>
        <w:rPr>
          <w:rFonts w:ascii="Calibri" w:hAnsi="Calibri"/>
          <w:b/>
          <w:color w:val="1A3A5C"/>
          <w:sz w:val="26"/>
        </w:rPr>
        <w:t>CONTRIBUIÇÃO — Área de Tecnologias de Informação,</w:t>
        <w:br/>
        <w:t>Digitalização e Inovação</w:t>
      </w:r>
    </w:p>
    <w:p/>
    <w:p/>
    <w:p/>
    <w:p/>
    <w:p/>
    <w:p/>
    <w:p>
      <w:pPr>
        <w:jc w:val="center"/>
      </w:pPr>
      <w:r>
        <w:rPr>
          <w:rFonts w:ascii="Calibri" w:hAnsi="Calibri"/>
          <w:color w:val="556677"/>
          <w:sz w:val="20"/>
        </w:rPr>
        <w:t>Elaborado por: Rui Ramos — Responsável de Tecnologias de Informação</w:t>
        <w:br/>
        <w:t>Abril de 2026  |  Uso Interno</w:t>
      </w:r>
    </w:p>
    <w:p>
      <w:r>
        <w:br w:type="page"/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 Tecnologias de Informação, Digitalização e Inovação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4.1  Enquadramento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ano de 2025 representou um marco significativo na área das Tecnologias de Informação da AINTAR: a consolidação e expansão da Plataforma Integrada de Gestão AINTAR (App AINTAR), um sistema desenvolvido internamente e desenhado à medida das necessidades operacionais, técnicas e administrativas da associação.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Ao longo do ano a plataforma cresceu de forma contínua e estruturada, abrangendo progressivamente todos os domínios de atividade da organização — desde a operação de campo nas infraestruturas de saneamento, à tramitação documental, ao atendimento ao munícipe e ao controlo financeiro interno.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Este sistema representa um ativo estratégico de soberania digital da AINTAR: desenvolvido, operado e controlado pelos seus próprios meios, sem dependência de fornecedores externos para o núcleo do sistema.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D6E4F0"/>
            <w:tcBorders>
              <w:top w:val="single" w:sz="8" w:color="1E6AB0"/>
              <w:left w:val="single" w:sz="8" w:color="1E6AB0"/>
              <w:bottom w:val="single" w:sz="8" w:color="1E6AB0"/>
              <w:right w:val="single" w:sz="8" w:color="1E6AB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3A5C"/>
                <w:sz w:val="21"/>
              </w:rPr>
              <w:t>Em 2025 foram lançadas 40 versões de produção (builds) e registados 112 contributos de desenvolvimento,</w:t>
              <w:br/>
              <w:t>refletindo um ciclo de entrega contínua sem interrupção do serviço.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4.2  Arquitetura e Infraestrutura Tecnológica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AINTAR assenta numa arquitetura moderna e segura, alojada no servidor de produção Windows Server 2019, acessível em app.aintar.pt com ligação encriptada HTTPS: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252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386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 Utilizada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API Central (Backend)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Python / Flask 3.1 + SQLAlchemy 2.0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Base de Dados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PostgreSQL (com lógica de negócio integrada)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Interface Web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React 19 + Material-UI 7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Cache e Desempenho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Redis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Servidor Web / Proxy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Nginx (HTTPS, SSL/TLS)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Comunicação em Tempo Real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WebSockets via Socket.IO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Autenticação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JWT (tokens de acesso + renovação automática)</w:t>
            </w:r>
          </w:p>
        </w:tc>
      </w:tr>
    </w:tbl>
    <w:p>
      <w:pPr>
        <w:spacing w:after="80"/>
      </w:pP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4.3  Módulos Desenvolvidos e Implementados em 2025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4.3.1  Módulo de Operações de Campo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Desenvolvido e refinado ao longo do primeiro semestre, o módulo de Operações é a ferramenta central das equipas técnicas no terreno. Permite planear, registar e acompanhar toda a atividade operacional nas infraestruturas da AINTAR: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Planeamento e registo de operações em ETAR, Estações Elevatórias, Redes e Ramais, com atribuição a operadores e modo de operação;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volumes afluentes (m³ de águas residuais tratadas) por instalação, com histórico consultável;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consumos energéticos e despesas operacionais por instalação;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Interface adaptada a dispositivos móveis (telemóvel e tablet), com navegação por gesto, atualização por puxar e botão de ações rápidas, permitindo o uso em contexto de campo;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Visualização das tarefas em modo Kanban para maior clareza na gestão de trabalho;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Filtros rápidos e ordenação múltipla para consulta eficiente do histórico operacional.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módulo de operações recebeu, ao longo do ano, mais de 30 iterações de desenvolvimento e melhoria, fruto de um processo próximo de colaboração com as equipas operacionais.</w:t>
      </w:r>
    </w:p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4.3.2  Módulo de Gestão de Pedidos e Documentos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fluxo de tramitação de pedidos foi profundamente renovado em 2025, tornando o processo mais transparente, rastreável e eficiente: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Motor de workflow com geração automática de linha de tempo visual por fases, mostrando o histórico completo de cada pedido;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Sistema de notificações em tempo real — quando um documento muda de estado, os utilizadores relevantes são notificados instantaneamente;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Alertas automáticos de documentos em atraso — identificação e destaque de pedidos com prazos ultrapassados;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Replicação e reabertura de pedidos — elimina trabalho duplicado em situações recorrentes;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Gestão de anexos com suporte a arrastar e largar;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Validação algorítmica de NIF no momento de criação do pedido, eliminando erros de registo.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4.3.3  Módulo de Pagamentos Digitais — Integração SIBS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Em 2025 foi implementado e estabilizado o módulo de pagamentos com integração na SIBS (Sistema Interbancário de Serviços), cobrindo todos os métodos de cobrança da AINTAR: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819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 de Pagamento</w:t>
            </w:r>
          </w:p>
        </w:tc>
        <w:tc>
          <w:tcPr>
            <w:tcW w:type="dxa" w:w="4819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 em 2025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MBWay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Referência Multibanco</w:t>
            </w:r>
          </w:p>
        </w:tc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Transferência Bancária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Numerário (Caixa)</w:t>
            </w:r>
          </w:p>
        </w:tc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Pagamento Municipal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</w:tbl>
    <w:p>
      <w:pPr>
        <w:spacing w:after="80"/>
      </w:pP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sistema recebe confirmações de pagamento automáticas via webhook SIBS (comunicação encriptada AES-GCM), atualizando o estado das faturas em tempo real sem intervenção manual — o fluxo de cobrança conclui-se de forma autónoma após pagamento do cliente.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Possibilidade de alterar o método de pagamento após emissão;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pagamentos manuais com atribuição de responsabilidade ao utilizador;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Visualização do estado de fatura acessível a todos os intervenientes do processo.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4.3.4  Módulo de Saneamento — ETAR e Estações Elevatórias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gestão das infraestruturas de saneamento foi integrada na plataforma com um conjunto alargado de funcionalidades de registo operacional, organizadas por tipo de instalação: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Volumes de afluência e de água limpa tratada (m³);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Consumo de energia elétrica e despesas operacionais;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Retirada e destino de lamas; desmatações perimetrais; reparações; vedações; visitas técnicas;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— </w:t>
      </w:r>
      <w:r>
        <w:rPr>
          <w:rFonts w:ascii="Calibri" w:hAnsi="Calibri"/>
          <w:color w:val="1A1A2E"/>
          <w:sz w:val="20"/>
        </w:rPr>
        <w:t>Análises laboratoriais de qualidade ambiental dos efluentes;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Rede — </w:t>
      </w:r>
      <w:r>
        <w:rPr>
          <w:rFonts w:ascii="Calibri" w:hAnsi="Calibri"/>
          <w:color w:val="1A1A2E"/>
          <w:sz w:val="20"/>
        </w:rPr>
        <w:t>Desobstruções de coletores e caixas de visita; reparações de colapso;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Ramais — </w:t>
      </w:r>
      <w:r>
        <w:rPr>
          <w:rFonts w:ascii="Calibri" w:hAnsi="Calibri"/>
          <w:color w:val="1A1A2E"/>
          <w:sz w:val="20"/>
        </w:rPr>
        <w:t>Despesas e desobstruções de ramais domiciliários.</w:t>
      </w:r>
    </w:p>
    <w:p>
      <w:pPr>
        <w:spacing w:after="40"/>
      </w:pPr>
    </w:p>
    <w:p>
      <w:pPr>
        <w:spacing w:before="0" w:after="100"/>
        <w:jc w:val="both"/>
      </w:pPr>
      <w:r>
        <w:rPr>
          <w:rFonts w:ascii="Calibri" w:hAnsi="Calibri"/>
          <w:b/>
          <w:color w:val="1A1A2E"/>
          <w:sz w:val="21"/>
        </w:rPr>
        <w:t xml:space="preserve">Destaque: </w:t>
      </w:r>
      <w:r>
        <w:rPr>
          <w:rFonts w:ascii="Calibri" w:hAnsi="Calibri"/>
          <w:b w:val="0"/>
          <w:color w:val="1A1A2E"/>
          <w:sz w:val="21"/>
        </w:rPr>
        <w:t>Em agosto de 2025 foi implementado um módulo específico de registo e acompanhamento de incumprimentos ambientais em ETAR, permitindo documentar, acompanhar e reportar situações de desvio face aos parâmetros de descarga legalmente exigidos — instrumento fundamental de conformidade regulatória.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4.3.5  Módulo de Telemetria IoT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recebe e armazena em tempo real dados provenientes de sensores remotos instalados nas infraestruturas hídricas da AINTAR: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Ingestão automática de dados via API segura por chave de autenticação, sem intervenção humana;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Consulta, filtragem e análise de leituras por instalação e intervalo temporal;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Painel de telemetria com visualização de parâmetros em tempo real;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Suporte a múltiplos tipos de sensores e parâmetros configuráveis.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Esta componente representa um passo concreto da AINTAR na direção da monitorização contínua e automatizada dos seus ativos hídricos, reduzindo a dependência de inspeções presenciais de rotina.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4.3.6  Módulo de EPI — Equipamentos de Proteção Individual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Desenvolvido em articulação com o departamento de Recursos Humanos e Segurança no Trabalho, este módulo centraliza a gestão de equipamentos de proteção e fardamento: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Cadastro de equipamentos e fardamento disponíveis em stock;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entregas a colaboradores, com historial individual por funcionário;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Preferências individuais de EPI por colaborador;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Criação de registos de novos colaboradores diretamente na plataforma;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Consulta de histórico por data ou por funcionário.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4.3.7  Módulo de Gestão de Frota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gestão da frota de veículos da AINTAR encontra-se integrada na plataforma, eliminando registos dispersos em papel ou folhas de cálculo: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Catálogo de veículos da organização com ficha de cada viatura;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Atribuição de veículos a colaboradores com registo histórico;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manutenções e intervenções na frota.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4.3.8  Gestão de Ofícios e Assinatura Digital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Foi implementado o módulo de ofícios e expediente com ciclo de vida documental completo e capacidade de assinatura digital integrada na plataforma: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Emissão de ofícios com geração automática de PDF;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Ciclo de vida controlado: Rascunho → Emitido → Assinado → Cancelado;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Assinatura digital integrada — o signatário assina diretamente na plataforma, ficando a data, hora e assinatura registadas no documento PDF;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Replicação de ofícios para agilizar respostas recorrentes;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Auditoria completa com registo de todas as alterações.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4.3.9  Módulo de Obras e Intervenções Estruturais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registo e acompanhamento de obras por instalação passou a estar integrado na plataforma, com histórico consultável e associação direta à infraestrutura intervencionada — permitindo rastrear investimentos e intervenções de maior envergadura em cada ativo.</w:t>
      </w:r>
    </w:p>
    <w:p>
      <w:r>
        <w:br w:type="page"/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4.4  Suporte Operacional, Processos e Infraestrutura Informática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Para além do desenvolvimento da plataforma digital, a área de Tecnologias de Informação da AINTAR desempenha um papel ativo e transversal no funcionamento diário da organização, cobrindo três dimensões fundamentais de suporte interno.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4.4.1  Suporte à Migração de Instalações (Novembro de 2025)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Em novembro de 2025, a AINTAR procedeu à mudança e migração das suas instalações. A área de TI assumiu a coordenação e execução integral do processo tecnológico associado, garantindo a continuidade total do serviço durante e após a transição: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Planeamento e preparação antecipada de toda a infraestrutura tecnológica para o novo espaço;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Desmontagem, transporte e reinstalação de todos os equipamentos informáticos com zero perda de dados;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Reconfigurações de rede, conectividade e acessos no novo espaço;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Verificação e teste de todos os sistemas e serviços após a migração, assegurando o retorno à plena operacionalidade no menor tempo possível;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Acompanhamento dos colaboradores durante o período de adaptação ao novo ambiente de trabalho.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migração decorreu sem interrupção do serviço informático prestado, com a plataforma AINTAR a manter-se disponível e operacional durante todo o processo.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4.4.2  Definição e Acompanhamento de Processos e Procedimentos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área de TI participou ativamente, ao longo de 2025, na implementação e acompanhamento da definição de processos e procedimentos internos, com o objetivo de melhorar o funcionamento dos serviços da AINTAR e garantir que estes sejam simples, transparentes e eficientes.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Este trabalho desenvolveu-se em duas vertentes complementares: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Análise — </w:t>
      </w:r>
      <w:r>
        <w:rPr>
          <w:rFonts w:ascii="Calibri" w:hAnsi="Calibri"/>
          <w:color w:val="1A1A2E"/>
          <w:sz w:val="20"/>
        </w:rPr>
        <w:t>Levantamento e mapeamento de fluxos de trabalho existentes — identificando redundâncias, pontos de fricção e oportunidades de melhoria nos processos operacionais e administrativos;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Implementação — </w:t>
      </w:r>
      <w:r>
        <w:rPr>
          <w:rFonts w:ascii="Calibri" w:hAnsi="Calibri"/>
          <w:color w:val="1A1A2E"/>
          <w:sz w:val="20"/>
        </w:rPr>
        <w:t>Tradução dos processos definidos em funcionalidades concretas da plataforma digital — garantindo que o sistema reflete e suporta fielmente a forma como a organização trabalha, e não o inverso.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proximidade entre a definição do processo e a sua implementação tecnológica permitiu ciclos de melhoria curtos e iterativos, com resultados visíveis rapidamente. Os princípios orientadores desta abordagem foram: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Simplicidade — eliminar passos desnecessários e tornar cada processo tão direto quanto possível;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Transparência — todos os intervenientes têm visibilidade sobre o estado de cada processo;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Eficiência — reduzir o esforço manual e o risco de erro em tarefas recorrentes.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4.4.3  Suporte Técnico Permanente e Manutenção do Parque Informático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área de TI presta acompanhamento técnico a tempo inteiro a toda a organização, garantindo o bom funcionamento do parque informático e respondendo de forma célere às necessidades dos colaboradores.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As principais atividades de suporte e manutenção em 2025 incluíram: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Acompanhamento e avaliação da evolução tecnológica de equipamentos — identificação de necessidades de renovação e assessoria na aquisição de novos equipamentos;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Manutenção preventiva e corretiva de computadores, impressoras, scanners e restantes periféricos;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Gestão de licenças de software, atualizações de sistema operativo e aplicações;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Configuração e suporte a equipamentos de rede (switches, routers, pontos de acesso Wi-Fi);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Resolução de incidentes técnicos reportados pelos utilizadores, com resposta no próprio dia;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Acompanhamento da segurança dos postos de trabalho — antivírus, políticas de palavras-passe e cópias de segurança locais.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Este suporte técnico permanente representa um contributo direto para a produtividade dos colaboradores e para a continuidade operacional da AINTAR, minimizando tempos de paragem por falha de equipamento ou software.</w:t>
      </w:r>
    </w:p>
    <w:p>
      <w:r>
        <w:br w:type="page"/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4.5  Segurança, Controlo de Acessos e Conformidade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implementa um sistema de controlo de acessos granular por função (RBAC — Role-Based Access Control): cada colaborador tem acesso exclusivamente às funcionalidades que lhe foram atribuídas, com permissões configuradas individualmente por módulo e por ação (visualizar, editar, gerir). É garantido o princípio do mínimo privilégio em toda a plataforma.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Medidas de segurança implementadas ou reforçadas em 2025: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Autenticação por tokens JWT de curta duração com renovação automática controlada;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sessões — cada acesso é gravado com utilizador, endereço IP e horas de início e fim;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Sistema centralizado de registo de eventos (outubro de 2025) — toda a actividade do sistema fica gravada para auditoria e diagnóstico;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Encriptação HTTPS em todas as comunicações entre o navegador e o servidor;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Validação de dados em dupla camada — no navegador e no servidor — prevenindo erros e submissões maliciosas;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Webhooks com encriptação AES-GCM para comunicação segura com entidades externas (SIBS).</w:t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4.6  Disponibilidade e Continuidade do Serviço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esteve disponível de forma contínua ao longo de 2025. As actualizações foram realizadas de forma transparente, sem interrupção do serviço para os utilizadores. O sistema de publicação automatizado permite: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Colocação de novas versões em produção com tempo de inatividade mínimo;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Modo de manutenção com página informativa para os utilizadores durante intervenções programadas;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Possibilidade de reversão rápida para versão anterior em caso de necessidade.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D6E4F0"/>
            <w:tcBorders>
              <w:top w:val="single" w:sz="8" w:color="1E6AB0"/>
              <w:left w:val="single" w:sz="8" w:color="1E6AB0"/>
              <w:bottom w:val="single" w:sz="8" w:color="1E6AB0"/>
              <w:right w:val="single" w:sz="8" w:color="1E6AB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3A5C"/>
                <w:sz w:val="21"/>
              </w:rPr>
              <w:t>Versões lançadas em produção: 40  |  Contributos de desenvolvimento registados: 112  |  Período de desenvolvimento ativo: Janeiro — Novembro 2025</w:t>
            </w:r>
          </w:p>
        </w:tc>
      </w:tr>
    </w:tbl>
    <w:p>
      <w:pPr>
        <w:spacing w:after="120"/>
      </w:pP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4.7  Perspetivas para 2026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Com a plataforma operacional e os módulos nucleares estabilizados, a estratégia de TI para 2026 centra-se nos seguintes vetores: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1. </w:t>
      </w:r>
      <w:r>
        <w:rPr>
          <w:rFonts w:ascii="Calibri" w:hAnsi="Calibri"/>
          <w:color w:val="1A1A2E"/>
          <w:sz w:val="20"/>
        </w:rPr>
        <w:t>Conclusão e lançamento da interface de nova geração (React 19 / Vite) — mais rápida, com melhor experiência de utilização em todos os dispositivos;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2. </w:t>
      </w:r>
      <w:r>
        <w:rPr>
          <w:rFonts w:ascii="Calibri" w:hAnsi="Calibri"/>
          <w:color w:val="1A1A2E"/>
          <w:sz w:val="20"/>
        </w:rPr>
        <w:t>Expansão da rede de telemetria — mais sensores e integração com painéis analíticos avançados;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3. </w:t>
      </w:r>
      <w:r>
        <w:rPr>
          <w:rFonts w:ascii="Calibri" w:hAnsi="Calibri"/>
          <w:color w:val="1A1A2E"/>
          <w:sz w:val="20"/>
        </w:rPr>
        <w:t>Geração automática de relatórios operacionais periódicos a partir dos dados acumulados na plataforma;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4. </w:t>
      </w:r>
      <w:r>
        <w:rPr>
          <w:rFonts w:ascii="Calibri" w:hAnsi="Calibri"/>
          <w:color w:val="1A1A2E"/>
          <w:sz w:val="20"/>
        </w:rPr>
        <w:t>Integração de dados com entidades reguladoras externas (ERSAR, APA);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5. </w:t>
      </w:r>
      <w:r>
        <w:rPr>
          <w:rFonts w:ascii="Calibri" w:hAnsi="Calibri"/>
          <w:color w:val="1A1A2E"/>
          <w:sz w:val="20"/>
        </w:rPr>
        <w:t>Estudo de viabilidade de aplicação móvel nativa para uso em campo sem ligação à internet.</w:t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4.8  Síntese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tabela seguinte resume o estado de cada área tecnológica e de suporte no final do exercício de 2025: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5102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Área / Módulo</w:t>
            </w:r>
          </w:p>
        </w:tc>
        <w:tc>
          <w:tcPr>
            <w:tcW w:type="dxa" w:w="4535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Situação em Dezembro de 2025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Plataforma Web (app.aintar.pt)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 — 40 versões lançadas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de Operações de Campo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e estabilizado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de Pedidos e Documentos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com workflow digital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Pagamentos Digitais (SIBS / MBWay / MB)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Integrado e operacional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Telemetria IoT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Receção e consulta operacionais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EPI / Frota / Obras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Módulos integrados na plataforma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Ofícios com Assinatura Digital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Segurança e Controlo de Acessos (RBAC)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Ativo em todos os módulos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Registo de Eventos e Auditoria Centralizada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(out. 2025)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Gestão de Incumprimentos Ambientais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(ago. 2025)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Migração de Instalações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Concluída sem interrupção (nov. 2025)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Definição de Processos e Procedimentos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Em curso — abordagem contínua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Suporte e Manutenção do Parque Informático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Prestado a tempo inteiro</w:t>
            </w:r>
          </w:p>
        </w:tc>
      </w:tr>
    </w:tbl>
    <w:p>
      <w:pPr>
        <w:spacing w:after="80"/>
      </w:pP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AINTAR encerra 2025 com uma plataforma digital própria, robusta e abrangente, que cobre transversalmente a sua atividade operacional e administrativa. Este ativo tecnológico cria as condições para uma gestão mais eficiente, transparente e orientada por dados nos anos vindouros — em benefício direto dos municípios associados e dos munícipes que servimos.</w:t>
      </w:r>
    </w:p>
    <w:p/>
    <w:p>
      <w:pPr>
        <w:jc w:val="right"/>
      </w:pPr>
      <w:r>
        <w:rPr>
          <w:rFonts w:ascii="Calibri" w:hAnsi="Calibri"/>
          <w:i/>
          <w:color w:val="556677"/>
          <w:sz w:val="20"/>
        </w:rPr>
        <w:t>Rui Ramos — Responsável de Tecnologias de Informação</w:t>
        <w:br/>
        <w:t>Abril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99AA"/>
        <w:sz w:val="16"/>
      </w:rPr>
      <w:t>Elaborado por: Rui Ramos — Responsável de TI  |  Abril de 2026  |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8C8D8"/>
      </w:pBdr>
    </w:pPr>
    <w:r>
      <w:rPr>
        <w:rFonts w:ascii="Calibri" w:hAnsi="Calibri"/>
        <w:color w:val="8899AA"/>
        <w:sz w:val="16"/>
      </w:rPr>
      <w:t>AINTAR  |  Relatório de Gestão 2025  |  Tecnologias de Informação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