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银行外汇交易系统菜单目录</w:t>
      </w:r>
    </w:p>
    <w:p/>
    <w:p>
      <w:pPr>
        <w:pStyle w:val="Heading1"/>
      </w:pPr>
      <w:r>
        <w:t>1. 外汇交易管理</w:t>
      </w:r>
    </w:p>
    <w:p>
      <w:r>
        <w:rPr>
          <w:b/>
        </w:rPr>
        <w:t>1.1 外汇工作台</w:t>
      </w:r>
      <w:r>
        <w:rPr>
          <w:sz w:val="18"/>
        </w:rPr>
        <w:br/>
        <w:t>路径: /fx/workbench</w:t>
      </w:r>
    </w:p>
    <w:p>
      <w:r>
        <w:rPr>
          <w:b/>
        </w:rPr>
        <w:t>1.2 未到期交易管理</w:t>
      </w:r>
      <w:r>
        <w:rPr>
          <w:sz w:val="18"/>
        </w:rPr>
        <w:br/>
        <w:t>路径: /fx/unmatured</w:t>
      </w:r>
    </w:p>
    <w:p>
      <w:r>
        <w:rPr>
          <w:b/>
        </w:rPr>
        <w:t>1.3 客户交易查询</w:t>
      </w:r>
      <w:r>
        <w:rPr>
          <w:sz w:val="18"/>
        </w:rPr>
        <w:br/>
        <w:t>路径: /fx/customer-query</w:t>
      </w:r>
    </w:p>
    <w:p>
      <w:r>
        <w:rPr>
          <w:b/>
        </w:rPr>
        <w:t>1.4 待办任务</w:t>
      </w:r>
      <w:r>
        <w:rPr>
          <w:sz w:val="18"/>
        </w:rPr>
        <w:br/>
        <w:t>路径: /fx/todo</w:t>
      </w:r>
    </w:p>
    <w:p>
      <w:pPr>
        <w:pStyle w:val="Heading2"/>
      </w:pPr>
      <w:r>
        <w:t>交易录入</w:t>
      </w:r>
    </w:p>
    <w:p>
      <w:r>
        <w:rPr>
          <w:b/>
        </w:rPr>
        <w:t>1.1 即期交易录入</w:t>
      </w:r>
      <w:r>
        <w:rPr>
          <w:sz w:val="18"/>
        </w:rPr>
        <w:br/>
        <w:t>路径: /fx/spot-entry</w:t>
      </w:r>
    </w:p>
    <w:p>
      <w:r>
        <w:rPr>
          <w:b/>
        </w:rPr>
        <w:t>1.2 远期交易录入</w:t>
      </w:r>
      <w:r>
        <w:rPr>
          <w:sz w:val="18"/>
        </w:rPr>
        <w:br/>
        <w:t>路径: /fx/forward-entry</w:t>
      </w:r>
    </w:p>
    <w:p>
      <w:r>
        <w:rPr>
          <w:b/>
        </w:rPr>
        <w:t>1.3 掉期交易录入</w:t>
      </w:r>
      <w:r>
        <w:rPr>
          <w:sz w:val="18"/>
        </w:rPr>
        <w:br/>
        <w:t>路径: /fx/swap-entry</w:t>
      </w:r>
    </w:p>
    <w:p>
      <w:r>
        <w:rPr>
          <w:b/>
        </w:rPr>
        <w:t>1.4 提前违约</w:t>
      </w:r>
      <w:r>
        <w:rPr>
          <w:sz w:val="18"/>
        </w:rPr>
        <w:br/>
        <w:t>路径: /fx/early-default</w:t>
      </w:r>
    </w:p>
    <w:p>
      <w:r>
        <w:rPr>
          <w:b/>
        </w:rPr>
        <w:t>1.5 提前交割</w:t>
      </w:r>
      <w:r>
        <w:rPr>
          <w:sz w:val="18"/>
        </w:rPr>
        <w:br/>
        <w:t>路径: /fx/early-delivery</w:t>
      </w:r>
    </w:p>
    <w:p>
      <w:r>
        <w:rPr>
          <w:b/>
        </w:rPr>
        <w:t>1.6 掉期全部违约</w:t>
      </w:r>
      <w:r>
        <w:rPr>
          <w:sz w:val="18"/>
        </w:rPr>
        <w:br/>
        <w:t>路径: /fx/swap-full-default</w:t>
      </w:r>
    </w:p>
    <w:p>
      <w:r>
        <w:rPr>
          <w:b/>
        </w:rPr>
        <w:t>1.7 远期展期</w:t>
      </w:r>
      <w:r>
        <w:rPr>
          <w:sz w:val="18"/>
        </w:rPr>
        <w:br/>
        <w:t>路径: /fx/rollover</w:t>
      </w:r>
    </w:p>
    <w:p/>
    <w:p>
      <w:pPr>
        <w:pStyle w:val="Heading1"/>
      </w:pPr>
      <w:r>
        <w:t>2. 期权交易管理</w:t>
      </w:r>
    </w:p>
    <w:p>
      <w:r>
        <w:rPr>
          <w:b/>
        </w:rPr>
        <w:t>2.1 期权工作台</w:t>
      </w:r>
      <w:r>
        <w:rPr>
          <w:sz w:val="18"/>
        </w:rPr>
        <w:br/>
        <w:t>路径: /option/workbench</w:t>
      </w:r>
    </w:p>
    <w:p>
      <w:r>
        <w:rPr>
          <w:b/>
        </w:rPr>
        <w:t>2.2 期权交易录入</w:t>
      </w:r>
      <w:r>
        <w:rPr>
          <w:sz w:val="18"/>
        </w:rPr>
        <w:br/>
        <w:t>路径: /option/entry</w:t>
      </w:r>
    </w:p>
    <w:p>
      <w:r>
        <w:rPr>
          <w:b/>
        </w:rPr>
        <w:t>2.3 期权交易复核</w:t>
      </w:r>
      <w:r>
        <w:rPr>
          <w:sz w:val="18"/>
        </w:rPr>
        <w:br/>
        <w:t>路径: /option/review</w:t>
      </w:r>
    </w:p>
    <w:p>
      <w:r>
        <w:rPr>
          <w:b/>
        </w:rPr>
        <w:t>2.4 期权存续期管理</w:t>
      </w:r>
      <w:r>
        <w:rPr>
          <w:sz w:val="18"/>
        </w:rPr>
        <w:br/>
        <w:t>路径: /option/lifecycle</w:t>
      </w:r>
    </w:p>
    <w:p>
      <w:r>
        <w:rPr>
          <w:b/>
        </w:rPr>
        <w:t>2.5 期权交易查询</w:t>
      </w:r>
      <w:r>
        <w:rPr>
          <w:sz w:val="18"/>
        </w:rPr>
        <w:br/>
        <w:t>路径: /option/query</w:t>
      </w:r>
    </w:p>
    <w:p/>
    <w:p>
      <w:pPr>
        <w:pStyle w:val="Heading1"/>
      </w:pPr>
      <w:r>
        <w:t>3. 公共管理</w:t>
      </w:r>
    </w:p>
    <w:p>
      <w:r>
        <w:rPr>
          <w:b/>
        </w:rPr>
        <w:t>3.1 系统参数管理</w:t>
      </w:r>
      <w:r>
        <w:rPr>
          <w:sz w:val="18"/>
        </w:rPr>
        <w:br/>
        <w:t>路径: /system/param</w:t>
      </w:r>
    </w:p>
    <w:p>
      <w:r>
        <w:rPr>
          <w:b/>
        </w:rPr>
        <w:t>3.2 客户管理</w:t>
      </w:r>
      <w:r>
        <w:rPr>
          <w:sz w:val="18"/>
        </w:rPr>
        <w:br/>
        <w:t>路径: /system/customer</w:t>
      </w:r>
    </w:p>
    <w:p>
      <w:r>
        <w:rPr>
          <w:b/>
        </w:rPr>
        <w:t>3.3 登录用户管理</w:t>
      </w:r>
      <w:r>
        <w:rPr>
          <w:sz w:val="18"/>
        </w:rPr>
        <w:br/>
        <w:t>路径: /system/user</w:t>
      </w:r>
    </w:p>
    <w:p>
      <w:r>
        <w:rPr>
          <w:b/>
        </w:rPr>
        <w:t>3.4 定时任务</w:t>
      </w:r>
      <w:r>
        <w:rPr>
          <w:sz w:val="18"/>
        </w:rPr>
        <w:br/>
        <w:t>路径: /system/task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