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0"/>
        <w:ind w:firstLine="480"/>
      </w:pPr>
      <w:r>
        <w:rPr>
          <w:rFonts w:ascii="Times New Roman" w:hAnsi="Times New Roman" w:eastAsia="宋体"/>
          <w:b w:val="0"/>
          <w:sz w:val="24"/>
        </w:rPr>
      </w:r>
    </w:p>
    <w:p>
      <w:pPr>
        <w:spacing w:line="360" w:lineRule="auto" w:before="0" w:after="0"/>
        <w:ind w:firstLine="480"/>
      </w:pPr>
      <w:r>
        <w:rPr>
          <w:rFonts w:ascii="Times New Roman" w:hAnsi="Times New Roman" w:eastAsia="宋体"/>
          <w:b w:val="0"/>
          <w:sz w:val="24"/>
        </w:rPr>
      </w:r>
    </w:p>
    <w:p>
      <w:pPr>
        <w:spacing w:line="360" w:lineRule="auto" w:before="0" w:after="0"/>
        <w:ind w:firstLine="480"/>
      </w:pPr>
      <w:r>
        <w:rPr>
          <w:rFonts w:ascii="Times New Roman" w:hAnsi="Times New Roman" w:eastAsia="宋体"/>
          <w:b w:val="0"/>
          <w:sz w:val="24"/>
        </w:rPr>
      </w:r>
    </w:p>
    <w:p>
      <w:pPr>
        <w:spacing w:line="360" w:lineRule="auto" w:before="0" w:after="0"/>
        <w:ind w:firstLine="480"/>
      </w:pPr>
      <w:r>
        <w:rPr>
          <w:rFonts w:ascii="Times New Roman" w:hAnsi="Times New Roman" w:eastAsia="宋体"/>
          <w:b w:val="0"/>
          <w:sz w:val="24"/>
        </w:rPr>
      </w:r>
    </w:p>
    <w:p>
      <w:pPr>
        <w:spacing w:line="360" w:lineRule="auto" w:before="0" w:after="0"/>
        <w:ind w:firstLine="480"/>
      </w:pPr>
      <w:r>
        <w:rPr>
          <w:rFonts w:ascii="Times New Roman" w:hAnsi="Times New Roman" w:eastAsia="宋体"/>
          <w:b w:val="0"/>
          <w:sz w:val="24"/>
        </w:rPr>
      </w:r>
    </w:p>
    <w:p>
      <w:pPr>
        <w:spacing w:line="360" w:lineRule="auto" w:before="0" w:after="0"/>
        <w:ind w:firstLine="480"/>
      </w:pPr>
      <w:r>
        <w:rPr>
          <w:rFonts w:ascii="Times New Roman" w:hAnsi="Times New Roman" w:eastAsia="宋体"/>
          <w:b w:val="0"/>
          <w:sz w:val="24"/>
        </w:rPr>
      </w:r>
    </w:p>
    <w:p>
      <w:pPr>
        <w:spacing w:line="360" w:lineRule="auto" w:before="240" w:after="360"/>
        <w:jc w:val="center"/>
      </w:pPr>
      <w:r>
        <w:rPr>
          <w:rFonts w:ascii="Times New Roman" w:hAnsi="Times New Roman" w:eastAsia="黑体"/>
          <w:b/>
          <w:sz w:val="44"/>
        </w:rPr>
        <w:t>银行代客外汇交易系统</w:t>
      </w:r>
    </w:p>
    <w:p>
      <w:pPr>
        <w:spacing w:line="360" w:lineRule="auto" w:before="0" w:after="0"/>
        <w:ind w:firstLine="480"/>
      </w:pPr>
      <w:r>
        <w:rPr>
          <w:rFonts w:ascii="Times New Roman" w:hAnsi="Times New Roman" w:eastAsia="宋体"/>
          <w:b w:val="0"/>
          <w:sz w:val="24"/>
        </w:rPr>
      </w:r>
    </w:p>
    <w:p>
      <w:pPr>
        <w:spacing w:line="360" w:lineRule="auto" w:before="0" w:after="0"/>
        <w:jc w:val="center"/>
      </w:pPr>
      <w:r>
        <w:rPr>
          <w:rFonts w:ascii="Times New Roman" w:hAnsi="Times New Roman" w:eastAsia="黑体"/>
          <w:b/>
          <w:sz w:val="56"/>
        </w:rPr>
        <w:t>软件需求说明书</w:t>
      </w:r>
    </w:p>
    <w:p>
      <w:pPr>
        <w:spacing w:line="360" w:lineRule="auto" w:before="0" w:after="0"/>
        <w:ind w:firstLine="480"/>
      </w:pPr>
      <w:r>
        <w:rPr>
          <w:rFonts w:ascii="Times New Roman" w:hAnsi="Times New Roman" w:eastAsia="宋体"/>
          <w:b w:val="0"/>
          <w:sz w:val="24"/>
        </w:rPr>
      </w:r>
    </w:p>
    <w:p>
      <w:pPr>
        <w:spacing w:line="360" w:lineRule="auto" w:before="0" w:after="0"/>
        <w:ind w:firstLine="480"/>
      </w:pPr>
      <w:r>
        <w:rPr>
          <w:rFonts w:ascii="Times New Roman" w:hAnsi="Times New Roman" w:eastAsia="宋体"/>
          <w:b w:val="0"/>
          <w:sz w:val="24"/>
        </w:rPr>
      </w:r>
    </w:p>
    <w:p>
      <w:pPr>
        <w:spacing w:line="360" w:lineRule="auto" w:before="0" w:after="0"/>
        <w:ind w:firstLine="480"/>
      </w:pPr>
      <w:r>
        <w:rPr>
          <w:rFonts w:ascii="Times New Roman" w:hAnsi="Times New Roman" w:eastAsia="宋体"/>
          <w:b w:val="0"/>
          <w:sz w:val="24"/>
        </w:rPr>
      </w:r>
    </w:p>
    <w:p>
      <w:pPr>
        <w:spacing w:line="360" w:lineRule="auto" w:before="0" w:after="0"/>
        <w:ind w:firstLine="480"/>
      </w:pPr>
      <w:r>
        <w:rPr>
          <w:rFonts w:ascii="Times New Roman" w:hAnsi="Times New Roman" w:eastAsia="宋体"/>
          <w:b w:val="0"/>
          <w:sz w:val="24"/>
        </w:rPr>
      </w:r>
    </w:p>
    <w:p>
      <w:pPr>
        <w:spacing w:line="360" w:lineRule="auto" w:before="0" w:after="0"/>
        <w:ind w:firstLine="480"/>
      </w:pPr>
      <w:r>
        <w:rPr>
          <w:rFonts w:ascii="Times New Roman" w:hAnsi="Times New Roman" w:eastAsia="宋体"/>
          <w:b w:val="0"/>
          <w:sz w:val="24"/>
        </w:rPr>
      </w:r>
    </w:p>
    <w:p>
      <w:pPr>
        <w:spacing w:line="360" w:lineRule="auto" w:before="0" w:after="0"/>
        <w:ind w:firstLine="480"/>
      </w:pPr>
      <w:r>
        <w:rPr>
          <w:rFonts w:ascii="Times New Roman" w:hAnsi="Times New Roman" w:eastAsia="宋体"/>
          <w:b w:val="0"/>
          <w:sz w:val="24"/>
        </w:rPr>
      </w:r>
    </w:p>
    <w:p>
      <w:pPr>
        <w:spacing w:line="360" w:lineRule="auto" w:before="0" w:after="0"/>
        <w:ind w:firstLine="480"/>
      </w:pPr>
      <w:r>
        <w:rPr>
          <w:rFonts w:ascii="Times New Roman" w:hAnsi="Times New Roman" w:eastAsia="宋体"/>
          <w:b w:val="0"/>
          <w:sz w:val="24"/>
        </w:rPr>
      </w:r>
    </w:p>
    <w:p>
      <w:pPr>
        <w:spacing w:line="360" w:lineRule="auto" w:before="0" w:after="0"/>
        <w:ind w:firstLine="480"/>
      </w:pPr>
      <w:r>
        <w:rPr>
          <w:rFonts w:ascii="Times New Roman" w:hAnsi="Times New Roman" w:eastAsia="宋体"/>
          <w:b w:val="0"/>
          <w:sz w:val="24"/>
        </w:rPr>
      </w:r>
    </w:p>
    <w:tbl>
      <w:tblPr>
        <w:tblStyle w:val="TableGrid"/>
        <w:tblW w:type="auto" w:w="0"/>
        <w:jc w:val="center"/>
        <w:tblLook w:firstColumn="1" w:firstRow="1" w:lastColumn="0" w:lastRow="0" w:noHBand="0" w:noVBand="1" w:val="04A0"/>
      </w:tblPr>
      <w:tblGrid>
        <w:gridCol w:w="4150"/>
        <w:gridCol w:w="4150"/>
      </w:tblGrid>
      <w:tr>
        <w:tc>
          <w:tcPr>
            <w:tcW w:type="dxa" w:w="4150"/>
          </w:tcPr>
          <w:p>
            <w:pPr>
              <w:jc w:val="center"/>
            </w:pPr>
            <w:r/>
            <w:r>
              <w:rPr>
                <w:rFonts w:ascii="Times New Roman" w:hAnsi="Times New Roman" w:eastAsia="黑体"/>
                <w:b/>
                <w:sz w:val="24"/>
              </w:rPr>
              <w:t>文档名称</w:t>
            </w:r>
          </w:p>
        </w:tc>
        <w:tc>
          <w:tcPr>
            <w:tcW w:type="dxa" w:w="4150"/>
          </w:tcPr>
          <w:p>
            <w:pPr>
              <w:jc w:val="center"/>
            </w:pPr>
            <w:r/>
            <w:r>
              <w:rPr>
                <w:rFonts w:ascii="Times New Roman" w:hAnsi="Times New Roman" w:eastAsia="宋体"/>
                <w:b w:val="0"/>
                <w:sz w:val="24"/>
              </w:rPr>
              <w:t>银行代客外汇交易系统 软件需求说明书</w:t>
            </w:r>
          </w:p>
        </w:tc>
      </w:tr>
      <w:tr>
        <w:tc>
          <w:tcPr>
            <w:tcW w:type="dxa" w:w="4150"/>
          </w:tcPr>
          <w:p>
            <w:pPr>
              <w:jc w:val="center"/>
            </w:pPr>
            <w:r/>
            <w:r>
              <w:rPr>
                <w:rFonts w:ascii="Times New Roman" w:hAnsi="Times New Roman" w:eastAsia="黑体"/>
                <w:b/>
                <w:sz w:val="24"/>
              </w:rPr>
              <w:t>文档版本</w:t>
            </w:r>
          </w:p>
        </w:tc>
        <w:tc>
          <w:tcPr>
            <w:tcW w:type="dxa" w:w="4150"/>
          </w:tcPr>
          <w:p>
            <w:pPr>
              <w:jc w:val="center"/>
            </w:pPr>
            <w:r/>
            <w:r>
              <w:rPr>
                <w:rFonts w:ascii="Times New Roman" w:hAnsi="Times New Roman" w:eastAsia="宋体"/>
                <w:b w:val="0"/>
                <w:sz w:val="24"/>
              </w:rPr>
              <w:t>V1.0</w:t>
            </w:r>
          </w:p>
        </w:tc>
      </w:tr>
      <w:tr>
        <w:tc>
          <w:tcPr>
            <w:tcW w:type="dxa" w:w="4150"/>
          </w:tcPr>
          <w:p>
            <w:pPr>
              <w:jc w:val="center"/>
            </w:pPr>
            <w:r/>
            <w:r>
              <w:rPr>
                <w:rFonts w:ascii="Times New Roman" w:hAnsi="Times New Roman" w:eastAsia="黑体"/>
                <w:b/>
                <w:sz w:val="24"/>
              </w:rPr>
              <w:t>编制日期</w:t>
            </w:r>
          </w:p>
        </w:tc>
        <w:tc>
          <w:tcPr>
            <w:tcW w:type="dxa" w:w="4150"/>
          </w:tcPr>
          <w:p>
            <w:pPr>
              <w:jc w:val="center"/>
            </w:pPr>
            <w:r/>
            <w:r>
              <w:rPr>
                <w:rFonts w:ascii="Times New Roman" w:hAnsi="Times New Roman" w:eastAsia="宋体"/>
                <w:b w:val="0"/>
                <w:sz w:val="24"/>
              </w:rPr>
              <w:t>2026年7月</w:t>
            </w:r>
          </w:p>
        </w:tc>
      </w:tr>
      <w:tr>
        <w:tc>
          <w:tcPr>
            <w:tcW w:type="dxa" w:w="4150"/>
          </w:tcPr>
          <w:p>
            <w:pPr>
              <w:jc w:val="center"/>
            </w:pPr>
            <w:r/>
            <w:r>
              <w:rPr>
                <w:rFonts w:ascii="Times New Roman" w:hAnsi="Times New Roman" w:eastAsia="黑体"/>
                <w:b/>
                <w:sz w:val="24"/>
              </w:rPr>
              <w:t>文档状态</w:t>
            </w:r>
          </w:p>
        </w:tc>
        <w:tc>
          <w:tcPr>
            <w:tcW w:type="dxa" w:w="4150"/>
          </w:tcPr>
          <w:p>
            <w:pPr>
              <w:jc w:val="center"/>
            </w:pPr>
            <w:r/>
            <w:r>
              <w:rPr>
                <w:rFonts w:ascii="Times New Roman" w:hAnsi="Times New Roman" w:eastAsia="宋体"/>
                <w:b w:val="0"/>
                <w:sz w:val="24"/>
              </w:rPr>
              <w:t>正式发布</w:t>
            </w:r>
          </w:p>
        </w:tc>
      </w:tr>
      <w:tr>
        <w:tc>
          <w:tcPr>
            <w:tcW w:type="dxa" w:w="4150"/>
          </w:tcPr>
          <w:p>
            <w:pPr>
              <w:jc w:val="center"/>
            </w:pPr>
            <w:r/>
            <w:r>
              <w:rPr>
                <w:rFonts w:ascii="Times New Roman" w:hAnsi="Times New Roman" w:eastAsia="黑体"/>
                <w:b/>
                <w:sz w:val="24"/>
              </w:rPr>
              <w:t>保密级别</w:t>
            </w:r>
          </w:p>
        </w:tc>
        <w:tc>
          <w:tcPr>
            <w:tcW w:type="dxa" w:w="4150"/>
          </w:tcPr>
          <w:p>
            <w:pPr>
              <w:jc w:val="center"/>
            </w:pPr>
            <w:r/>
            <w:r>
              <w:rPr>
                <w:rFonts w:ascii="Times New Roman" w:hAnsi="Times New Roman" w:eastAsia="宋体"/>
                <w:b w:val="0"/>
                <w:sz w:val="24"/>
              </w:rPr>
              <w:t>内部使用</w:t>
            </w:r>
          </w:p>
        </w:tc>
      </w:tr>
    </w:tbl>
    <w:p>
      <w:r>
        <w:br w:type="page"/>
      </w:r>
    </w:p>
    <w:p>
      <w:pPr>
        <w:spacing w:line="360" w:lineRule="auto" w:before="360" w:after="240"/>
      </w:pPr>
      <w:r>
        <w:rPr>
          <w:rFonts w:ascii="Times New Roman" w:hAnsi="Times New Roman" w:eastAsia="黑体"/>
          <w:b/>
          <w:sz w:val="32"/>
        </w:rPr>
        <w:t>目  录</w:t>
      </w:r>
    </w:p>
    <w:p>
      <w:pPr>
        <w:spacing w:line="360" w:lineRule="auto" w:before="0" w:after="60"/>
      </w:pPr>
      <w:r>
        <w:rPr>
          <w:rFonts w:ascii="Times New Roman" w:hAnsi="Times New Roman" w:eastAsia="宋体"/>
          <w:b w:val="0"/>
          <w:sz w:val="24"/>
        </w:rPr>
        <w:t>1  引言 ......................................................... 1</w:t>
      </w:r>
    </w:p>
    <w:p>
      <w:pPr>
        <w:spacing w:line="360" w:lineRule="auto" w:before="0" w:after="60"/>
      </w:pPr>
      <w:r>
        <w:rPr>
          <w:rFonts w:ascii="Times New Roman" w:hAnsi="Times New Roman" w:eastAsia="宋体"/>
          <w:b w:val="0"/>
          <w:sz w:val="24"/>
        </w:rPr>
        <w:t xml:space="preserve">    1.1  编写目的</w:t>
      </w:r>
    </w:p>
    <w:p>
      <w:pPr>
        <w:spacing w:line="360" w:lineRule="auto" w:before="0" w:after="60"/>
      </w:pPr>
      <w:r>
        <w:rPr>
          <w:rFonts w:ascii="Times New Roman" w:hAnsi="Times New Roman" w:eastAsia="宋体"/>
          <w:b w:val="0"/>
          <w:sz w:val="24"/>
        </w:rPr>
        <w:t xml:space="preserve">    1.2  项目背景</w:t>
      </w:r>
    </w:p>
    <w:p>
      <w:pPr>
        <w:spacing w:line="360" w:lineRule="auto" w:before="0" w:after="60"/>
      </w:pPr>
      <w:r>
        <w:rPr>
          <w:rFonts w:ascii="Times New Roman" w:hAnsi="Times New Roman" w:eastAsia="宋体"/>
          <w:b w:val="0"/>
          <w:sz w:val="24"/>
        </w:rPr>
        <w:t xml:space="preserve">    1.3  术语定义</w:t>
      </w:r>
    </w:p>
    <w:p>
      <w:pPr>
        <w:spacing w:line="360" w:lineRule="auto" w:before="0" w:after="60"/>
      </w:pPr>
      <w:r>
        <w:rPr>
          <w:rFonts w:ascii="Times New Roman" w:hAnsi="Times New Roman" w:eastAsia="宋体"/>
          <w:b w:val="0"/>
          <w:sz w:val="24"/>
        </w:rPr>
        <w:t xml:space="preserve">    1.4  参考资料</w:t>
      </w:r>
    </w:p>
    <w:p>
      <w:pPr>
        <w:spacing w:line="360" w:lineRule="auto" w:before="0" w:after="60"/>
      </w:pPr>
      <w:r>
        <w:rPr>
          <w:rFonts w:ascii="Times New Roman" w:hAnsi="Times New Roman" w:eastAsia="宋体"/>
          <w:b w:val="0"/>
          <w:sz w:val="24"/>
        </w:rPr>
        <w:t>2  总体描述 ..................................................... 3</w:t>
      </w:r>
    </w:p>
    <w:p>
      <w:pPr>
        <w:spacing w:line="360" w:lineRule="auto" w:before="0" w:after="60"/>
      </w:pPr>
      <w:r>
        <w:rPr>
          <w:rFonts w:ascii="Times New Roman" w:hAnsi="Times New Roman" w:eastAsia="宋体"/>
          <w:b w:val="0"/>
          <w:sz w:val="24"/>
        </w:rPr>
        <w:t xml:space="preserve">    2.1  产品概述</w:t>
      </w:r>
    </w:p>
    <w:p>
      <w:pPr>
        <w:spacing w:line="360" w:lineRule="auto" w:before="0" w:after="60"/>
      </w:pPr>
      <w:r>
        <w:rPr>
          <w:rFonts w:ascii="Times New Roman" w:hAnsi="Times New Roman" w:eastAsia="宋体"/>
          <w:b w:val="0"/>
          <w:sz w:val="24"/>
        </w:rPr>
        <w:t xml:space="preserve">    2.2  产品功能结构</w:t>
      </w:r>
    </w:p>
    <w:p>
      <w:pPr>
        <w:spacing w:line="360" w:lineRule="auto" w:before="0" w:after="60"/>
      </w:pPr>
      <w:r>
        <w:rPr>
          <w:rFonts w:ascii="Times New Roman" w:hAnsi="Times New Roman" w:eastAsia="宋体"/>
          <w:b w:val="0"/>
          <w:sz w:val="24"/>
        </w:rPr>
        <w:t xml:space="preserve">    2.3  用户类别与特征</w:t>
      </w:r>
    </w:p>
    <w:p>
      <w:pPr>
        <w:spacing w:line="360" w:lineRule="auto" w:before="0" w:after="60"/>
      </w:pPr>
      <w:r>
        <w:rPr>
          <w:rFonts w:ascii="Times New Roman" w:hAnsi="Times New Roman" w:eastAsia="宋体"/>
          <w:b w:val="0"/>
          <w:sz w:val="24"/>
        </w:rPr>
        <w:t xml:space="preserve">    2.4  运行环境</w:t>
      </w:r>
    </w:p>
    <w:p>
      <w:pPr>
        <w:spacing w:line="360" w:lineRule="auto" w:before="0" w:after="60"/>
      </w:pPr>
      <w:r>
        <w:rPr>
          <w:rFonts w:ascii="Times New Roman" w:hAnsi="Times New Roman" w:eastAsia="宋体"/>
          <w:b w:val="0"/>
          <w:sz w:val="24"/>
        </w:rPr>
        <w:t xml:space="preserve">    2.5  设计约束</w:t>
      </w:r>
    </w:p>
    <w:p>
      <w:pPr>
        <w:spacing w:line="360" w:lineRule="auto" w:before="0" w:after="60"/>
      </w:pPr>
      <w:r>
        <w:rPr>
          <w:rFonts w:ascii="Times New Roman" w:hAnsi="Times New Roman" w:eastAsia="宋体"/>
          <w:b w:val="0"/>
          <w:sz w:val="24"/>
        </w:rPr>
        <w:t>3  功能需求规定 ................................................. 5</w:t>
      </w:r>
    </w:p>
    <w:p>
      <w:pPr>
        <w:spacing w:line="360" w:lineRule="auto" w:before="0" w:after="60"/>
      </w:pPr>
      <w:r>
        <w:rPr>
          <w:rFonts w:ascii="Times New Roman" w:hAnsi="Times New Roman" w:eastAsia="宋体"/>
          <w:b w:val="0"/>
          <w:sz w:val="24"/>
        </w:rPr>
        <w:t xml:space="preserve">    3.1  外汇牌价管理</w:t>
      </w:r>
    </w:p>
    <w:p>
      <w:pPr>
        <w:spacing w:line="360" w:lineRule="auto" w:before="0" w:after="60"/>
      </w:pPr>
      <w:r>
        <w:rPr>
          <w:rFonts w:ascii="Times New Roman" w:hAnsi="Times New Roman" w:eastAsia="宋体"/>
          <w:b w:val="0"/>
          <w:sz w:val="24"/>
        </w:rPr>
        <w:t xml:space="preserve">    3.2  即期交易</w:t>
      </w:r>
    </w:p>
    <w:p>
      <w:pPr>
        <w:spacing w:line="360" w:lineRule="auto" w:before="0" w:after="60"/>
      </w:pPr>
      <w:r>
        <w:rPr>
          <w:rFonts w:ascii="Times New Roman" w:hAnsi="Times New Roman" w:eastAsia="宋体"/>
          <w:b w:val="0"/>
          <w:sz w:val="24"/>
        </w:rPr>
        <w:t xml:space="preserve">    3.3  远期交易</w:t>
      </w:r>
    </w:p>
    <w:p>
      <w:pPr>
        <w:spacing w:line="360" w:lineRule="auto" w:before="0" w:after="60"/>
      </w:pPr>
      <w:r>
        <w:rPr>
          <w:rFonts w:ascii="Times New Roman" w:hAnsi="Times New Roman" w:eastAsia="宋体"/>
          <w:b w:val="0"/>
          <w:sz w:val="24"/>
        </w:rPr>
        <w:t xml:space="preserve">    3.4  掉期交易</w:t>
      </w:r>
    </w:p>
    <w:p>
      <w:pPr>
        <w:spacing w:line="360" w:lineRule="auto" w:before="0" w:after="60"/>
      </w:pPr>
      <w:r>
        <w:rPr>
          <w:rFonts w:ascii="Times New Roman" w:hAnsi="Times New Roman" w:eastAsia="宋体"/>
          <w:b w:val="0"/>
          <w:sz w:val="24"/>
        </w:rPr>
        <w:t xml:space="preserve">    3.5  期权交易</w:t>
      </w:r>
    </w:p>
    <w:p>
      <w:pPr>
        <w:spacing w:line="360" w:lineRule="auto" w:before="0" w:after="60"/>
      </w:pPr>
      <w:r>
        <w:rPr>
          <w:rFonts w:ascii="Times New Roman" w:hAnsi="Times New Roman" w:eastAsia="宋体"/>
          <w:b w:val="0"/>
          <w:sz w:val="24"/>
        </w:rPr>
        <w:t xml:space="preserve">    3.6  交易存续期管理</w:t>
      </w:r>
    </w:p>
    <w:p>
      <w:pPr>
        <w:spacing w:line="360" w:lineRule="auto" w:before="0" w:after="60"/>
      </w:pPr>
      <w:r>
        <w:rPr>
          <w:rFonts w:ascii="Times New Roman" w:hAnsi="Times New Roman" w:eastAsia="宋体"/>
          <w:b w:val="0"/>
          <w:sz w:val="24"/>
        </w:rPr>
        <w:t xml:space="preserve">    3.7  待办任务与审批工作流</w:t>
      </w:r>
    </w:p>
    <w:p>
      <w:pPr>
        <w:spacing w:line="360" w:lineRule="auto" w:before="0" w:after="60"/>
      </w:pPr>
      <w:r>
        <w:rPr>
          <w:rFonts w:ascii="Times New Roman" w:hAnsi="Times New Roman" w:eastAsia="宋体"/>
          <w:b w:val="0"/>
          <w:sz w:val="24"/>
        </w:rPr>
        <w:t xml:space="preserve">    3.8  客户管理</w:t>
      </w:r>
    </w:p>
    <w:p>
      <w:pPr>
        <w:spacing w:line="360" w:lineRule="auto" w:before="0" w:after="60"/>
      </w:pPr>
      <w:r>
        <w:rPr>
          <w:rFonts w:ascii="Times New Roman" w:hAnsi="Times New Roman" w:eastAsia="宋体"/>
          <w:b w:val="0"/>
          <w:sz w:val="24"/>
        </w:rPr>
        <w:t xml:space="preserve">    3.9  机构与权限管理</w:t>
      </w:r>
    </w:p>
    <w:p>
      <w:pPr>
        <w:spacing w:line="360" w:lineRule="auto" w:before="0" w:after="60"/>
      </w:pPr>
      <w:r>
        <w:rPr>
          <w:rFonts w:ascii="Times New Roman" w:hAnsi="Times New Roman" w:eastAsia="宋体"/>
          <w:b w:val="0"/>
          <w:sz w:val="24"/>
        </w:rPr>
        <w:t xml:space="preserve">    3.10 保证金与授信管理</w:t>
      </w:r>
    </w:p>
    <w:p>
      <w:pPr>
        <w:spacing w:line="360" w:lineRule="auto" w:before="0" w:after="60"/>
      </w:pPr>
      <w:r>
        <w:rPr>
          <w:rFonts w:ascii="Times New Roman" w:hAnsi="Times New Roman" w:eastAsia="宋体"/>
          <w:b w:val="0"/>
          <w:sz w:val="24"/>
        </w:rPr>
        <w:t xml:space="preserve">    3.11 定时任务管理</w:t>
      </w:r>
    </w:p>
    <w:p>
      <w:pPr>
        <w:spacing w:line="360" w:lineRule="auto" w:before="0" w:after="60"/>
      </w:pPr>
      <w:r>
        <w:rPr>
          <w:rFonts w:ascii="Times New Roman" w:hAnsi="Times New Roman" w:eastAsia="宋体"/>
          <w:b w:val="0"/>
          <w:sz w:val="24"/>
        </w:rPr>
        <w:t>4  非功能需求规定 .............................................. 14</w:t>
      </w:r>
    </w:p>
    <w:p>
      <w:pPr>
        <w:spacing w:line="360" w:lineRule="auto" w:before="0" w:after="60"/>
      </w:pPr>
      <w:r>
        <w:rPr>
          <w:rFonts w:ascii="Times New Roman" w:hAnsi="Times New Roman" w:eastAsia="宋体"/>
          <w:b w:val="0"/>
          <w:sz w:val="24"/>
        </w:rPr>
        <w:t xml:space="preserve">    4.1  性能需求</w:t>
      </w:r>
    </w:p>
    <w:p>
      <w:pPr>
        <w:spacing w:line="360" w:lineRule="auto" w:before="0" w:after="60"/>
      </w:pPr>
      <w:r>
        <w:rPr>
          <w:rFonts w:ascii="Times New Roman" w:hAnsi="Times New Roman" w:eastAsia="宋体"/>
          <w:b w:val="0"/>
          <w:sz w:val="24"/>
        </w:rPr>
        <w:t xml:space="preserve">    4.2  安全性需求</w:t>
      </w:r>
    </w:p>
    <w:p>
      <w:pPr>
        <w:spacing w:line="360" w:lineRule="auto" w:before="0" w:after="60"/>
      </w:pPr>
      <w:r>
        <w:rPr>
          <w:rFonts w:ascii="Times New Roman" w:hAnsi="Times New Roman" w:eastAsia="宋体"/>
          <w:b w:val="0"/>
          <w:sz w:val="24"/>
        </w:rPr>
        <w:t xml:space="preserve">    4.3  可用性需求</w:t>
      </w:r>
    </w:p>
    <w:p>
      <w:pPr>
        <w:spacing w:line="360" w:lineRule="auto" w:before="0" w:after="60"/>
      </w:pPr>
      <w:r>
        <w:rPr>
          <w:rFonts w:ascii="Times New Roman" w:hAnsi="Times New Roman" w:eastAsia="宋体"/>
          <w:b w:val="0"/>
          <w:sz w:val="24"/>
        </w:rPr>
        <w:t xml:space="preserve">    4.4  可维护性需求</w:t>
      </w:r>
    </w:p>
    <w:p>
      <w:pPr>
        <w:spacing w:line="360" w:lineRule="auto" w:before="0" w:after="60"/>
      </w:pPr>
      <w:r>
        <w:rPr>
          <w:rFonts w:ascii="Times New Roman" w:hAnsi="Times New Roman" w:eastAsia="宋体"/>
          <w:b w:val="0"/>
          <w:sz w:val="24"/>
        </w:rPr>
        <w:t>5  数据需求 ................................................... 16</w:t>
      </w:r>
    </w:p>
    <w:p>
      <w:pPr>
        <w:spacing w:line="360" w:lineRule="auto" w:before="0" w:after="60"/>
      </w:pPr>
      <w:r>
        <w:rPr>
          <w:rFonts w:ascii="Times New Roman" w:hAnsi="Times New Roman" w:eastAsia="宋体"/>
          <w:b w:val="0"/>
          <w:sz w:val="24"/>
        </w:rPr>
        <w:t xml:space="preserve">    5.1  数据描述</w:t>
      </w:r>
    </w:p>
    <w:p>
      <w:pPr>
        <w:spacing w:line="360" w:lineRule="auto" w:before="0" w:after="60"/>
      </w:pPr>
      <w:r>
        <w:rPr>
          <w:rFonts w:ascii="Times New Roman" w:hAnsi="Times New Roman" w:eastAsia="宋体"/>
          <w:b w:val="0"/>
          <w:sz w:val="24"/>
        </w:rPr>
        <w:t xml:space="preserve">    5.2  数据库设计概要</w:t>
      </w:r>
    </w:p>
    <w:p>
      <w:pPr>
        <w:spacing w:line="360" w:lineRule="auto" w:before="0" w:after="60"/>
      </w:pPr>
      <w:r>
        <w:rPr>
          <w:rFonts w:ascii="Times New Roman" w:hAnsi="Times New Roman" w:eastAsia="宋体"/>
          <w:b w:val="0"/>
          <w:sz w:val="24"/>
        </w:rPr>
        <w:t>6  其他需求 ................................................... 18</w:t>
      </w:r>
    </w:p>
    <w:p>
      <w:pPr>
        <w:spacing w:line="360" w:lineRule="auto" w:before="0" w:after="60"/>
      </w:pPr>
      <w:r>
        <w:rPr>
          <w:rFonts w:ascii="Times New Roman" w:hAnsi="Times New Roman" w:eastAsia="宋体"/>
          <w:b w:val="0"/>
          <w:sz w:val="24"/>
        </w:rPr>
        <w:t xml:space="preserve">    6.1  监管报送需求</w:t>
      </w:r>
    </w:p>
    <w:p>
      <w:pPr>
        <w:spacing w:line="360" w:lineRule="auto" w:before="0" w:after="60"/>
      </w:pPr>
      <w:r>
        <w:rPr>
          <w:rFonts w:ascii="Times New Roman" w:hAnsi="Times New Roman" w:eastAsia="宋体"/>
          <w:b w:val="0"/>
          <w:sz w:val="24"/>
        </w:rPr>
        <w:t xml:space="preserve">    6.2  接口需求</w:t>
      </w:r>
    </w:p>
    <w:p>
      <w:r>
        <w:br w:type="page"/>
      </w:r>
    </w:p>
    <w:p>
      <w:pPr>
        <w:spacing w:line="360" w:lineRule="auto" w:before="360" w:after="240"/>
      </w:pPr>
      <w:r>
        <w:rPr>
          <w:rFonts w:ascii="Times New Roman" w:hAnsi="Times New Roman" w:eastAsia="黑体"/>
          <w:b/>
          <w:sz w:val="32"/>
        </w:rPr>
        <w:t>1  引言</w:t>
      </w:r>
    </w:p>
    <w:p>
      <w:pPr>
        <w:spacing w:line="360" w:lineRule="auto" w:before="240" w:after="120"/>
      </w:pPr>
      <w:r>
        <w:rPr>
          <w:rFonts w:ascii="Times New Roman" w:hAnsi="Times New Roman" w:eastAsia="黑体"/>
          <w:b/>
          <w:sz w:val="28"/>
        </w:rPr>
        <w:t>1.1  编写目的</w:t>
      </w:r>
    </w:p>
    <w:p>
      <w:pPr>
        <w:spacing w:line="360" w:lineRule="auto" w:before="0" w:after="0"/>
        <w:ind w:firstLine="480"/>
      </w:pPr>
      <w:r>
        <w:rPr>
          <w:rFonts w:ascii="Times New Roman" w:hAnsi="Times New Roman" w:eastAsia="宋体"/>
          <w:b w:val="0"/>
          <w:sz w:val="24"/>
        </w:rPr>
        <w:t>本软件需求说明书旨在明确"银行代客外汇交易系统"的功能与非功能需求，为系统的设计、开发、测试、验收以及后续维护提供统一的依据。本文档的预期读者包括：项目评审专家、系统最终用户（银行外汇业务经办与复核人员）、系统分析与设计人员、软件开发与测试人员以及项目管理人员。通过阅读本文档，读者能够全面了解系统的业务范围、功能构成、用户角色与运行环境，从而对系统的建设目标与实施效果形成清晰的认识。</w:t>
      </w:r>
    </w:p>
    <w:p>
      <w:pPr>
        <w:spacing w:line="360" w:lineRule="auto" w:before="240" w:after="120"/>
      </w:pPr>
      <w:r>
        <w:rPr>
          <w:rFonts w:ascii="Times New Roman" w:hAnsi="Times New Roman" w:eastAsia="黑体"/>
          <w:b/>
          <w:sz w:val="28"/>
        </w:rPr>
        <w:t>1.2  项目背景</w:t>
      </w:r>
    </w:p>
    <w:p>
      <w:pPr>
        <w:spacing w:line="360" w:lineRule="auto" w:before="0" w:after="0"/>
        <w:ind w:firstLine="480"/>
      </w:pPr>
      <w:r>
        <w:rPr>
          <w:rFonts w:ascii="Times New Roman" w:hAnsi="Times New Roman" w:eastAsia="宋体"/>
          <w:b w:val="0"/>
          <w:sz w:val="24"/>
        </w:rPr>
        <w:t>银行代客外汇交易业务是商业银行外汇业务的核心组成部分，涉及即期、远期、掉期、期权等多种外汇衍生产品。该类业务交易生命周期复杂，涵盖交易录入、复核审批、存续期管理、到期交割、提前交割、提前违约、展期、保证金追补等多个环节，同时需满足总行、分行、支行三级机构的经办—复核工作流以及监管机构对外汇业务的报送要求。</w:t>
      </w:r>
    </w:p>
    <w:p>
      <w:pPr>
        <w:spacing w:line="360" w:lineRule="auto" w:before="0" w:after="0"/>
        <w:ind w:firstLine="480"/>
      </w:pPr>
      <w:r>
        <w:rPr>
          <w:rFonts w:ascii="Times New Roman" w:hAnsi="Times New Roman" w:eastAsia="宋体"/>
          <w:b w:val="0"/>
          <w:sz w:val="24"/>
        </w:rPr>
        <w:t>当前，部分银行在外汇交易处理上仍依赖人工操作或分散的辅助工具，存在交易数据不易追溯、审批流程不规范、风险控制手段不足等问题。为提升业务办理效率、降低操作风险、满足合规要求，特建设本套代客外汇交易系统，实现外汇交易全流程的电子化、规范化与集中化管理。</w:t>
      </w:r>
    </w:p>
    <w:p>
      <w:pPr>
        <w:spacing w:line="360" w:lineRule="auto" w:before="240" w:after="120"/>
      </w:pPr>
      <w:r>
        <w:rPr>
          <w:rFonts w:ascii="Times New Roman" w:hAnsi="Times New Roman" w:eastAsia="黑体"/>
          <w:b/>
          <w:sz w:val="28"/>
        </w:rPr>
        <w:t>1.3  术语定义</w:t>
      </w:r>
    </w:p>
    <w:tbl>
      <w:tblPr>
        <w:tblStyle w:val="TableGrid"/>
        <w:tblW w:type="auto" w:w="0"/>
        <w:jc w:val="center"/>
        <w:tblLook w:firstColumn="1" w:firstRow="1" w:lastColumn="0" w:lastRow="0" w:noHBand="0" w:noVBand="1" w:val="04A0"/>
      </w:tblPr>
      <w:tblGrid>
        <w:gridCol w:w="4150"/>
        <w:gridCol w:w="4150"/>
      </w:tblGrid>
      <w:tr>
        <w:tc>
          <w:tcPr>
            <w:tcW w:type="dxa" w:w="1984"/>
          </w:tcPr>
          <w:p>
            <w:pPr>
              <w:jc w:val="center"/>
            </w:pPr>
            <w:r/>
            <w:r>
              <w:rPr>
                <w:rFonts w:ascii="Times New Roman" w:hAnsi="Times New Roman" w:eastAsia="黑体"/>
                <w:b/>
                <w:sz w:val="21"/>
              </w:rPr>
              <w:t>术语</w:t>
            </w:r>
          </w:p>
        </w:tc>
        <w:tc>
          <w:tcPr>
            <w:tcW w:type="dxa" w:w="6520"/>
          </w:tcPr>
          <w:p>
            <w:pPr>
              <w:jc w:val="center"/>
            </w:pPr>
            <w:r/>
            <w:r>
              <w:rPr>
                <w:rFonts w:ascii="Times New Roman" w:hAnsi="Times New Roman" w:eastAsia="黑体"/>
                <w:b/>
                <w:sz w:val="21"/>
              </w:rPr>
              <w:t>说明</w:t>
            </w:r>
          </w:p>
        </w:tc>
      </w:tr>
      <w:tr>
        <w:tc>
          <w:tcPr>
            <w:tcW w:type="dxa" w:w="1984"/>
          </w:tcPr>
          <w:p>
            <w:pPr>
              <w:jc w:val="left"/>
            </w:pPr>
            <w:r/>
            <w:r>
              <w:rPr>
                <w:rFonts w:ascii="Times New Roman" w:hAnsi="Times New Roman" w:eastAsia="宋体"/>
                <w:b w:val="0"/>
                <w:sz w:val="21"/>
              </w:rPr>
              <w:t>即期交易</w:t>
            </w:r>
          </w:p>
        </w:tc>
        <w:tc>
          <w:tcPr>
            <w:tcW w:type="dxa" w:w="6520"/>
          </w:tcPr>
          <w:p>
            <w:pPr>
              <w:jc w:val="left"/>
            </w:pPr>
            <w:r/>
            <w:r>
              <w:rPr>
                <w:rFonts w:ascii="Times New Roman" w:hAnsi="Times New Roman" w:eastAsia="宋体"/>
                <w:b w:val="0"/>
                <w:sz w:val="21"/>
              </w:rPr>
              <w:t>交易双方按当日汇率成交，并在两个营业日内交割的外汇交易</w:t>
            </w:r>
          </w:p>
        </w:tc>
      </w:tr>
      <w:tr>
        <w:tc>
          <w:tcPr>
            <w:tcW w:type="dxa" w:w="1984"/>
          </w:tcPr>
          <w:p>
            <w:pPr>
              <w:jc w:val="left"/>
            </w:pPr>
            <w:r/>
            <w:r>
              <w:rPr>
                <w:rFonts w:ascii="Times New Roman" w:hAnsi="Times New Roman" w:eastAsia="宋体"/>
                <w:b w:val="0"/>
                <w:sz w:val="21"/>
              </w:rPr>
              <w:t>远期交易</w:t>
            </w:r>
          </w:p>
        </w:tc>
        <w:tc>
          <w:tcPr>
            <w:tcW w:type="dxa" w:w="6520"/>
          </w:tcPr>
          <w:p>
            <w:pPr>
              <w:jc w:val="left"/>
            </w:pPr>
            <w:r/>
            <w:r>
              <w:rPr>
                <w:rFonts w:ascii="Times New Roman" w:hAnsi="Times New Roman" w:eastAsia="宋体"/>
                <w:b w:val="0"/>
                <w:sz w:val="21"/>
              </w:rPr>
              <w:t>约定在未来某一日期按事先确定的汇率交割的外汇交易</w:t>
            </w:r>
          </w:p>
        </w:tc>
      </w:tr>
      <w:tr>
        <w:tc>
          <w:tcPr>
            <w:tcW w:type="dxa" w:w="1984"/>
          </w:tcPr>
          <w:p>
            <w:pPr>
              <w:jc w:val="left"/>
            </w:pPr>
            <w:r/>
            <w:r>
              <w:rPr>
                <w:rFonts w:ascii="Times New Roman" w:hAnsi="Times New Roman" w:eastAsia="宋体"/>
                <w:b w:val="0"/>
                <w:sz w:val="21"/>
              </w:rPr>
              <w:t>掉期交易</w:t>
            </w:r>
          </w:p>
        </w:tc>
        <w:tc>
          <w:tcPr>
            <w:tcW w:type="dxa" w:w="6520"/>
          </w:tcPr>
          <w:p>
            <w:pPr>
              <w:jc w:val="left"/>
            </w:pPr>
            <w:r/>
            <w:r>
              <w:rPr>
                <w:rFonts w:ascii="Times New Roman" w:hAnsi="Times New Roman" w:eastAsia="宋体"/>
                <w:b w:val="0"/>
                <w:sz w:val="21"/>
              </w:rPr>
              <w:t>同时进行一笔近端和一笔远端方向相反、金额相同的外汇交易</w:t>
            </w:r>
          </w:p>
        </w:tc>
      </w:tr>
      <w:tr>
        <w:tc>
          <w:tcPr>
            <w:tcW w:type="dxa" w:w="1984"/>
          </w:tcPr>
          <w:p>
            <w:pPr>
              <w:jc w:val="left"/>
            </w:pPr>
            <w:r/>
            <w:r>
              <w:rPr>
                <w:rFonts w:ascii="Times New Roman" w:hAnsi="Times New Roman" w:eastAsia="宋体"/>
                <w:b w:val="0"/>
                <w:sz w:val="21"/>
              </w:rPr>
              <w:t>期权交易</w:t>
            </w:r>
          </w:p>
        </w:tc>
        <w:tc>
          <w:tcPr>
            <w:tcW w:type="dxa" w:w="6520"/>
          </w:tcPr>
          <w:p>
            <w:pPr>
              <w:jc w:val="left"/>
            </w:pPr>
            <w:r/>
            <w:r>
              <w:rPr>
                <w:rFonts w:ascii="Times New Roman" w:hAnsi="Times New Roman" w:eastAsia="宋体"/>
                <w:b w:val="0"/>
                <w:sz w:val="21"/>
              </w:rPr>
              <w:t>买方支付期权费后获得在未来约定时间按约定汇率买卖外汇权利的交易</w:t>
            </w:r>
          </w:p>
        </w:tc>
      </w:tr>
      <w:tr>
        <w:tc>
          <w:tcPr>
            <w:tcW w:type="dxa" w:w="1984"/>
          </w:tcPr>
          <w:p>
            <w:pPr>
              <w:jc w:val="left"/>
            </w:pPr>
            <w:r/>
            <w:r>
              <w:rPr>
                <w:rFonts w:ascii="Times New Roman" w:hAnsi="Times New Roman" w:eastAsia="宋体"/>
                <w:b w:val="0"/>
                <w:sz w:val="21"/>
              </w:rPr>
              <w:t>起息日</w:t>
            </w:r>
          </w:p>
        </w:tc>
        <w:tc>
          <w:tcPr>
            <w:tcW w:type="dxa" w:w="6520"/>
          </w:tcPr>
          <w:p>
            <w:pPr>
              <w:jc w:val="left"/>
            </w:pPr>
            <w:r/>
            <w:r>
              <w:rPr>
                <w:rFonts w:ascii="Times New Roman" w:hAnsi="Times New Roman" w:eastAsia="宋体"/>
                <w:b w:val="0"/>
                <w:sz w:val="21"/>
              </w:rPr>
              <w:t>外汇交易资金实际交割的日期</w:t>
            </w:r>
          </w:p>
        </w:tc>
      </w:tr>
      <w:tr>
        <w:tc>
          <w:tcPr>
            <w:tcW w:type="dxa" w:w="1984"/>
          </w:tcPr>
          <w:p>
            <w:pPr>
              <w:jc w:val="left"/>
            </w:pPr>
            <w:r/>
            <w:r>
              <w:rPr>
                <w:rFonts w:ascii="Times New Roman" w:hAnsi="Times New Roman" w:eastAsia="宋体"/>
                <w:b w:val="0"/>
                <w:sz w:val="21"/>
              </w:rPr>
              <w:t>到期日</w:t>
            </w:r>
          </w:p>
        </w:tc>
        <w:tc>
          <w:tcPr>
            <w:tcW w:type="dxa" w:w="6520"/>
          </w:tcPr>
          <w:p>
            <w:pPr>
              <w:jc w:val="left"/>
            </w:pPr>
            <w:r/>
            <w:r>
              <w:rPr>
                <w:rFonts w:ascii="Times New Roman" w:hAnsi="Times New Roman" w:eastAsia="宋体"/>
                <w:b w:val="0"/>
                <w:sz w:val="21"/>
              </w:rPr>
              <w:t>远期或期权交易约定的最后履约日期</w:t>
            </w:r>
          </w:p>
        </w:tc>
      </w:tr>
      <w:tr>
        <w:tc>
          <w:tcPr>
            <w:tcW w:type="dxa" w:w="1984"/>
          </w:tcPr>
          <w:p>
            <w:pPr>
              <w:jc w:val="left"/>
            </w:pPr>
            <w:r/>
            <w:r>
              <w:rPr>
                <w:rFonts w:ascii="Times New Roman" w:hAnsi="Times New Roman" w:eastAsia="宋体"/>
                <w:b w:val="0"/>
                <w:sz w:val="21"/>
              </w:rPr>
              <w:t>交割方式</w:t>
            </w:r>
          </w:p>
        </w:tc>
        <w:tc>
          <w:tcPr>
            <w:tcW w:type="dxa" w:w="6520"/>
          </w:tcPr>
          <w:p>
            <w:pPr>
              <w:jc w:val="left"/>
            </w:pPr>
            <w:r/>
            <w:r>
              <w:rPr>
                <w:rFonts w:ascii="Times New Roman" w:hAnsi="Times New Roman" w:eastAsia="宋体"/>
                <w:b w:val="0"/>
                <w:sz w:val="21"/>
              </w:rPr>
              <w:t>资金交割的形式，包括全额交割（FULL）与差额交割（NET）</w:t>
            </w:r>
          </w:p>
        </w:tc>
      </w:tr>
      <w:tr>
        <w:tc>
          <w:tcPr>
            <w:tcW w:type="dxa" w:w="1984"/>
          </w:tcPr>
          <w:p>
            <w:pPr>
              <w:jc w:val="left"/>
            </w:pPr>
            <w:r/>
            <w:r>
              <w:rPr>
                <w:rFonts w:ascii="Times New Roman" w:hAnsi="Times New Roman" w:eastAsia="宋体"/>
                <w:b w:val="0"/>
                <w:sz w:val="21"/>
              </w:rPr>
              <w:t>Maker-Checker</w:t>
            </w:r>
          </w:p>
        </w:tc>
        <w:tc>
          <w:tcPr>
            <w:tcW w:type="dxa" w:w="6520"/>
          </w:tcPr>
          <w:p>
            <w:pPr>
              <w:jc w:val="left"/>
            </w:pPr>
            <w:r/>
            <w:r>
              <w:rPr>
                <w:rFonts w:ascii="Times New Roman" w:hAnsi="Times New Roman" w:eastAsia="宋体"/>
                <w:b w:val="0"/>
                <w:sz w:val="21"/>
              </w:rPr>
              <w:t>经办—复核工作流，即交易发起与审核由不同人员完成以防范风险</w:t>
            </w:r>
          </w:p>
        </w:tc>
      </w:tr>
      <w:tr>
        <w:tc>
          <w:tcPr>
            <w:tcW w:type="dxa" w:w="1984"/>
          </w:tcPr>
          <w:p>
            <w:pPr>
              <w:jc w:val="left"/>
            </w:pPr>
            <w:r/>
            <w:r>
              <w:rPr>
                <w:rFonts w:ascii="Times New Roman" w:hAnsi="Times New Roman" w:eastAsia="宋体"/>
                <w:b w:val="0"/>
                <w:sz w:val="21"/>
              </w:rPr>
              <w:t>保证金</w:t>
            </w:r>
          </w:p>
        </w:tc>
        <w:tc>
          <w:tcPr>
            <w:tcW w:type="dxa" w:w="6520"/>
          </w:tcPr>
          <w:p>
            <w:pPr>
              <w:jc w:val="left"/>
            </w:pPr>
            <w:r/>
            <w:r>
              <w:rPr>
                <w:rFonts w:ascii="Times New Roman" w:hAnsi="Times New Roman" w:eastAsia="宋体"/>
                <w:b w:val="0"/>
                <w:sz w:val="21"/>
              </w:rPr>
              <w:t>客户为担保交易履约而存入指定账户的资金</w:t>
            </w:r>
          </w:p>
        </w:tc>
      </w:tr>
      <w:tr>
        <w:tc>
          <w:tcPr>
            <w:tcW w:type="dxa" w:w="1984"/>
          </w:tcPr>
          <w:p>
            <w:pPr>
              <w:jc w:val="left"/>
            </w:pPr>
            <w:r/>
            <w:r>
              <w:rPr>
                <w:rFonts w:ascii="Times New Roman" w:hAnsi="Times New Roman" w:eastAsia="宋体"/>
                <w:b w:val="0"/>
                <w:sz w:val="21"/>
              </w:rPr>
              <w:t>轧差</w:t>
            </w:r>
          </w:p>
        </w:tc>
        <w:tc>
          <w:tcPr>
            <w:tcW w:type="dxa" w:w="6520"/>
          </w:tcPr>
          <w:p>
            <w:pPr>
              <w:jc w:val="left"/>
            </w:pPr>
            <w:r/>
            <w:r>
              <w:rPr>
                <w:rFonts w:ascii="Times New Roman" w:hAnsi="Times New Roman" w:eastAsia="宋体"/>
                <w:b w:val="0"/>
                <w:sz w:val="21"/>
              </w:rPr>
              <w:t>差额交割中仅结算买卖差额部分的资金</w:t>
            </w:r>
          </w:p>
        </w:tc>
      </w:tr>
      <w:tr>
        <w:tc>
          <w:tcPr>
            <w:tcW w:type="dxa" w:w="1984"/>
          </w:tcPr>
          <w:p>
            <w:pPr>
              <w:jc w:val="left"/>
            </w:pPr>
            <w:r/>
            <w:r>
              <w:rPr>
                <w:rFonts w:ascii="Times New Roman" w:hAnsi="Times New Roman" w:eastAsia="宋体"/>
                <w:b w:val="0"/>
                <w:sz w:val="21"/>
              </w:rPr>
              <w:t>RCPMIS</w:t>
            </w:r>
          </w:p>
        </w:tc>
        <w:tc>
          <w:tcPr>
            <w:tcW w:type="dxa" w:w="6520"/>
          </w:tcPr>
          <w:p>
            <w:pPr>
              <w:jc w:val="left"/>
            </w:pPr>
            <w:r/>
            <w:r>
              <w:rPr>
                <w:rFonts w:ascii="Times New Roman" w:hAnsi="Times New Roman" w:eastAsia="宋体"/>
                <w:b w:val="0"/>
                <w:sz w:val="21"/>
              </w:rPr>
              <w:t>人民币跨境收付信息管理系统，监管报送平台</w:t>
            </w:r>
          </w:p>
        </w:tc>
      </w:tr>
    </w:tbl>
    <w:p>
      <w:pPr>
        <w:spacing w:line="360" w:lineRule="auto" w:before="0" w:after="0"/>
        <w:ind w:firstLine="480"/>
      </w:pPr>
      <w:r>
        <w:rPr>
          <w:rFonts w:ascii="Times New Roman" w:hAnsi="Times New Roman" w:eastAsia="宋体"/>
          <w:b w:val="0"/>
          <w:sz w:val="24"/>
        </w:rPr>
      </w:r>
    </w:p>
    <w:p>
      <w:pPr>
        <w:spacing w:line="360" w:lineRule="auto" w:before="240" w:after="120"/>
      </w:pPr>
      <w:r>
        <w:rPr>
          <w:rFonts w:ascii="Times New Roman" w:hAnsi="Times New Roman" w:eastAsia="黑体"/>
          <w:b/>
          <w:sz w:val="28"/>
        </w:rPr>
        <w:t>1.4  参考资料</w:t>
      </w:r>
    </w:p>
    <w:p>
      <w:pPr>
        <w:spacing w:line="360" w:lineRule="auto" w:before="0" w:after="60"/>
        <w:ind w:left="480"/>
      </w:pPr>
      <w:r>
        <w:rPr>
          <w:rFonts w:ascii="Times New Roman" w:hAnsi="Times New Roman" w:eastAsia="宋体"/>
          <w:b w:val="0"/>
          <w:sz w:val="24"/>
        </w:rPr>
        <w:t>• 《银行外汇业务管理办法》及外汇管理相关规定</w:t>
      </w:r>
    </w:p>
    <w:p>
      <w:pPr>
        <w:spacing w:line="360" w:lineRule="auto" w:before="0" w:after="60"/>
        <w:ind w:left="480"/>
      </w:pPr>
      <w:r>
        <w:rPr>
          <w:rFonts w:ascii="Times New Roman" w:hAnsi="Times New Roman" w:eastAsia="宋体"/>
          <w:b w:val="0"/>
          <w:sz w:val="24"/>
        </w:rPr>
        <w:t>• 《国家外汇管理局关于完善人民币跨境业务管理的通知》</w:t>
      </w:r>
    </w:p>
    <w:p>
      <w:pPr>
        <w:spacing w:line="360" w:lineRule="auto" w:before="0" w:after="60"/>
        <w:ind w:left="480"/>
      </w:pPr>
      <w:r>
        <w:rPr>
          <w:rFonts w:ascii="Times New Roman" w:hAnsi="Times New Roman" w:eastAsia="宋体"/>
          <w:b w:val="0"/>
          <w:sz w:val="24"/>
        </w:rPr>
        <w:t>• GB/T 9385—2008《计算机软件需求说明编制指南》</w:t>
      </w:r>
    </w:p>
    <w:p>
      <w:pPr>
        <w:spacing w:line="360" w:lineRule="auto" w:before="0" w:after="60"/>
        <w:ind w:left="480"/>
      </w:pPr>
      <w:r>
        <w:rPr>
          <w:rFonts w:ascii="Times New Roman" w:hAnsi="Times New Roman" w:eastAsia="宋体"/>
          <w:b w:val="0"/>
          <w:sz w:val="24"/>
        </w:rPr>
        <w:t>• GB/T 8567—2006《计算机软件文档编制规范》</w:t>
      </w:r>
    </w:p>
    <w:p>
      <w:r>
        <w:br w:type="page"/>
      </w:r>
    </w:p>
    <w:p>
      <w:pPr>
        <w:spacing w:line="360" w:lineRule="auto" w:before="360" w:after="240"/>
      </w:pPr>
      <w:r>
        <w:rPr>
          <w:rFonts w:ascii="Times New Roman" w:hAnsi="Times New Roman" w:eastAsia="黑体"/>
          <w:b/>
          <w:sz w:val="32"/>
        </w:rPr>
        <w:t>2  总体描述</w:t>
      </w:r>
    </w:p>
    <w:p>
      <w:pPr>
        <w:spacing w:line="360" w:lineRule="auto" w:before="240" w:after="120"/>
      </w:pPr>
      <w:r>
        <w:rPr>
          <w:rFonts w:ascii="Times New Roman" w:hAnsi="Times New Roman" w:eastAsia="黑体"/>
          <w:b/>
          <w:sz w:val="28"/>
        </w:rPr>
        <w:t>2.1  产品概述</w:t>
      </w:r>
    </w:p>
    <w:p>
      <w:pPr>
        <w:spacing w:line="360" w:lineRule="auto" w:before="0" w:after="0"/>
        <w:ind w:firstLine="480"/>
      </w:pPr>
      <w:r>
        <w:rPr>
          <w:rFonts w:ascii="Times New Roman" w:hAnsi="Times New Roman" w:eastAsia="宋体"/>
          <w:b w:val="0"/>
          <w:sz w:val="24"/>
        </w:rPr>
        <w:t>银行代客外汇交易系统是一套面向商业银行外汇业务部门的前后端分离应用系统，覆盖即期、远期、掉期、期权四大外汇产品的完整交易生命周期。系统以"客户"为中心，以"交易"为主线，以"审批工作流"为纽带，将牌价展示、交易录入、复核审批、存续期管理、到期处理、保证金管理、客户与机构管理等业务环节有机整合，实现代客外汇业务的全流程电子化处理。</w:t>
      </w:r>
    </w:p>
    <w:p>
      <w:pPr>
        <w:spacing w:line="360" w:lineRule="auto" w:before="0" w:after="0"/>
        <w:ind w:firstLine="480"/>
      </w:pPr>
      <w:r>
        <w:rPr>
          <w:rFonts w:ascii="Times New Roman" w:hAnsi="Times New Roman" w:eastAsia="宋体"/>
          <w:b w:val="0"/>
          <w:sz w:val="24"/>
        </w:rPr>
        <w:t>系统采用 B/S 架构，用户通过浏览器即可访问，无需安装客户端程序。系统首页采用三栏布局：左侧为功能导航菜单，中间为外汇牌价展示区，右侧为当前用户的待办任务列表，便于业务人员高效开展日常工作。</w:t>
      </w:r>
    </w:p>
    <w:p>
      <w:pPr>
        <w:spacing w:line="360" w:lineRule="auto" w:before="240" w:after="120"/>
      </w:pPr>
      <w:r>
        <w:rPr>
          <w:rFonts w:ascii="Times New Roman" w:hAnsi="Times New Roman" w:eastAsia="黑体"/>
          <w:b/>
          <w:sz w:val="28"/>
        </w:rPr>
        <w:t>2.2  产品功能结构</w:t>
      </w:r>
    </w:p>
    <w:p>
      <w:pPr>
        <w:spacing w:line="360" w:lineRule="auto" w:before="0" w:after="0"/>
        <w:ind w:firstLine="480"/>
      </w:pPr>
      <w:r>
        <w:rPr>
          <w:rFonts w:ascii="Times New Roman" w:hAnsi="Times New Roman" w:eastAsia="宋体"/>
          <w:b w:val="0"/>
          <w:sz w:val="24"/>
        </w:rPr>
        <w:t>系统功能划分为三大模块组，共包含十余项功能子模块，整体结构如下：</w:t>
      </w:r>
    </w:p>
    <w:tbl>
      <w:tblPr>
        <w:tblStyle w:val="TableGrid"/>
        <w:tblW w:type="auto" w:w="0"/>
        <w:jc w:val="center"/>
        <w:tblLook w:firstColumn="1" w:firstRow="1" w:lastColumn="0" w:lastRow="0" w:noHBand="0" w:noVBand="1" w:val="04A0"/>
      </w:tblPr>
      <w:tblGrid>
        <w:gridCol w:w="2767"/>
        <w:gridCol w:w="2767"/>
        <w:gridCol w:w="2767"/>
      </w:tblGrid>
      <w:tr>
        <w:tc>
          <w:tcPr>
            <w:tcW w:type="dxa" w:w="1701"/>
          </w:tcPr>
          <w:p>
            <w:pPr>
              <w:jc w:val="center"/>
            </w:pPr>
            <w:r/>
            <w:r>
              <w:rPr>
                <w:rFonts w:ascii="Times New Roman" w:hAnsi="Times New Roman" w:eastAsia="黑体"/>
                <w:b/>
                <w:sz w:val="21"/>
              </w:rPr>
              <w:t>模块组</w:t>
            </w:r>
          </w:p>
        </w:tc>
        <w:tc>
          <w:tcPr>
            <w:tcW w:type="dxa" w:w="3685"/>
          </w:tcPr>
          <w:p>
            <w:pPr>
              <w:jc w:val="center"/>
            </w:pPr>
            <w:r/>
            <w:r>
              <w:rPr>
                <w:rFonts w:ascii="Times New Roman" w:hAnsi="Times New Roman" w:eastAsia="黑体"/>
                <w:b/>
                <w:sz w:val="21"/>
              </w:rPr>
              <w:t>功能子模块</w:t>
            </w:r>
          </w:p>
        </w:tc>
        <w:tc>
          <w:tcPr>
            <w:tcW w:type="dxa" w:w="3118"/>
          </w:tcPr>
          <w:p>
            <w:pPr>
              <w:jc w:val="center"/>
            </w:pPr>
            <w:r/>
            <w:r>
              <w:rPr>
                <w:rFonts w:ascii="Times New Roman" w:hAnsi="Times New Roman" w:eastAsia="黑体"/>
                <w:b/>
                <w:sz w:val="21"/>
              </w:rPr>
              <w:t>主要职责</w:t>
            </w:r>
          </w:p>
        </w:tc>
      </w:tr>
      <w:tr>
        <w:tc>
          <w:tcPr>
            <w:tcW w:type="dxa" w:w="1701"/>
          </w:tcPr>
          <w:p>
            <w:pPr>
              <w:jc w:val="left"/>
            </w:pPr>
            <w:r/>
            <w:r>
              <w:rPr>
                <w:rFonts w:ascii="Times New Roman" w:hAnsi="Times New Roman" w:eastAsia="宋体"/>
                <w:b w:val="0"/>
                <w:sz w:val="21"/>
              </w:rPr>
              <w:t>外汇交易管理</w:t>
            </w:r>
          </w:p>
        </w:tc>
        <w:tc>
          <w:tcPr>
            <w:tcW w:type="dxa" w:w="3685"/>
          </w:tcPr>
          <w:p>
            <w:pPr>
              <w:jc w:val="left"/>
            </w:pPr>
            <w:r/>
            <w:r>
              <w:rPr>
                <w:rFonts w:ascii="Times New Roman" w:hAnsi="Times New Roman" w:eastAsia="宋体"/>
                <w:b w:val="0"/>
                <w:sz w:val="21"/>
              </w:rPr>
              <w:t>外汇工作台、即期/远期/掉期交易录入、未到期交易管理、客户交易查询、待办任务</w:t>
            </w:r>
          </w:p>
        </w:tc>
        <w:tc>
          <w:tcPr>
            <w:tcW w:type="dxa" w:w="3118"/>
          </w:tcPr>
          <w:p>
            <w:pPr>
              <w:jc w:val="left"/>
            </w:pPr>
            <w:r/>
            <w:r>
              <w:rPr>
                <w:rFonts w:ascii="Times New Roman" w:hAnsi="Times New Roman" w:eastAsia="宋体"/>
                <w:b w:val="0"/>
                <w:sz w:val="21"/>
              </w:rPr>
              <w:t>完成外汇牌价查看、三类产品交易录入、存续期操作、交易查询与审批处理</w:t>
            </w:r>
          </w:p>
        </w:tc>
      </w:tr>
      <w:tr>
        <w:tc>
          <w:tcPr>
            <w:tcW w:type="dxa" w:w="1701"/>
          </w:tcPr>
          <w:p>
            <w:pPr>
              <w:jc w:val="left"/>
            </w:pPr>
            <w:r/>
            <w:r>
              <w:rPr>
                <w:rFonts w:ascii="Times New Roman" w:hAnsi="Times New Roman" w:eastAsia="宋体"/>
                <w:b w:val="0"/>
                <w:sz w:val="21"/>
              </w:rPr>
              <w:t>期权交易管理</w:t>
            </w:r>
          </w:p>
        </w:tc>
        <w:tc>
          <w:tcPr>
            <w:tcW w:type="dxa" w:w="3685"/>
          </w:tcPr>
          <w:p>
            <w:pPr>
              <w:jc w:val="left"/>
            </w:pPr>
            <w:r/>
            <w:r>
              <w:rPr>
                <w:rFonts w:ascii="Times New Roman" w:hAnsi="Times New Roman" w:eastAsia="宋体"/>
                <w:b w:val="0"/>
                <w:sz w:val="21"/>
              </w:rPr>
              <w:t>期权工作台、期权交易录入、存续期管理、期权交易查询</w:t>
            </w:r>
          </w:p>
        </w:tc>
        <w:tc>
          <w:tcPr>
            <w:tcW w:type="dxa" w:w="3118"/>
          </w:tcPr>
          <w:p>
            <w:pPr>
              <w:jc w:val="left"/>
            </w:pPr>
            <w:r/>
            <w:r>
              <w:rPr>
                <w:rFonts w:ascii="Times New Roman" w:hAnsi="Times New Roman" w:eastAsia="宋体"/>
                <w:b w:val="0"/>
                <w:sz w:val="21"/>
              </w:rPr>
              <w:t>完成期权交易发起、价内提醒、行权/放弃、期权费交割及查询</w:t>
            </w:r>
          </w:p>
        </w:tc>
      </w:tr>
      <w:tr>
        <w:tc>
          <w:tcPr>
            <w:tcW w:type="dxa" w:w="1701"/>
          </w:tcPr>
          <w:p>
            <w:pPr>
              <w:jc w:val="left"/>
            </w:pPr>
            <w:r/>
            <w:r>
              <w:rPr>
                <w:rFonts w:ascii="Times New Roman" w:hAnsi="Times New Roman" w:eastAsia="宋体"/>
                <w:b w:val="0"/>
                <w:sz w:val="21"/>
              </w:rPr>
              <w:t>公共管理</w:t>
            </w:r>
          </w:p>
        </w:tc>
        <w:tc>
          <w:tcPr>
            <w:tcW w:type="dxa" w:w="3685"/>
          </w:tcPr>
          <w:p>
            <w:pPr>
              <w:jc w:val="left"/>
            </w:pPr>
            <w:r/>
            <w:r>
              <w:rPr>
                <w:rFonts w:ascii="Times New Roman" w:hAnsi="Times New Roman" w:eastAsia="宋体"/>
                <w:b w:val="0"/>
                <w:sz w:val="21"/>
              </w:rPr>
              <w:t>系统参数管理、客户管理、登录用户管理、定时任务</w:t>
            </w:r>
          </w:p>
        </w:tc>
        <w:tc>
          <w:tcPr>
            <w:tcW w:type="dxa" w:w="3118"/>
          </w:tcPr>
          <w:p>
            <w:pPr>
              <w:jc w:val="left"/>
            </w:pPr>
            <w:r/>
            <w:r>
              <w:rPr>
                <w:rFonts w:ascii="Times New Roman" w:hAnsi="Times New Roman" w:eastAsia="宋体"/>
                <w:b w:val="0"/>
                <w:sz w:val="21"/>
              </w:rPr>
              <w:t>完成基础参数维护、客户与账户管理、用户与权限管理、定时任务监控</w:t>
            </w:r>
          </w:p>
        </w:tc>
      </w:tr>
    </w:tbl>
    <w:p>
      <w:pPr>
        <w:spacing w:line="360" w:lineRule="auto" w:before="0" w:after="0"/>
        <w:ind w:firstLine="480"/>
      </w:pPr>
      <w:r>
        <w:rPr>
          <w:rFonts w:ascii="Times New Roman" w:hAnsi="Times New Roman" w:eastAsia="宋体"/>
          <w:b w:val="0"/>
          <w:sz w:val="24"/>
        </w:rPr>
      </w:r>
    </w:p>
    <w:p>
      <w:pPr>
        <w:spacing w:line="360" w:lineRule="auto" w:before="240" w:after="120"/>
      </w:pPr>
      <w:r>
        <w:rPr>
          <w:rFonts w:ascii="Times New Roman" w:hAnsi="Times New Roman" w:eastAsia="黑体"/>
          <w:b/>
          <w:sz w:val="28"/>
        </w:rPr>
        <w:t>2.3  用户类别与特征</w:t>
      </w:r>
    </w:p>
    <w:p>
      <w:pPr>
        <w:spacing w:line="360" w:lineRule="auto" w:before="0" w:after="0"/>
        <w:ind w:firstLine="480"/>
      </w:pPr>
      <w:r>
        <w:rPr>
          <w:rFonts w:ascii="Times New Roman" w:hAnsi="Times New Roman" w:eastAsia="宋体"/>
          <w:b w:val="0"/>
          <w:sz w:val="24"/>
        </w:rPr>
        <w:t>系统支持总行、分行、支行三级机构，每级机构包含经办、复核、授权等角色，不同角色拥有不同的操作权限。主要用户类别如下：</w:t>
      </w:r>
    </w:p>
    <w:tbl>
      <w:tblPr>
        <w:tblStyle w:val="TableGrid"/>
        <w:tblW w:type="auto" w:w="0"/>
        <w:jc w:val="center"/>
        <w:tblLook w:firstColumn="1" w:firstRow="1" w:lastColumn="0" w:lastRow="0" w:noHBand="0" w:noVBand="1" w:val="04A0"/>
      </w:tblPr>
      <w:tblGrid>
        <w:gridCol w:w="2767"/>
        <w:gridCol w:w="2767"/>
        <w:gridCol w:w="2767"/>
      </w:tblGrid>
      <w:tr>
        <w:tc>
          <w:tcPr>
            <w:tcW w:type="dxa" w:w="1701"/>
          </w:tcPr>
          <w:p>
            <w:pPr>
              <w:jc w:val="center"/>
            </w:pPr>
            <w:r/>
            <w:r>
              <w:rPr>
                <w:rFonts w:ascii="Times New Roman" w:hAnsi="Times New Roman" w:eastAsia="黑体"/>
                <w:b/>
                <w:sz w:val="21"/>
              </w:rPr>
              <w:t>用户角色</w:t>
            </w:r>
          </w:p>
        </w:tc>
        <w:tc>
          <w:tcPr>
            <w:tcW w:type="dxa" w:w="3685"/>
          </w:tcPr>
          <w:p>
            <w:pPr>
              <w:jc w:val="center"/>
            </w:pPr>
            <w:r/>
            <w:r>
              <w:rPr>
                <w:rFonts w:ascii="Times New Roman" w:hAnsi="Times New Roman" w:eastAsia="黑体"/>
                <w:b/>
                <w:sz w:val="21"/>
              </w:rPr>
              <w:t>职责描述</w:t>
            </w:r>
          </w:p>
        </w:tc>
        <w:tc>
          <w:tcPr>
            <w:tcW w:type="dxa" w:w="3118"/>
          </w:tcPr>
          <w:p>
            <w:pPr>
              <w:jc w:val="center"/>
            </w:pPr>
            <w:r/>
            <w:r>
              <w:rPr>
                <w:rFonts w:ascii="Times New Roman" w:hAnsi="Times New Roman" w:eastAsia="黑体"/>
                <w:b/>
                <w:sz w:val="21"/>
              </w:rPr>
              <w:t>权限说明</w:t>
            </w:r>
          </w:p>
        </w:tc>
      </w:tr>
      <w:tr>
        <w:tc>
          <w:tcPr>
            <w:tcW w:type="dxa" w:w="1701"/>
          </w:tcPr>
          <w:p>
            <w:pPr>
              <w:jc w:val="left"/>
            </w:pPr>
            <w:r/>
            <w:r>
              <w:rPr>
                <w:rFonts w:ascii="Times New Roman" w:hAnsi="Times New Roman" w:eastAsia="宋体"/>
                <w:b w:val="0"/>
                <w:sz w:val="21"/>
              </w:rPr>
              <w:t>经办员（Maker）</w:t>
            </w:r>
          </w:p>
        </w:tc>
        <w:tc>
          <w:tcPr>
            <w:tcW w:type="dxa" w:w="3685"/>
          </w:tcPr>
          <w:p>
            <w:pPr>
              <w:jc w:val="left"/>
            </w:pPr>
            <w:r/>
            <w:r>
              <w:rPr>
                <w:rFonts w:ascii="Times New Roman" w:hAnsi="Times New Roman" w:eastAsia="宋体"/>
                <w:b w:val="0"/>
                <w:sz w:val="21"/>
              </w:rPr>
              <w:t>发起外汇交易录入、提交特殊业务申请（提前交割、展期等）</w:t>
            </w:r>
          </w:p>
        </w:tc>
        <w:tc>
          <w:tcPr>
            <w:tcW w:type="dxa" w:w="3118"/>
          </w:tcPr>
          <w:p>
            <w:pPr>
              <w:jc w:val="left"/>
            </w:pPr>
            <w:r/>
            <w:r>
              <w:rPr>
                <w:rFonts w:ascii="Times New Roman" w:hAnsi="Times New Roman" w:eastAsia="宋体"/>
                <w:b w:val="0"/>
                <w:sz w:val="21"/>
              </w:rPr>
              <w:t>可创建、修改本人发起的交易，不可审核本人交易</w:t>
            </w:r>
          </w:p>
        </w:tc>
      </w:tr>
      <w:tr>
        <w:tc>
          <w:tcPr>
            <w:tcW w:type="dxa" w:w="1701"/>
          </w:tcPr>
          <w:p>
            <w:pPr>
              <w:jc w:val="left"/>
            </w:pPr>
            <w:r/>
            <w:r>
              <w:rPr>
                <w:rFonts w:ascii="Times New Roman" w:hAnsi="Times New Roman" w:eastAsia="宋体"/>
                <w:b w:val="0"/>
                <w:sz w:val="21"/>
              </w:rPr>
              <w:t>复核员（Checker）</w:t>
            </w:r>
          </w:p>
        </w:tc>
        <w:tc>
          <w:tcPr>
            <w:tcW w:type="dxa" w:w="3685"/>
          </w:tcPr>
          <w:p>
            <w:pPr>
              <w:jc w:val="left"/>
            </w:pPr>
            <w:r/>
            <w:r>
              <w:rPr>
                <w:rFonts w:ascii="Times New Roman" w:hAnsi="Times New Roman" w:eastAsia="宋体"/>
                <w:b w:val="0"/>
                <w:sz w:val="21"/>
              </w:rPr>
              <w:t>审核经办员提交的交易，作出通过、拒绝或退回决定</w:t>
            </w:r>
          </w:p>
        </w:tc>
        <w:tc>
          <w:tcPr>
            <w:tcW w:type="dxa" w:w="3118"/>
          </w:tcPr>
          <w:p>
            <w:pPr>
              <w:jc w:val="left"/>
            </w:pPr>
            <w:r/>
            <w:r>
              <w:rPr>
                <w:rFonts w:ascii="Times New Roman" w:hAnsi="Times New Roman" w:eastAsia="宋体"/>
                <w:b w:val="0"/>
                <w:sz w:val="21"/>
              </w:rPr>
              <w:t>仅可审核本机构交易（管理员除外），不可审核本人发起的交易</w:t>
            </w:r>
          </w:p>
        </w:tc>
      </w:tr>
      <w:tr>
        <w:tc>
          <w:tcPr>
            <w:tcW w:type="dxa" w:w="1701"/>
          </w:tcPr>
          <w:p>
            <w:pPr>
              <w:jc w:val="left"/>
            </w:pPr>
            <w:r/>
            <w:r>
              <w:rPr>
                <w:rFonts w:ascii="Times New Roman" w:hAnsi="Times New Roman" w:eastAsia="宋体"/>
                <w:b w:val="0"/>
                <w:sz w:val="21"/>
              </w:rPr>
              <w:t>授权员（Authorizer）</w:t>
            </w:r>
          </w:p>
        </w:tc>
        <w:tc>
          <w:tcPr>
            <w:tcW w:type="dxa" w:w="3685"/>
          </w:tcPr>
          <w:p>
            <w:pPr>
              <w:jc w:val="left"/>
            </w:pPr>
            <w:r/>
            <w:r>
              <w:rPr>
                <w:rFonts w:ascii="Times New Roman" w:hAnsi="Times New Roman" w:eastAsia="宋体"/>
                <w:b w:val="0"/>
                <w:sz w:val="21"/>
              </w:rPr>
              <w:t>对超过本机构审批额度的交易进行授权</w:t>
            </w:r>
          </w:p>
        </w:tc>
        <w:tc>
          <w:tcPr>
            <w:tcW w:type="dxa" w:w="3118"/>
          </w:tcPr>
          <w:p>
            <w:pPr>
              <w:jc w:val="left"/>
            </w:pPr>
            <w:r/>
            <w:r>
              <w:rPr>
                <w:rFonts w:ascii="Times New Roman" w:hAnsi="Times New Roman" w:eastAsia="宋体"/>
                <w:b w:val="0"/>
                <w:sz w:val="21"/>
              </w:rPr>
              <w:t>处理上级机构授权待办</w:t>
            </w:r>
          </w:p>
        </w:tc>
      </w:tr>
      <w:tr>
        <w:tc>
          <w:tcPr>
            <w:tcW w:type="dxa" w:w="1701"/>
          </w:tcPr>
          <w:p>
            <w:pPr>
              <w:jc w:val="left"/>
            </w:pPr>
            <w:r/>
            <w:r>
              <w:rPr>
                <w:rFonts w:ascii="Times New Roman" w:hAnsi="Times New Roman" w:eastAsia="宋体"/>
                <w:b w:val="0"/>
                <w:sz w:val="21"/>
              </w:rPr>
              <w:t>系统管理员</w:t>
            </w:r>
          </w:p>
        </w:tc>
        <w:tc>
          <w:tcPr>
            <w:tcW w:type="dxa" w:w="3685"/>
          </w:tcPr>
          <w:p>
            <w:pPr>
              <w:jc w:val="left"/>
            </w:pPr>
            <w:r/>
            <w:r>
              <w:rPr>
                <w:rFonts w:ascii="Times New Roman" w:hAnsi="Times New Roman" w:eastAsia="宋体"/>
                <w:b w:val="0"/>
                <w:sz w:val="21"/>
              </w:rPr>
              <w:t>维护用户、机构、角色、客户、系统参数等基础数据</w:t>
            </w:r>
          </w:p>
        </w:tc>
        <w:tc>
          <w:tcPr>
            <w:tcW w:type="dxa" w:w="3118"/>
          </w:tcPr>
          <w:p>
            <w:pPr>
              <w:jc w:val="left"/>
            </w:pPr>
            <w:r/>
            <w:r>
              <w:rPr>
                <w:rFonts w:ascii="Times New Roman" w:hAnsi="Times New Roman" w:eastAsia="宋体"/>
                <w:b w:val="0"/>
                <w:sz w:val="21"/>
              </w:rPr>
              <w:t>具备跨机构数据访问权限，可管理全部基础信息</w:t>
            </w:r>
          </w:p>
        </w:tc>
      </w:tr>
    </w:tbl>
    <w:p>
      <w:pPr>
        <w:spacing w:line="360" w:lineRule="auto" w:before="0" w:after="0"/>
        <w:ind w:firstLine="480"/>
      </w:pPr>
      <w:r>
        <w:rPr>
          <w:rFonts w:ascii="Times New Roman" w:hAnsi="Times New Roman" w:eastAsia="宋体"/>
          <w:b w:val="0"/>
          <w:sz w:val="24"/>
        </w:rPr>
      </w:r>
    </w:p>
    <w:p>
      <w:pPr>
        <w:spacing w:line="360" w:lineRule="auto" w:before="240" w:after="120"/>
      </w:pPr>
      <w:r>
        <w:rPr>
          <w:rFonts w:ascii="Times New Roman" w:hAnsi="Times New Roman" w:eastAsia="黑体"/>
          <w:b/>
          <w:sz w:val="28"/>
        </w:rPr>
        <w:t>2.4  运行环境</w:t>
      </w:r>
    </w:p>
    <w:p>
      <w:pPr>
        <w:spacing w:line="360" w:lineRule="auto" w:before="120" w:after="120"/>
      </w:pPr>
      <w:r>
        <w:rPr>
          <w:rFonts w:ascii="Times New Roman" w:hAnsi="Times New Roman" w:eastAsia="黑体"/>
          <w:b/>
          <w:sz w:val="24"/>
        </w:rPr>
        <w:t>2.4.1  服务器端环境</w:t>
      </w:r>
    </w:p>
    <w:p>
      <w:pPr>
        <w:spacing w:line="360" w:lineRule="auto" w:before="0" w:after="60"/>
        <w:ind w:left="480"/>
      </w:pPr>
      <w:r>
        <w:rPr>
          <w:rFonts w:ascii="Times New Roman" w:hAnsi="Times New Roman" w:eastAsia="宋体"/>
          <w:b w:val="0"/>
          <w:sz w:val="24"/>
        </w:rPr>
        <w:t>• 操作系统：Windows Server 或 Linux 服务器</w:t>
      </w:r>
    </w:p>
    <w:p>
      <w:pPr>
        <w:spacing w:line="360" w:lineRule="auto" w:before="0" w:after="60"/>
        <w:ind w:left="480"/>
      </w:pPr>
      <w:r>
        <w:rPr>
          <w:rFonts w:ascii="Times New Roman" w:hAnsi="Times New Roman" w:eastAsia="宋体"/>
          <w:b w:val="0"/>
          <w:sz w:val="24"/>
        </w:rPr>
        <w:t>• 运行环境：Java 17 及以上版本</w:t>
      </w:r>
    </w:p>
    <w:p>
      <w:pPr>
        <w:spacing w:line="360" w:lineRule="auto" w:before="0" w:after="60"/>
        <w:ind w:left="480"/>
      </w:pPr>
      <w:r>
        <w:rPr>
          <w:rFonts w:ascii="Times New Roman" w:hAnsi="Times New Roman" w:eastAsia="宋体"/>
          <w:b w:val="0"/>
          <w:sz w:val="24"/>
        </w:rPr>
        <w:t>• 数据库：MySQL 8.0 及以上版本，字符集 utf8mb4</w:t>
      </w:r>
    </w:p>
    <w:p>
      <w:pPr>
        <w:spacing w:line="360" w:lineRule="auto" w:before="0" w:after="60"/>
        <w:ind w:left="480"/>
      </w:pPr>
      <w:r>
        <w:rPr>
          <w:rFonts w:ascii="Times New Roman" w:hAnsi="Times New Roman" w:eastAsia="宋体"/>
          <w:b w:val="0"/>
          <w:sz w:val="24"/>
        </w:rPr>
        <w:t>• 应用服务器：Spring Boot 内置 Tomcat，服务端口 8080</w:t>
      </w:r>
    </w:p>
    <w:p>
      <w:pPr>
        <w:spacing w:line="360" w:lineRule="auto" w:before="120" w:after="120"/>
      </w:pPr>
      <w:r>
        <w:rPr>
          <w:rFonts w:ascii="Times New Roman" w:hAnsi="Times New Roman" w:eastAsia="黑体"/>
          <w:b/>
          <w:sz w:val="24"/>
        </w:rPr>
        <w:t>2.4.2  客户端环境</w:t>
      </w:r>
    </w:p>
    <w:p>
      <w:pPr>
        <w:spacing w:line="360" w:lineRule="auto" w:before="0" w:after="60"/>
        <w:ind w:left="480"/>
      </w:pPr>
      <w:r>
        <w:rPr>
          <w:rFonts w:ascii="Times New Roman" w:hAnsi="Times New Roman" w:eastAsia="宋体"/>
          <w:b w:val="0"/>
          <w:sz w:val="24"/>
        </w:rPr>
        <w:t>• 浏览器：Chrome、Edge 等主流现代浏览器</w:t>
      </w:r>
    </w:p>
    <w:p>
      <w:pPr>
        <w:spacing w:line="360" w:lineRule="auto" w:before="0" w:after="60"/>
        <w:ind w:left="480"/>
      </w:pPr>
      <w:r>
        <w:rPr>
          <w:rFonts w:ascii="Times New Roman" w:hAnsi="Times New Roman" w:eastAsia="宋体"/>
          <w:b w:val="0"/>
          <w:sz w:val="24"/>
        </w:rPr>
        <w:t>• 分辨率：建议 1366×768 及以上</w:t>
      </w:r>
    </w:p>
    <w:p>
      <w:pPr>
        <w:spacing w:line="360" w:lineRule="auto" w:before="0" w:after="60"/>
        <w:ind w:left="480"/>
      </w:pPr>
      <w:r>
        <w:rPr>
          <w:rFonts w:ascii="Times New Roman" w:hAnsi="Times New Roman" w:eastAsia="宋体"/>
          <w:b w:val="0"/>
          <w:sz w:val="24"/>
        </w:rPr>
        <w:t>• 前端服务端口：5173</w:t>
      </w:r>
    </w:p>
    <w:p>
      <w:pPr>
        <w:spacing w:line="360" w:lineRule="auto" w:before="240" w:after="120"/>
      </w:pPr>
      <w:r>
        <w:rPr>
          <w:rFonts w:ascii="Times New Roman" w:hAnsi="Times New Roman" w:eastAsia="黑体"/>
          <w:b/>
          <w:sz w:val="28"/>
        </w:rPr>
        <w:t>2.5  设计约束</w:t>
      </w:r>
    </w:p>
    <w:p>
      <w:pPr>
        <w:spacing w:line="360" w:lineRule="auto" w:before="0" w:after="60"/>
        <w:ind w:left="480"/>
      </w:pPr>
      <w:r>
        <w:rPr>
          <w:rFonts w:ascii="Times New Roman" w:hAnsi="Times New Roman" w:eastAsia="宋体"/>
          <w:b w:val="0"/>
          <w:sz w:val="24"/>
        </w:rPr>
        <w:t>• 系统须遵循经办—复核双人工作流，经办与复核不可为同一人</w:t>
      </w:r>
    </w:p>
    <w:p>
      <w:pPr>
        <w:spacing w:line="360" w:lineRule="auto" w:before="0" w:after="60"/>
        <w:ind w:left="480"/>
      </w:pPr>
      <w:r>
        <w:rPr>
          <w:rFonts w:ascii="Times New Roman" w:hAnsi="Times New Roman" w:eastAsia="宋体"/>
          <w:b w:val="0"/>
          <w:sz w:val="24"/>
        </w:rPr>
        <w:t>• 所有外汇汇率须精确至小数点后 4 位，期权执行价精确至小数点后 4 位</w:t>
      </w:r>
    </w:p>
    <w:p>
      <w:pPr>
        <w:spacing w:line="360" w:lineRule="auto" w:before="0" w:after="60"/>
        <w:ind w:left="480"/>
      </w:pPr>
      <w:r>
        <w:rPr>
          <w:rFonts w:ascii="Times New Roman" w:hAnsi="Times New Roman" w:eastAsia="宋体"/>
          <w:b w:val="0"/>
          <w:sz w:val="24"/>
        </w:rPr>
        <w:t>• 交易数据须保留完整生命周期记录，支持事后追溯与审计</w:t>
      </w:r>
    </w:p>
    <w:p>
      <w:pPr>
        <w:spacing w:line="360" w:lineRule="auto" w:before="0" w:after="60"/>
        <w:ind w:left="480"/>
      </w:pPr>
      <w:r>
        <w:rPr>
          <w:rFonts w:ascii="Times New Roman" w:hAnsi="Times New Roman" w:eastAsia="宋体"/>
          <w:b w:val="0"/>
          <w:sz w:val="24"/>
        </w:rPr>
        <w:t>• 系统须预留监管报送字段，满足外汇管理报送要求</w:t>
      </w:r>
    </w:p>
    <w:p>
      <w:r>
        <w:br w:type="page"/>
      </w:r>
    </w:p>
    <w:p>
      <w:pPr>
        <w:spacing w:line="360" w:lineRule="auto" w:before="360" w:after="240"/>
      </w:pPr>
      <w:r>
        <w:rPr>
          <w:rFonts w:ascii="Times New Roman" w:hAnsi="Times New Roman" w:eastAsia="黑体"/>
          <w:b/>
          <w:sz w:val="32"/>
        </w:rPr>
        <w:t>3  功能需求规定</w:t>
      </w:r>
    </w:p>
    <w:p>
      <w:pPr>
        <w:spacing w:line="360" w:lineRule="auto" w:before="240" w:after="120"/>
      </w:pPr>
      <w:r>
        <w:rPr>
          <w:rFonts w:ascii="Times New Roman" w:hAnsi="Times New Roman" w:eastAsia="黑体"/>
          <w:b/>
          <w:sz w:val="28"/>
        </w:rPr>
        <w:t>3.1  外汇牌价管理</w:t>
      </w:r>
    </w:p>
    <w:p>
      <w:pPr>
        <w:spacing w:line="360" w:lineRule="auto" w:before="0" w:after="0"/>
        <w:ind w:firstLine="480"/>
      </w:pPr>
      <w:r>
        <w:rPr>
          <w:rFonts w:ascii="Times New Roman" w:hAnsi="Times New Roman" w:eastAsia="宋体"/>
          <w:b w:val="0"/>
          <w:sz w:val="24"/>
        </w:rPr>
        <w:t>系统应提供即期、远期、掉期三类外汇牌价的展示功能，覆盖美元、欧元、英镑、日元、港币、澳元、新加坡元、加元、瑞郎、新台币等常用币种。牌价信息包括市场中间价、总行买入价、总行卖出价、分行/客户买入价、分行/客户卖出价等。</w:t>
      </w:r>
    </w:p>
    <w:p>
      <w:pPr>
        <w:spacing w:line="360" w:lineRule="auto" w:before="0" w:after="0"/>
        <w:ind w:firstLine="480"/>
      </w:pPr>
      <w:r>
        <w:rPr>
          <w:rFonts w:ascii="Times New Roman" w:hAnsi="Times New Roman" w:eastAsia="宋体"/>
          <w:b w:val="0"/>
          <w:sz w:val="24"/>
        </w:rPr>
        <w:t>牌价展示页支持点击"分/客买价"或"分/客卖价"直接进入对应产品的交易录入页面，并自动预填交易币种、汇率与买卖方向，提升业务办理效率。系统每小时自动刷新牌价，并保留最长一周的历史牌价记录供查询。</w:t>
      </w:r>
    </w:p>
    <w:p>
      <w:pPr>
        <w:spacing w:line="360" w:lineRule="auto" w:before="120" w:after="120"/>
      </w:pPr>
      <w:r>
        <w:rPr>
          <w:rFonts w:ascii="Times New Roman" w:hAnsi="Times New Roman" w:eastAsia="黑体"/>
          <w:b/>
          <w:sz w:val="24"/>
        </w:rPr>
        <w:t>业务规则</w:t>
      </w:r>
    </w:p>
    <w:p>
      <w:pPr>
        <w:spacing w:line="360" w:lineRule="auto" w:before="0" w:after="60"/>
        <w:ind w:left="480"/>
      </w:pPr>
      <w:r>
        <w:rPr>
          <w:rFonts w:ascii="Times New Roman" w:hAnsi="Times New Roman" w:eastAsia="宋体"/>
          <w:b w:val="0"/>
          <w:sz w:val="24"/>
        </w:rPr>
        <w:t>• 分行/客户买入价为低值（客户卖出外汇时的汇率），分行/客户卖出价为高值（客户买入外汇时的汇率）</w:t>
      </w:r>
    </w:p>
    <w:p>
      <w:pPr>
        <w:spacing w:line="360" w:lineRule="auto" w:before="0" w:after="60"/>
        <w:ind w:left="480"/>
      </w:pPr>
      <w:r>
        <w:rPr>
          <w:rFonts w:ascii="Times New Roman" w:hAnsi="Times New Roman" w:eastAsia="宋体"/>
          <w:b w:val="0"/>
          <w:sz w:val="24"/>
        </w:rPr>
        <w:t>• 牌价生成须满足银行利润约束：总行买入价高于分行客户买入价，总行卖出价低于分行客户卖出价</w:t>
      </w:r>
    </w:p>
    <w:p>
      <w:pPr>
        <w:spacing w:line="360" w:lineRule="auto" w:before="240" w:after="120"/>
      </w:pPr>
      <w:r>
        <w:rPr>
          <w:rFonts w:ascii="Times New Roman" w:hAnsi="Times New Roman" w:eastAsia="黑体"/>
          <w:b/>
          <w:sz w:val="28"/>
        </w:rPr>
        <w:t>3.2  即期交易</w:t>
      </w:r>
    </w:p>
    <w:p>
      <w:pPr>
        <w:spacing w:line="360" w:lineRule="auto" w:before="0" w:after="0"/>
        <w:ind w:firstLine="480"/>
      </w:pPr>
      <w:r>
        <w:rPr>
          <w:rFonts w:ascii="Times New Roman" w:hAnsi="Times New Roman" w:eastAsia="宋体"/>
          <w:b w:val="0"/>
          <w:sz w:val="24"/>
        </w:rPr>
        <w:t>系统应支持即期外汇交易的录入功能。经办员通过点击牌价进入即期交易录入页，系统自动预填即期汇率、交易币种与买卖方向。</w:t>
      </w:r>
    </w:p>
    <w:p>
      <w:pPr>
        <w:spacing w:line="360" w:lineRule="auto" w:before="120" w:after="120"/>
      </w:pPr>
      <w:r>
        <w:rPr>
          <w:rFonts w:ascii="Times New Roman" w:hAnsi="Times New Roman" w:eastAsia="黑体"/>
          <w:b/>
          <w:sz w:val="24"/>
        </w:rPr>
        <w:t>录入要素</w:t>
      </w:r>
    </w:p>
    <w:p>
      <w:pPr>
        <w:spacing w:line="360" w:lineRule="auto" w:before="0" w:after="60"/>
        <w:ind w:left="480"/>
      </w:pPr>
      <w:r>
        <w:rPr>
          <w:rFonts w:ascii="Times New Roman" w:hAnsi="Times New Roman" w:eastAsia="宋体"/>
          <w:b w:val="0"/>
          <w:sz w:val="24"/>
        </w:rPr>
        <w:t>• 基础信息：即期汇率、客户号、交易币种、买卖方向、金额、交易日（默认当日，不可修改）</w:t>
      </w:r>
    </w:p>
    <w:p>
      <w:pPr>
        <w:spacing w:line="360" w:lineRule="auto" w:before="0" w:after="60"/>
        <w:ind w:left="480"/>
      </w:pPr>
      <w:r>
        <w:rPr>
          <w:rFonts w:ascii="Times New Roman" w:hAnsi="Times New Roman" w:eastAsia="宋体"/>
          <w:b w:val="0"/>
          <w:sz w:val="24"/>
        </w:rPr>
        <w:t>• 账户信息：币种 1 账户、币种 2 账户（选中客户后自动加载该客户对应币种账户）</w:t>
      </w:r>
    </w:p>
    <w:p>
      <w:pPr>
        <w:spacing w:line="360" w:lineRule="auto" w:before="0" w:after="60"/>
        <w:ind w:left="480"/>
      </w:pPr>
      <w:r>
        <w:rPr>
          <w:rFonts w:ascii="Times New Roman" w:hAnsi="Times New Roman" w:eastAsia="宋体"/>
          <w:b w:val="0"/>
          <w:sz w:val="24"/>
        </w:rPr>
        <w:t>• 汇率信息：客户汇率、成本汇率、分行收益点</w:t>
      </w:r>
    </w:p>
    <w:p>
      <w:pPr>
        <w:spacing w:line="360" w:lineRule="auto" w:before="0" w:after="60"/>
        <w:ind w:left="480"/>
      </w:pPr>
      <w:r>
        <w:rPr>
          <w:rFonts w:ascii="Times New Roman" w:hAnsi="Times New Roman" w:eastAsia="宋体"/>
          <w:b w:val="0"/>
          <w:sz w:val="24"/>
        </w:rPr>
        <w:t>• 交割信息：起息日、交割类型（T+0/T+1/T+2），交割方式固定为全额交割</w:t>
      </w:r>
    </w:p>
    <w:p>
      <w:pPr>
        <w:spacing w:line="360" w:lineRule="auto" w:before="0" w:after="60"/>
        <w:ind w:left="480"/>
      </w:pPr>
      <w:r>
        <w:rPr>
          <w:rFonts w:ascii="Times New Roman" w:hAnsi="Times New Roman" w:eastAsia="宋体"/>
          <w:b w:val="0"/>
          <w:sz w:val="24"/>
        </w:rPr>
        <w:t>• 保证金信息：保证金账户、保证金金额</w:t>
      </w:r>
    </w:p>
    <w:p>
      <w:pPr>
        <w:spacing w:line="360" w:lineRule="auto" w:before="240" w:after="120"/>
      </w:pPr>
      <w:r>
        <w:rPr>
          <w:rFonts w:ascii="Times New Roman" w:hAnsi="Times New Roman" w:eastAsia="黑体"/>
          <w:b/>
          <w:sz w:val="28"/>
        </w:rPr>
        <w:t>3.3  远期交易</w:t>
      </w:r>
    </w:p>
    <w:p>
      <w:pPr>
        <w:spacing w:line="360" w:lineRule="auto" w:before="0" w:after="0"/>
        <w:ind w:firstLine="480"/>
      </w:pPr>
      <w:r>
        <w:rPr>
          <w:rFonts w:ascii="Times New Roman" w:hAnsi="Times New Roman" w:eastAsia="宋体"/>
          <w:b w:val="0"/>
          <w:sz w:val="24"/>
        </w:rPr>
        <w:t>系统应支持远期外汇交易的录入功能。在即期交易要素基础上增加到期日、远期汇率、远期点数等远期专属字段，交割方式默认为全额交割且不可修改。</w:t>
      </w:r>
    </w:p>
    <w:p>
      <w:pPr>
        <w:spacing w:line="360" w:lineRule="auto" w:before="120" w:after="120"/>
      </w:pPr>
      <w:r>
        <w:rPr>
          <w:rFonts w:ascii="Times New Roman" w:hAnsi="Times New Roman" w:eastAsia="黑体"/>
          <w:b/>
          <w:sz w:val="24"/>
        </w:rPr>
        <w:t>录入要素</w:t>
      </w:r>
    </w:p>
    <w:p>
      <w:pPr>
        <w:spacing w:line="360" w:lineRule="auto" w:before="0" w:after="60"/>
        <w:ind w:left="480"/>
      </w:pPr>
      <w:r>
        <w:rPr>
          <w:rFonts w:ascii="Times New Roman" w:hAnsi="Times New Roman" w:eastAsia="宋体"/>
          <w:b w:val="0"/>
          <w:sz w:val="24"/>
        </w:rPr>
        <w:t>• 远期专属：到期日、远期汇率、远期点数</w:t>
      </w:r>
    </w:p>
    <w:p>
      <w:pPr>
        <w:spacing w:line="360" w:lineRule="auto" w:before="0" w:after="60"/>
        <w:ind w:left="480"/>
      </w:pPr>
      <w:r>
        <w:rPr>
          <w:rFonts w:ascii="Times New Roman" w:hAnsi="Times New Roman" w:eastAsia="宋体"/>
          <w:b w:val="0"/>
          <w:sz w:val="24"/>
        </w:rPr>
        <w:t>• 交割方式：全额交割（默认，不可修改）</w:t>
      </w:r>
    </w:p>
    <w:p>
      <w:pPr>
        <w:spacing w:line="360" w:lineRule="auto" w:before="0" w:after="60"/>
        <w:ind w:left="480"/>
      </w:pPr>
      <w:r>
        <w:rPr>
          <w:rFonts w:ascii="Times New Roman" w:hAnsi="Times New Roman" w:eastAsia="宋体"/>
          <w:b w:val="0"/>
          <w:sz w:val="24"/>
        </w:rPr>
        <w:t>• 保证金：保证金账户、保证金金额</w:t>
      </w:r>
    </w:p>
    <w:p>
      <w:pPr>
        <w:spacing w:line="360" w:lineRule="auto" w:before="240" w:after="120"/>
      </w:pPr>
      <w:r>
        <w:rPr>
          <w:rFonts w:ascii="Times New Roman" w:hAnsi="Times New Roman" w:eastAsia="黑体"/>
          <w:b/>
          <w:sz w:val="28"/>
        </w:rPr>
        <w:t>3.4  掉期交易</w:t>
      </w:r>
    </w:p>
    <w:p>
      <w:pPr>
        <w:spacing w:line="360" w:lineRule="auto" w:before="0" w:after="0"/>
        <w:ind w:firstLine="480"/>
      </w:pPr>
      <w:r>
        <w:rPr>
          <w:rFonts w:ascii="Times New Roman" w:hAnsi="Times New Roman" w:eastAsia="宋体"/>
          <w:b w:val="0"/>
          <w:sz w:val="24"/>
        </w:rPr>
        <w:t>系统应支持掉期外汇交易的录入功能。掉期交易采用近端/远端两腿结构，支持 ON（隔夜）、TN（次日后）、SN（即期后）、SW（一周）、1M（一个月）等标准期限，起息日与到期日根据所选期限自动计算且不可修改。</w:t>
      </w:r>
    </w:p>
    <w:p>
      <w:pPr>
        <w:spacing w:line="360" w:lineRule="auto" w:before="120" w:after="120"/>
      </w:pPr>
      <w:r>
        <w:rPr>
          <w:rFonts w:ascii="Times New Roman" w:hAnsi="Times New Roman" w:eastAsia="黑体"/>
          <w:b/>
          <w:sz w:val="24"/>
        </w:rPr>
        <w:t>录入要素</w:t>
      </w:r>
    </w:p>
    <w:p>
      <w:pPr>
        <w:spacing w:line="360" w:lineRule="auto" w:before="0" w:after="60"/>
        <w:ind w:left="480"/>
      </w:pPr>
      <w:r>
        <w:rPr>
          <w:rFonts w:ascii="Times New Roman" w:hAnsi="Times New Roman" w:eastAsia="宋体"/>
          <w:b w:val="0"/>
          <w:sz w:val="24"/>
        </w:rPr>
        <w:t>• 掉期类型：S/B（近卖远买）或 B/S（近买远卖）</w:t>
      </w:r>
    </w:p>
    <w:p>
      <w:pPr>
        <w:spacing w:line="360" w:lineRule="auto" w:before="0" w:after="60"/>
        <w:ind w:left="480"/>
      </w:pPr>
      <w:r>
        <w:rPr>
          <w:rFonts w:ascii="Times New Roman" w:hAnsi="Times New Roman" w:eastAsia="宋体"/>
          <w:b w:val="0"/>
          <w:sz w:val="24"/>
        </w:rPr>
        <w:t>• 近端信息：方向、金额、起息日、汇率、成本汇率、客户汇率、账户、交割方式</w:t>
      </w:r>
    </w:p>
    <w:p>
      <w:pPr>
        <w:spacing w:line="360" w:lineRule="auto" w:before="0" w:after="60"/>
        <w:ind w:left="480"/>
      </w:pPr>
      <w:r>
        <w:rPr>
          <w:rFonts w:ascii="Times New Roman" w:hAnsi="Times New Roman" w:eastAsia="宋体"/>
          <w:b w:val="0"/>
          <w:sz w:val="24"/>
        </w:rPr>
        <w:t>• 远端信息：方向、金额（自动同步近端，不可修改）、到期日、汇率、账户、交割方式</w:t>
      </w:r>
    </w:p>
    <w:p>
      <w:pPr>
        <w:spacing w:line="360" w:lineRule="auto" w:before="0" w:after="60"/>
        <w:ind w:left="480"/>
      </w:pPr>
      <w:r>
        <w:rPr>
          <w:rFonts w:ascii="Times New Roman" w:hAnsi="Times New Roman" w:eastAsia="宋体"/>
          <w:b w:val="0"/>
          <w:sz w:val="24"/>
        </w:rPr>
        <w:t>• 交割方式：近端与远端均默认全额交割，不可修改</w:t>
      </w:r>
    </w:p>
    <w:p>
      <w:pPr>
        <w:spacing w:line="360" w:lineRule="auto" w:before="240" w:after="120"/>
      </w:pPr>
      <w:r>
        <w:rPr>
          <w:rFonts w:ascii="Times New Roman" w:hAnsi="Times New Roman" w:eastAsia="黑体"/>
          <w:b/>
          <w:sz w:val="28"/>
        </w:rPr>
        <w:t>3.5  期权交易</w:t>
      </w:r>
    </w:p>
    <w:p>
      <w:pPr>
        <w:spacing w:line="360" w:lineRule="auto" w:before="0" w:after="0"/>
        <w:ind w:firstLine="480"/>
      </w:pPr>
      <w:r>
        <w:rPr>
          <w:rFonts w:ascii="Times New Roman" w:hAnsi="Times New Roman" w:eastAsia="宋体"/>
          <w:b w:val="0"/>
          <w:sz w:val="24"/>
        </w:rPr>
        <w:t>系统应支持普通期权交易的录入功能，包括欧式期权与美式期权两类。期权交易以"面值"作为交易金额，期权费按面值的 5% 自动计算。</w:t>
      </w:r>
    </w:p>
    <w:p>
      <w:pPr>
        <w:spacing w:line="360" w:lineRule="auto" w:before="120" w:after="120"/>
      </w:pPr>
      <w:r>
        <w:rPr>
          <w:rFonts w:ascii="Times New Roman" w:hAnsi="Times New Roman" w:eastAsia="黑体"/>
          <w:b/>
          <w:sz w:val="24"/>
        </w:rPr>
        <w:t>录入要素</w:t>
      </w:r>
    </w:p>
    <w:p>
      <w:pPr>
        <w:spacing w:line="360" w:lineRule="auto" w:before="0" w:after="60"/>
        <w:ind w:left="480"/>
      </w:pPr>
      <w:r>
        <w:rPr>
          <w:rFonts w:ascii="Times New Roman" w:hAnsi="Times New Roman" w:eastAsia="宋体"/>
          <w:b w:val="0"/>
          <w:sz w:val="24"/>
        </w:rPr>
        <w:t>• 客户信息：客户号、客户名称、币种 1 账户、币种 2 账户、期权费账户（固定为人民币账户）</w:t>
      </w:r>
    </w:p>
    <w:p>
      <w:pPr>
        <w:spacing w:line="360" w:lineRule="auto" w:before="0" w:after="60"/>
        <w:ind w:left="480"/>
      </w:pPr>
      <w:r>
        <w:rPr>
          <w:rFonts w:ascii="Times New Roman" w:hAnsi="Times New Roman" w:eastAsia="宋体"/>
          <w:b w:val="0"/>
          <w:sz w:val="24"/>
        </w:rPr>
        <w:t>• 基础信息：买卖方向、交易货币对（支持美元/人民币、欧元/人民币）、面值、涨跌方向、即期汇率、执行价格</w:t>
      </w:r>
    </w:p>
    <w:p>
      <w:pPr>
        <w:spacing w:line="360" w:lineRule="auto" w:before="0" w:after="60"/>
        <w:ind w:left="480"/>
      </w:pPr>
      <w:r>
        <w:rPr>
          <w:rFonts w:ascii="Times New Roman" w:hAnsi="Times New Roman" w:eastAsia="宋体"/>
          <w:b w:val="0"/>
          <w:sz w:val="24"/>
        </w:rPr>
        <w:t>• 期权类别：欧式期权或美式期权</w:t>
      </w:r>
    </w:p>
    <w:p>
      <w:pPr>
        <w:spacing w:line="360" w:lineRule="auto" w:before="0" w:after="60"/>
        <w:ind w:left="480"/>
      </w:pPr>
      <w:r>
        <w:rPr>
          <w:rFonts w:ascii="Times New Roman" w:hAnsi="Times New Roman" w:eastAsia="宋体"/>
          <w:b w:val="0"/>
          <w:sz w:val="24"/>
        </w:rPr>
        <w:t>• 行权时点：固定为 15:00:00</w:t>
      </w:r>
    </w:p>
    <w:p>
      <w:pPr>
        <w:spacing w:line="360" w:lineRule="auto" w:before="0" w:after="60"/>
        <w:ind w:left="480"/>
      </w:pPr>
      <w:r>
        <w:rPr>
          <w:rFonts w:ascii="Times New Roman" w:hAnsi="Times New Roman" w:eastAsia="宋体"/>
          <w:b w:val="0"/>
          <w:sz w:val="24"/>
        </w:rPr>
        <w:t>• 欧式期权要素：交易日、到期日、交割类型、交割日（自动计算）、天数（自动计算）</w:t>
      </w:r>
    </w:p>
    <w:p>
      <w:pPr>
        <w:spacing w:line="360" w:lineRule="auto" w:before="0" w:after="60"/>
        <w:ind w:left="480"/>
      </w:pPr>
      <w:r>
        <w:rPr>
          <w:rFonts w:ascii="Times New Roman" w:hAnsi="Times New Roman" w:eastAsia="宋体"/>
          <w:b w:val="0"/>
          <w:sz w:val="24"/>
        </w:rPr>
        <w:t>• 美式期权要素：交易日、观察期开始日、观察期结束日、交割类型</w:t>
      </w:r>
    </w:p>
    <w:p>
      <w:pPr>
        <w:spacing w:line="360" w:lineRule="auto" w:before="0" w:after="60"/>
        <w:ind w:left="480"/>
      </w:pPr>
      <w:r>
        <w:rPr>
          <w:rFonts w:ascii="Times New Roman" w:hAnsi="Times New Roman" w:eastAsia="宋体"/>
          <w:b w:val="0"/>
          <w:sz w:val="24"/>
        </w:rPr>
        <w:t>• 费用信息：期权费、期权费账户、期权费币种、期权费交割日、交割方式（默认全额交割）</w:t>
      </w:r>
    </w:p>
    <w:p>
      <w:pPr>
        <w:spacing w:line="360" w:lineRule="auto" w:before="120" w:after="120"/>
      </w:pPr>
      <w:r>
        <w:rPr>
          <w:rFonts w:ascii="Times New Roman" w:hAnsi="Times New Roman" w:eastAsia="黑体"/>
          <w:b/>
          <w:sz w:val="24"/>
        </w:rPr>
        <w:t>业务规则</w:t>
      </w:r>
    </w:p>
    <w:p>
      <w:pPr>
        <w:spacing w:line="360" w:lineRule="auto" w:before="0" w:after="60"/>
        <w:ind w:left="480"/>
      </w:pPr>
      <w:r>
        <w:rPr>
          <w:rFonts w:ascii="Times New Roman" w:hAnsi="Times New Roman" w:eastAsia="宋体"/>
          <w:b w:val="0"/>
          <w:sz w:val="24"/>
        </w:rPr>
        <w:t>• 期权种类由涨跌方向自动推导：涨（UP）对应看涨期权（CALL），跌（DOWN）对应看跌期权（PUT）</w:t>
      </w:r>
    </w:p>
    <w:p>
      <w:pPr>
        <w:spacing w:line="360" w:lineRule="auto" w:before="0" w:after="60"/>
        <w:ind w:left="480"/>
      </w:pPr>
      <w:r>
        <w:rPr>
          <w:rFonts w:ascii="Times New Roman" w:hAnsi="Times New Roman" w:eastAsia="宋体"/>
          <w:b w:val="0"/>
          <w:sz w:val="24"/>
        </w:rPr>
        <w:t>• 即期汇率取总行买入价与卖出价的中间值</w:t>
      </w:r>
    </w:p>
    <w:p>
      <w:pPr>
        <w:spacing w:line="360" w:lineRule="auto" w:before="0" w:after="60"/>
        <w:ind w:left="480"/>
      </w:pPr>
      <w:r>
        <w:rPr>
          <w:rFonts w:ascii="Times New Roman" w:hAnsi="Times New Roman" w:eastAsia="宋体"/>
          <w:b w:val="0"/>
          <w:sz w:val="24"/>
        </w:rPr>
        <w:t>• 交易提交时须校验对应账户的面值金额与期权费账户余额是否充足</w:t>
      </w:r>
    </w:p>
    <w:p>
      <w:pPr>
        <w:spacing w:line="360" w:lineRule="auto" w:before="0" w:after="60"/>
        <w:ind w:left="480"/>
      </w:pPr>
      <w:r>
        <w:rPr>
          <w:rFonts w:ascii="Times New Roman" w:hAnsi="Times New Roman" w:eastAsia="宋体"/>
          <w:b w:val="0"/>
          <w:sz w:val="24"/>
        </w:rPr>
        <w:t>• 复核通过后须冻结对应账户的面值金额并扣除期权费</w:t>
      </w:r>
    </w:p>
    <w:p>
      <w:pPr>
        <w:spacing w:line="360" w:lineRule="auto" w:before="240" w:after="120"/>
      </w:pPr>
      <w:r>
        <w:rPr>
          <w:rFonts w:ascii="Times New Roman" w:hAnsi="Times New Roman" w:eastAsia="黑体"/>
          <w:b/>
          <w:sz w:val="28"/>
        </w:rPr>
        <w:t>3.6  交易存续期管理</w:t>
      </w:r>
    </w:p>
    <w:p>
      <w:pPr>
        <w:spacing w:line="360" w:lineRule="auto" w:before="0" w:after="0"/>
        <w:ind w:firstLine="480"/>
      </w:pPr>
      <w:r>
        <w:rPr>
          <w:rFonts w:ascii="Times New Roman" w:hAnsi="Times New Roman" w:eastAsia="宋体"/>
          <w:b w:val="0"/>
          <w:sz w:val="24"/>
        </w:rPr>
        <w:t>系统应提供外汇交易与期权交易的存续期管理功能，支持在交易生效后、到期前对交易进行提前交割、提前违约、展期、全部违约、保证金增补等生命周期操作。</w:t>
      </w:r>
    </w:p>
    <w:p>
      <w:pPr>
        <w:spacing w:line="360" w:lineRule="auto" w:before="120" w:after="120"/>
      </w:pPr>
      <w:r>
        <w:rPr>
          <w:rFonts w:ascii="Times New Roman" w:hAnsi="Times New Roman" w:eastAsia="黑体"/>
          <w:b/>
          <w:sz w:val="24"/>
        </w:rPr>
        <w:t>3.6.1  外汇交易存续期操作</w:t>
      </w:r>
    </w:p>
    <w:tbl>
      <w:tblPr>
        <w:tblStyle w:val="TableGrid"/>
        <w:tblW w:type="auto" w:w="0"/>
        <w:jc w:val="center"/>
        <w:tblLook w:firstColumn="1" w:firstRow="1" w:lastColumn="0" w:lastRow="0" w:noHBand="0" w:noVBand="1" w:val="04A0"/>
      </w:tblPr>
      <w:tblGrid>
        <w:gridCol w:w="2767"/>
        <w:gridCol w:w="2767"/>
        <w:gridCol w:w="2767"/>
      </w:tblGrid>
      <w:tr>
        <w:tc>
          <w:tcPr>
            <w:tcW w:type="dxa" w:w="1417"/>
          </w:tcPr>
          <w:p>
            <w:pPr>
              <w:jc w:val="center"/>
            </w:pPr>
            <w:r/>
            <w:r>
              <w:rPr>
                <w:rFonts w:ascii="Times New Roman" w:hAnsi="Times New Roman" w:eastAsia="黑体"/>
                <w:b/>
                <w:sz w:val="21"/>
              </w:rPr>
              <w:t>操作</w:t>
            </w:r>
          </w:p>
        </w:tc>
        <w:tc>
          <w:tcPr>
            <w:tcW w:type="dxa" w:w="1417"/>
          </w:tcPr>
          <w:p>
            <w:pPr>
              <w:jc w:val="center"/>
            </w:pPr>
            <w:r/>
            <w:r>
              <w:rPr>
                <w:rFonts w:ascii="Times New Roman" w:hAnsi="Times New Roman" w:eastAsia="黑体"/>
                <w:b/>
                <w:sz w:val="21"/>
              </w:rPr>
              <w:t>适用交易</w:t>
            </w:r>
          </w:p>
        </w:tc>
        <w:tc>
          <w:tcPr>
            <w:tcW w:type="dxa" w:w="5386"/>
          </w:tcPr>
          <w:p>
            <w:pPr>
              <w:jc w:val="center"/>
            </w:pPr>
            <w:r/>
            <w:r>
              <w:rPr>
                <w:rFonts w:ascii="Times New Roman" w:hAnsi="Times New Roman" w:eastAsia="黑体"/>
                <w:b/>
                <w:sz w:val="21"/>
              </w:rPr>
              <w:t>处理逻辑</w:t>
            </w:r>
          </w:p>
        </w:tc>
      </w:tr>
      <w:tr>
        <w:tc>
          <w:tcPr>
            <w:tcW w:type="dxa" w:w="1417"/>
          </w:tcPr>
          <w:p>
            <w:pPr>
              <w:jc w:val="left"/>
            </w:pPr>
            <w:r/>
            <w:r>
              <w:rPr>
                <w:rFonts w:ascii="Times New Roman" w:hAnsi="Times New Roman" w:eastAsia="宋体"/>
                <w:b w:val="0"/>
                <w:sz w:val="21"/>
              </w:rPr>
              <w:t>提前交割</w:t>
            </w:r>
          </w:p>
        </w:tc>
        <w:tc>
          <w:tcPr>
            <w:tcW w:type="dxa" w:w="1417"/>
          </w:tcPr>
          <w:p>
            <w:pPr>
              <w:jc w:val="left"/>
            </w:pPr>
            <w:r/>
            <w:r>
              <w:rPr>
                <w:rFonts w:ascii="Times New Roman" w:hAnsi="Times New Roman" w:eastAsia="宋体"/>
                <w:b w:val="0"/>
                <w:sz w:val="21"/>
              </w:rPr>
              <w:t>远期</w:t>
            </w:r>
          </w:p>
        </w:tc>
        <w:tc>
          <w:tcPr>
            <w:tcW w:type="dxa" w:w="5386"/>
          </w:tcPr>
          <w:p>
            <w:pPr>
              <w:jc w:val="left"/>
            </w:pPr>
            <w:r/>
            <w:r>
              <w:rPr>
                <w:rFonts w:ascii="Times New Roman" w:hAnsi="Times New Roman" w:eastAsia="宋体"/>
                <w:b w:val="0"/>
                <w:sz w:val="21"/>
              </w:rPr>
              <w:t>生成一笔掉期交易，近端使用实时牌价，远端使用原交易汇率；采用审批制，审批通过后生成</w:t>
            </w:r>
          </w:p>
        </w:tc>
      </w:tr>
      <w:tr>
        <w:tc>
          <w:tcPr>
            <w:tcW w:type="dxa" w:w="1417"/>
          </w:tcPr>
          <w:p>
            <w:pPr>
              <w:jc w:val="left"/>
            </w:pPr>
            <w:r/>
            <w:r>
              <w:rPr>
                <w:rFonts w:ascii="Times New Roman" w:hAnsi="Times New Roman" w:eastAsia="宋体"/>
                <w:b w:val="0"/>
                <w:sz w:val="21"/>
              </w:rPr>
              <w:t>提前违约</w:t>
            </w:r>
          </w:p>
        </w:tc>
        <w:tc>
          <w:tcPr>
            <w:tcW w:type="dxa" w:w="1417"/>
          </w:tcPr>
          <w:p>
            <w:pPr>
              <w:jc w:val="left"/>
            </w:pPr>
            <w:r/>
            <w:r>
              <w:rPr>
                <w:rFonts w:ascii="Times New Roman" w:hAnsi="Times New Roman" w:eastAsia="宋体"/>
                <w:b w:val="0"/>
                <w:sz w:val="21"/>
              </w:rPr>
              <w:t>远期</w:t>
            </w:r>
          </w:p>
        </w:tc>
        <w:tc>
          <w:tcPr>
            <w:tcW w:type="dxa" w:w="5386"/>
          </w:tcPr>
          <w:p>
            <w:pPr>
              <w:jc w:val="left"/>
            </w:pPr>
            <w:r/>
            <w:r>
              <w:rPr>
                <w:rFonts w:ascii="Times New Roman" w:hAnsi="Times New Roman" w:eastAsia="宋体"/>
                <w:b w:val="0"/>
                <w:sz w:val="21"/>
              </w:rPr>
              <w:t>生成一笔即期交易（差额交割）与一笔掉期交易（无需交割），并冻结轧差账户资金</w:t>
            </w:r>
          </w:p>
        </w:tc>
      </w:tr>
      <w:tr>
        <w:tc>
          <w:tcPr>
            <w:tcW w:type="dxa" w:w="1417"/>
          </w:tcPr>
          <w:p>
            <w:pPr>
              <w:jc w:val="left"/>
            </w:pPr>
            <w:r/>
            <w:r>
              <w:rPr>
                <w:rFonts w:ascii="Times New Roman" w:hAnsi="Times New Roman" w:eastAsia="宋体"/>
                <w:b w:val="0"/>
                <w:sz w:val="21"/>
              </w:rPr>
              <w:t>原价展期</w:t>
            </w:r>
          </w:p>
        </w:tc>
        <w:tc>
          <w:tcPr>
            <w:tcW w:type="dxa" w:w="1417"/>
          </w:tcPr>
          <w:p>
            <w:pPr>
              <w:jc w:val="left"/>
            </w:pPr>
            <w:r/>
            <w:r>
              <w:rPr>
                <w:rFonts w:ascii="Times New Roman" w:hAnsi="Times New Roman" w:eastAsia="宋体"/>
                <w:b w:val="0"/>
                <w:sz w:val="21"/>
              </w:rPr>
              <w:t>远期</w:t>
            </w:r>
          </w:p>
        </w:tc>
        <w:tc>
          <w:tcPr>
            <w:tcW w:type="dxa" w:w="5386"/>
          </w:tcPr>
          <w:p>
            <w:pPr>
              <w:jc w:val="left"/>
            </w:pPr>
            <w:r/>
            <w:r>
              <w:rPr>
                <w:rFonts w:ascii="Times New Roman" w:hAnsi="Times New Roman" w:eastAsia="宋体"/>
                <w:b w:val="0"/>
                <w:sz w:val="21"/>
              </w:rPr>
              <w:t>生成一笔掉期交易，近远端均使用原交易汇率；采用审批制</w:t>
            </w:r>
          </w:p>
        </w:tc>
      </w:tr>
      <w:tr>
        <w:tc>
          <w:tcPr>
            <w:tcW w:type="dxa" w:w="1417"/>
          </w:tcPr>
          <w:p>
            <w:pPr>
              <w:jc w:val="left"/>
            </w:pPr>
            <w:r/>
            <w:r>
              <w:rPr>
                <w:rFonts w:ascii="Times New Roman" w:hAnsi="Times New Roman" w:eastAsia="宋体"/>
                <w:b w:val="0"/>
                <w:sz w:val="21"/>
              </w:rPr>
              <w:t>市价展期</w:t>
            </w:r>
          </w:p>
        </w:tc>
        <w:tc>
          <w:tcPr>
            <w:tcW w:type="dxa" w:w="1417"/>
          </w:tcPr>
          <w:p>
            <w:pPr>
              <w:jc w:val="left"/>
            </w:pPr>
            <w:r/>
            <w:r>
              <w:rPr>
                <w:rFonts w:ascii="Times New Roman" w:hAnsi="Times New Roman" w:eastAsia="宋体"/>
                <w:b w:val="0"/>
                <w:sz w:val="21"/>
              </w:rPr>
              <w:t>远期</w:t>
            </w:r>
          </w:p>
        </w:tc>
        <w:tc>
          <w:tcPr>
            <w:tcW w:type="dxa" w:w="5386"/>
          </w:tcPr>
          <w:p>
            <w:pPr>
              <w:jc w:val="left"/>
            </w:pPr>
            <w:r/>
            <w:r>
              <w:rPr>
                <w:rFonts w:ascii="Times New Roman" w:hAnsi="Times New Roman" w:eastAsia="宋体"/>
                <w:b w:val="0"/>
                <w:sz w:val="21"/>
              </w:rPr>
              <w:t>生成一笔掉期交易，近端使用实时牌价，远端使用原交易汇率；采用审批制</w:t>
            </w:r>
          </w:p>
        </w:tc>
      </w:tr>
      <w:tr>
        <w:tc>
          <w:tcPr>
            <w:tcW w:type="dxa" w:w="1417"/>
          </w:tcPr>
          <w:p>
            <w:pPr>
              <w:jc w:val="left"/>
            </w:pPr>
            <w:r/>
            <w:r>
              <w:rPr>
                <w:rFonts w:ascii="Times New Roman" w:hAnsi="Times New Roman" w:eastAsia="宋体"/>
                <w:b w:val="0"/>
                <w:sz w:val="21"/>
              </w:rPr>
              <w:t>全部违约</w:t>
            </w:r>
          </w:p>
        </w:tc>
        <w:tc>
          <w:tcPr>
            <w:tcW w:type="dxa" w:w="1417"/>
          </w:tcPr>
          <w:p>
            <w:pPr>
              <w:jc w:val="left"/>
            </w:pPr>
            <w:r/>
            <w:r>
              <w:rPr>
                <w:rFonts w:ascii="Times New Roman" w:hAnsi="Times New Roman" w:eastAsia="宋体"/>
                <w:b w:val="0"/>
                <w:sz w:val="21"/>
              </w:rPr>
              <w:t>掉期</w:t>
            </w:r>
          </w:p>
        </w:tc>
        <w:tc>
          <w:tcPr>
            <w:tcW w:type="dxa" w:w="5386"/>
          </w:tcPr>
          <w:p>
            <w:pPr>
              <w:jc w:val="left"/>
            </w:pPr>
            <w:r/>
            <w:r>
              <w:rPr>
                <w:rFonts w:ascii="Times New Roman" w:hAnsi="Times New Roman" w:eastAsia="宋体"/>
                <w:b w:val="0"/>
                <w:sz w:val="21"/>
              </w:rPr>
              <w:t>使用实时牌价生成一笔反向掉期交易平盘</w:t>
            </w:r>
          </w:p>
        </w:tc>
      </w:tr>
      <w:tr>
        <w:tc>
          <w:tcPr>
            <w:tcW w:type="dxa" w:w="1417"/>
          </w:tcPr>
          <w:p>
            <w:pPr>
              <w:jc w:val="left"/>
            </w:pPr>
            <w:r/>
            <w:r>
              <w:rPr>
                <w:rFonts w:ascii="Times New Roman" w:hAnsi="Times New Roman" w:eastAsia="宋体"/>
                <w:b w:val="0"/>
                <w:sz w:val="21"/>
              </w:rPr>
              <w:t>保证金增补</w:t>
            </w:r>
          </w:p>
        </w:tc>
        <w:tc>
          <w:tcPr>
            <w:tcW w:type="dxa" w:w="1417"/>
          </w:tcPr>
          <w:p>
            <w:pPr>
              <w:jc w:val="left"/>
            </w:pPr>
            <w:r/>
            <w:r>
              <w:rPr>
                <w:rFonts w:ascii="Times New Roman" w:hAnsi="Times New Roman" w:eastAsia="宋体"/>
                <w:b w:val="0"/>
                <w:sz w:val="21"/>
              </w:rPr>
              <w:t>远期/掉期</w:t>
            </w:r>
          </w:p>
        </w:tc>
        <w:tc>
          <w:tcPr>
            <w:tcW w:type="dxa" w:w="5386"/>
          </w:tcPr>
          <w:p>
            <w:pPr>
              <w:jc w:val="left"/>
            </w:pPr>
            <w:r/>
            <w:r>
              <w:rPr>
                <w:rFonts w:ascii="Times New Roman" w:hAnsi="Times New Roman" w:eastAsia="宋体"/>
                <w:b w:val="0"/>
                <w:sz w:val="21"/>
              </w:rPr>
              <w:t>要求客户追加保证金至指定金额</w:t>
            </w:r>
          </w:p>
        </w:tc>
      </w:tr>
    </w:tbl>
    <w:p>
      <w:pPr>
        <w:spacing w:line="360" w:lineRule="auto" w:before="0" w:after="0"/>
        <w:ind w:firstLine="480"/>
      </w:pPr>
      <w:r>
        <w:rPr>
          <w:rFonts w:ascii="Times New Roman" w:hAnsi="Times New Roman" w:eastAsia="宋体"/>
          <w:b w:val="0"/>
          <w:sz w:val="24"/>
        </w:rPr>
      </w:r>
    </w:p>
    <w:p>
      <w:pPr>
        <w:spacing w:line="360" w:lineRule="auto" w:before="120" w:after="120"/>
      </w:pPr>
      <w:r>
        <w:rPr>
          <w:rFonts w:ascii="Times New Roman" w:hAnsi="Times New Roman" w:eastAsia="黑体"/>
          <w:b/>
          <w:sz w:val="24"/>
        </w:rPr>
        <w:t>3.6.2  期权交易存续期操作</w:t>
      </w:r>
    </w:p>
    <w:p>
      <w:pPr>
        <w:spacing w:line="360" w:lineRule="auto" w:before="0" w:after="60"/>
        <w:ind w:left="480"/>
      </w:pPr>
      <w:r>
        <w:rPr>
          <w:rFonts w:ascii="Times New Roman" w:hAnsi="Times New Roman" w:eastAsia="宋体"/>
          <w:b w:val="0"/>
          <w:sz w:val="24"/>
        </w:rPr>
        <w:t>• 欧式期权：仅到期日当天 15:00 之后可执行行权或放弃操作</w:t>
      </w:r>
    </w:p>
    <w:p>
      <w:pPr>
        <w:spacing w:line="360" w:lineRule="auto" w:before="0" w:after="60"/>
        <w:ind w:left="480"/>
      </w:pPr>
      <w:r>
        <w:rPr>
          <w:rFonts w:ascii="Times New Roman" w:hAnsi="Times New Roman" w:eastAsia="宋体"/>
          <w:b w:val="0"/>
          <w:sz w:val="24"/>
        </w:rPr>
        <w:t>• 美式期权：到期日前 15:00 之后即可执行行权操作</w:t>
      </w:r>
    </w:p>
    <w:p>
      <w:pPr>
        <w:spacing w:line="360" w:lineRule="auto" w:before="0" w:after="60"/>
        <w:ind w:left="480"/>
      </w:pPr>
      <w:r>
        <w:rPr>
          <w:rFonts w:ascii="Times New Roman" w:hAnsi="Times New Roman" w:eastAsia="宋体"/>
          <w:b w:val="0"/>
          <w:sz w:val="24"/>
        </w:rPr>
        <w:t>• 放弃期权：采用审批制，提交时不解冻账户，审批通过后才解冻并标记为已放弃</w:t>
      </w:r>
    </w:p>
    <w:p>
      <w:pPr>
        <w:spacing w:line="360" w:lineRule="auto" w:before="0" w:after="60"/>
        <w:ind w:left="480"/>
      </w:pPr>
      <w:r>
        <w:rPr>
          <w:rFonts w:ascii="Times New Roman" w:hAnsi="Times New Roman" w:eastAsia="宋体"/>
          <w:b w:val="0"/>
          <w:sz w:val="24"/>
        </w:rPr>
        <w:t>• 期权费交割：在期权费交割日完成期权费的实际收付</w:t>
      </w:r>
    </w:p>
    <w:p>
      <w:pPr>
        <w:spacing w:line="360" w:lineRule="auto" w:before="0" w:after="60"/>
        <w:ind w:left="480"/>
      </w:pPr>
      <w:r>
        <w:rPr>
          <w:rFonts w:ascii="Times New Roman" w:hAnsi="Times New Roman" w:eastAsia="宋体"/>
          <w:b w:val="0"/>
          <w:sz w:val="24"/>
        </w:rPr>
        <w:t>• 已放弃或已行权的交易自动从存续期管理列表中移除</w:t>
      </w:r>
    </w:p>
    <w:p>
      <w:pPr>
        <w:spacing w:line="360" w:lineRule="auto" w:before="240" w:after="120"/>
      </w:pPr>
      <w:r>
        <w:rPr>
          <w:rFonts w:ascii="Times New Roman" w:hAnsi="Times New Roman" w:eastAsia="黑体"/>
          <w:b/>
          <w:sz w:val="28"/>
        </w:rPr>
        <w:t>3.7  待办任务与审批工作流</w:t>
      </w:r>
    </w:p>
    <w:p>
      <w:pPr>
        <w:spacing w:line="360" w:lineRule="auto" w:before="0" w:after="0"/>
        <w:ind w:firstLine="480"/>
      </w:pPr>
      <w:r>
        <w:rPr>
          <w:rFonts w:ascii="Times New Roman" w:hAnsi="Times New Roman" w:eastAsia="宋体"/>
          <w:b w:val="0"/>
          <w:sz w:val="24"/>
        </w:rPr>
        <w:t>系统应提供统一的待办任务队列，实现经办—复核—授权三级审批工作流。所有交易发起及特殊业务操作均须经过复核审批方可生效。</w:t>
      </w:r>
    </w:p>
    <w:p>
      <w:pPr>
        <w:spacing w:line="360" w:lineRule="auto" w:before="120" w:after="120"/>
      </w:pPr>
      <w:r>
        <w:rPr>
          <w:rFonts w:ascii="Times New Roman" w:hAnsi="Times New Roman" w:eastAsia="黑体"/>
          <w:b/>
          <w:sz w:val="24"/>
        </w:rPr>
        <w:t>工作流规则</w:t>
      </w:r>
    </w:p>
    <w:p>
      <w:pPr>
        <w:spacing w:line="360" w:lineRule="auto" w:before="0" w:after="60"/>
        <w:ind w:left="480"/>
      </w:pPr>
      <w:r>
        <w:rPr>
          <w:rFonts w:ascii="Times New Roman" w:hAnsi="Times New Roman" w:eastAsia="宋体"/>
          <w:b w:val="0"/>
          <w:sz w:val="24"/>
        </w:rPr>
        <w:t>• 经办员提交交易后，交易状态由"草稿"流转至"待复核"，同时生成复核待办任务</w:t>
      </w:r>
    </w:p>
    <w:p>
      <w:pPr>
        <w:spacing w:line="360" w:lineRule="auto" w:before="0" w:after="60"/>
        <w:ind w:left="480"/>
      </w:pPr>
      <w:r>
        <w:rPr>
          <w:rFonts w:ascii="Times New Roman" w:hAnsi="Times New Roman" w:eastAsia="宋体"/>
          <w:b w:val="0"/>
          <w:sz w:val="24"/>
        </w:rPr>
        <w:t>• 复核员不能与经办员为同一人，系统应校验并拒绝自我复核</w:t>
      </w:r>
    </w:p>
    <w:p>
      <w:pPr>
        <w:spacing w:line="360" w:lineRule="auto" w:before="0" w:after="60"/>
        <w:ind w:left="480"/>
      </w:pPr>
      <w:r>
        <w:rPr>
          <w:rFonts w:ascii="Times New Roman" w:hAnsi="Times New Roman" w:eastAsia="宋体"/>
          <w:b w:val="0"/>
          <w:sz w:val="24"/>
        </w:rPr>
        <w:t>• 复核通过：交易流转至"生效"状态；若交易金额超过本机构审批额度，自动升级至上级机构授权</w:t>
      </w:r>
    </w:p>
    <w:p>
      <w:pPr>
        <w:spacing w:line="360" w:lineRule="auto" w:before="0" w:after="60"/>
        <w:ind w:left="480"/>
      </w:pPr>
      <w:r>
        <w:rPr>
          <w:rFonts w:ascii="Times New Roman" w:hAnsi="Times New Roman" w:eastAsia="宋体"/>
          <w:b w:val="0"/>
          <w:sz w:val="24"/>
        </w:rPr>
        <w:t>• 复核拒绝：交易流转至"已拒绝"状态，可修改后重新提交</w:t>
      </w:r>
    </w:p>
    <w:p>
      <w:pPr>
        <w:spacing w:line="360" w:lineRule="auto" w:before="0" w:after="60"/>
        <w:ind w:left="480"/>
      </w:pPr>
      <w:r>
        <w:rPr>
          <w:rFonts w:ascii="Times New Roman" w:hAnsi="Times New Roman" w:eastAsia="宋体"/>
          <w:b w:val="0"/>
          <w:sz w:val="24"/>
        </w:rPr>
        <w:t>• 退回经办：生成修改任务回退给原经办人，经办人修改后重新提交</w:t>
      </w:r>
    </w:p>
    <w:p>
      <w:pPr>
        <w:spacing w:line="360" w:lineRule="auto" w:before="0" w:after="60"/>
        <w:ind w:left="480"/>
      </w:pPr>
      <w:r>
        <w:rPr>
          <w:rFonts w:ascii="Times New Roman" w:hAnsi="Times New Roman" w:eastAsia="宋体"/>
          <w:b w:val="0"/>
          <w:sz w:val="24"/>
        </w:rPr>
        <w:t>• 角色权限：系统管理员可跨机构处理任务；非管理员仅能处理本机构任务</w:t>
      </w:r>
    </w:p>
    <w:p>
      <w:pPr>
        <w:spacing w:line="360" w:lineRule="auto" w:before="120" w:after="120"/>
      </w:pPr>
      <w:r>
        <w:rPr>
          <w:rFonts w:ascii="Times New Roman" w:hAnsi="Times New Roman" w:eastAsia="黑体"/>
          <w:b/>
          <w:sz w:val="24"/>
        </w:rPr>
        <w:t>待办任务展示</w:t>
      </w:r>
    </w:p>
    <w:p>
      <w:pPr>
        <w:spacing w:line="360" w:lineRule="auto" w:before="0" w:after="0"/>
        <w:ind w:firstLine="480"/>
      </w:pPr>
      <w:r>
        <w:rPr>
          <w:rFonts w:ascii="Times New Roman" w:hAnsi="Times New Roman" w:eastAsia="宋体"/>
          <w:b w:val="0"/>
          <w:sz w:val="24"/>
        </w:rPr>
        <w:t>待办任务列表应展示业务编号、任务类型、任务状态、事件内容、发起人、受理人等信息，支持双击直接打开处理页面。系统应合并展示已认领/指派给当前用户的任务与当前用户角色机构下待认领的任务池，并按任务编号去重。</w:t>
      </w:r>
    </w:p>
    <w:p>
      <w:pPr>
        <w:spacing w:line="360" w:lineRule="auto" w:before="240" w:after="120"/>
      </w:pPr>
      <w:r>
        <w:rPr>
          <w:rFonts w:ascii="Times New Roman" w:hAnsi="Times New Roman" w:eastAsia="黑体"/>
          <w:b/>
          <w:sz w:val="28"/>
        </w:rPr>
        <w:t>3.8  客户管理</w:t>
      </w:r>
    </w:p>
    <w:p>
      <w:pPr>
        <w:spacing w:line="360" w:lineRule="auto" w:before="0" w:after="0"/>
        <w:ind w:firstLine="480"/>
      </w:pPr>
      <w:r>
        <w:rPr>
          <w:rFonts w:ascii="Times New Roman" w:hAnsi="Times New Roman" w:eastAsia="宋体"/>
          <w:b w:val="0"/>
          <w:sz w:val="24"/>
        </w:rPr>
        <w:t>系统应提供客户信息维护功能，包括客户基本信息、客户账户管理与客户余额管理。</w:t>
      </w:r>
    </w:p>
    <w:p>
      <w:pPr>
        <w:spacing w:line="360" w:lineRule="auto" w:before="120" w:after="120"/>
      </w:pPr>
      <w:r>
        <w:rPr>
          <w:rFonts w:ascii="Times New Roman" w:hAnsi="Times New Roman" w:eastAsia="黑体"/>
          <w:b/>
          <w:sz w:val="24"/>
        </w:rPr>
        <w:t>功能要求</w:t>
      </w:r>
    </w:p>
    <w:p>
      <w:pPr>
        <w:spacing w:line="360" w:lineRule="auto" w:before="0" w:after="60"/>
        <w:ind w:left="480"/>
      </w:pPr>
      <w:r>
        <w:rPr>
          <w:rFonts w:ascii="Times New Roman" w:hAnsi="Times New Roman" w:eastAsia="宋体"/>
          <w:b w:val="0"/>
          <w:sz w:val="24"/>
        </w:rPr>
        <w:t>• 客户信息维护：支持客户号、客户名称、客户类型（对公/个人）、证件信息、联系人等</w:t>
      </w:r>
    </w:p>
    <w:p>
      <w:pPr>
        <w:spacing w:line="360" w:lineRule="auto" w:before="0" w:after="60"/>
        <w:ind w:left="480"/>
      </w:pPr>
      <w:r>
        <w:rPr>
          <w:rFonts w:ascii="Times New Roman" w:hAnsi="Times New Roman" w:eastAsia="宋体"/>
          <w:b w:val="0"/>
          <w:sz w:val="24"/>
        </w:rPr>
        <w:t>• 客户账户管理：支持新增/修改客户各币种账户，区分现汇账户与现钞账户，记录账户余额与冻结金额</w:t>
      </w:r>
    </w:p>
    <w:p>
      <w:pPr>
        <w:spacing w:line="360" w:lineRule="auto" w:before="0" w:after="60"/>
        <w:ind w:left="480"/>
      </w:pPr>
      <w:r>
        <w:rPr>
          <w:rFonts w:ascii="Times New Roman" w:hAnsi="Times New Roman" w:eastAsia="宋体"/>
          <w:b w:val="0"/>
          <w:sz w:val="24"/>
        </w:rPr>
        <w:t>• 保证金账户管理：支持为客户新增各币种保证金账户及调整余额，同币种保证金账户不可重复</w:t>
      </w:r>
    </w:p>
    <w:p>
      <w:pPr>
        <w:spacing w:line="360" w:lineRule="auto" w:before="0" w:after="60"/>
        <w:ind w:left="480"/>
      </w:pPr>
      <w:r>
        <w:rPr>
          <w:rFonts w:ascii="Times New Roman" w:hAnsi="Times New Roman" w:eastAsia="宋体"/>
          <w:b w:val="0"/>
          <w:sz w:val="24"/>
        </w:rPr>
        <w:t>• 客户查询：支持按客户号模糊查询、按客户类型精确查询</w:t>
      </w:r>
    </w:p>
    <w:p>
      <w:pPr>
        <w:spacing w:line="360" w:lineRule="auto" w:before="240" w:after="120"/>
      </w:pPr>
      <w:r>
        <w:rPr>
          <w:rFonts w:ascii="Times New Roman" w:hAnsi="Times New Roman" w:eastAsia="黑体"/>
          <w:b/>
          <w:sz w:val="28"/>
        </w:rPr>
        <w:t>3.9  机构与权限管理</w:t>
      </w:r>
    </w:p>
    <w:p>
      <w:pPr>
        <w:spacing w:line="360" w:lineRule="auto" w:before="0" w:after="0"/>
        <w:ind w:firstLine="480"/>
      </w:pPr>
      <w:r>
        <w:rPr>
          <w:rFonts w:ascii="Times New Roman" w:hAnsi="Times New Roman" w:eastAsia="宋体"/>
          <w:b w:val="0"/>
          <w:sz w:val="24"/>
        </w:rPr>
        <w:t>系统应支持总行、分行、支行三级机构管理，每级机构包含经办、复核、授权角色，并设置审批权限额度。</w:t>
      </w:r>
    </w:p>
    <w:p>
      <w:pPr>
        <w:spacing w:line="360" w:lineRule="auto" w:before="120" w:after="120"/>
      </w:pPr>
      <w:r>
        <w:rPr>
          <w:rFonts w:ascii="Times New Roman" w:hAnsi="Times New Roman" w:eastAsia="黑体"/>
          <w:b/>
          <w:sz w:val="24"/>
        </w:rPr>
        <w:t>功能要求</w:t>
      </w:r>
    </w:p>
    <w:p>
      <w:pPr>
        <w:spacing w:line="360" w:lineRule="auto" w:before="0" w:after="60"/>
        <w:ind w:left="480"/>
      </w:pPr>
      <w:r>
        <w:rPr>
          <w:rFonts w:ascii="Times New Roman" w:hAnsi="Times New Roman" w:eastAsia="宋体"/>
          <w:b w:val="0"/>
          <w:sz w:val="24"/>
        </w:rPr>
        <w:t>• 机构管理：维护机构编码、名称、层级、上级机构、审批额度、是否交易机构等属性</w:t>
      </w:r>
    </w:p>
    <w:p>
      <w:pPr>
        <w:spacing w:line="360" w:lineRule="auto" w:before="0" w:after="60"/>
        <w:ind w:left="480"/>
      </w:pPr>
      <w:r>
        <w:rPr>
          <w:rFonts w:ascii="Times New Roman" w:hAnsi="Times New Roman" w:eastAsia="宋体"/>
          <w:b w:val="0"/>
          <w:sz w:val="24"/>
        </w:rPr>
        <w:t>• 用户管理：维护用户账号、真实姓名、所属机构、状态；支持新增、修改、删除（不可删除当前登录用户）、重置密码</w:t>
      </w:r>
    </w:p>
    <w:p>
      <w:pPr>
        <w:spacing w:line="360" w:lineRule="auto" w:before="0" w:after="60"/>
        <w:ind w:left="480"/>
      </w:pPr>
      <w:r>
        <w:rPr>
          <w:rFonts w:ascii="Times New Roman" w:hAnsi="Times New Roman" w:eastAsia="宋体"/>
          <w:b w:val="0"/>
          <w:sz w:val="24"/>
        </w:rPr>
        <w:t>• 角色管理：为用户分配经办/复核/授权角色，绑定所属机构</w:t>
      </w:r>
    </w:p>
    <w:p>
      <w:pPr>
        <w:spacing w:line="360" w:lineRule="auto" w:before="0" w:after="60"/>
        <w:ind w:left="480"/>
      </w:pPr>
      <w:r>
        <w:rPr>
          <w:rFonts w:ascii="Times New Roman" w:hAnsi="Times New Roman" w:eastAsia="宋体"/>
          <w:b w:val="0"/>
          <w:sz w:val="24"/>
        </w:rPr>
        <w:t>• 登录用户信息：登录后右上角显示所属机构与角色权限</w:t>
      </w:r>
    </w:p>
    <w:p>
      <w:pPr>
        <w:spacing w:line="360" w:lineRule="auto" w:before="240" w:after="120"/>
      </w:pPr>
      <w:r>
        <w:rPr>
          <w:rFonts w:ascii="Times New Roman" w:hAnsi="Times New Roman" w:eastAsia="黑体"/>
          <w:b/>
          <w:sz w:val="28"/>
        </w:rPr>
        <w:t>3.10  保证金与授信管理</w:t>
      </w:r>
    </w:p>
    <w:p>
      <w:pPr>
        <w:spacing w:line="360" w:lineRule="auto" w:before="0" w:after="0"/>
        <w:ind w:firstLine="480"/>
      </w:pPr>
      <w:r>
        <w:rPr>
          <w:rFonts w:ascii="Times New Roman" w:hAnsi="Times New Roman" w:eastAsia="宋体"/>
          <w:b w:val="0"/>
          <w:sz w:val="24"/>
        </w:rPr>
        <w:t>系统应提供客户授信额度管理与应缴保证金计算功能，保障交易履约。</w:t>
      </w:r>
    </w:p>
    <w:p>
      <w:pPr>
        <w:spacing w:line="360" w:lineRule="auto" w:before="120" w:after="120"/>
      </w:pPr>
      <w:r>
        <w:rPr>
          <w:rFonts w:ascii="Times New Roman" w:hAnsi="Times New Roman" w:eastAsia="黑体"/>
          <w:b/>
          <w:sz w:val="24"/>
        </w:rPr>
        <w:t>业务规则</w:t>
      </w:r>
    </w:p>
    <w:p>
      <w:pPr>
        <w:spacing w:line="360" w:lineRule="auto" w:before="0" w:after="60"/>
        <w:ind w:left="480"/>
      </w:pPr>
      <w:r>
        <w:rPr>
          <w:rFonts w:ascii="Times New Roman" w:hAnsi="Times New Roman" w:eastAsia="宋体"/>
          <w:b w:val="0"/>
          <w:sz w:val="24"/>
        </w:rPr>
        <w:t>• 交易审批通过时扣减保证金（保证金账户余额减少）</w:t>
      </w:r>
    </w:p>
    <w:p>
      <w:pPr>
        <w:spacing w:line="360" w:lineRule="auto" w:before="0" w:after="60"/>
        <w:ind w:left="480"/>
      </w:pPr>
      <w:r>
        <w:rPr>
          <w:rFonts w:ascii="Times New Roman" w:hAnsi="Times New Roman" w:eastAsia="宋体"/>
          <w:b w:val="0"/>
          <w:sz w:val="24"/>
        </w:rPr>
        <w:t>• 交割成功时退还保证金（保证金账户余额增加）</w:t>
      </w:r>
    </w:p>
    <w:p>
      <w:pPr>
        <w:spacing w:line="360" w:lineRule="auto" w:before="0" w:after="60"/>
        <w:ind w:left="480"/>
      </w:pPr>
      <w:r>
        <w:rPr>
          <w:rFonts w:ascii="Times New Roman" w:hAnsi="Times New Roman" w:eastAsia="宋体"/>
          <w:b w:val="0"/>
          <w:sz w:val="24"/>
        </w:rPr>
        <w:t>• 交割失败时没收保证金（保证金账户余额减少）</w:t>
      </w:r>
    </w:p>
    <w:p>
      <w:pPr>
        <w:spacing w:line="360" w:lineRule="auto" w:before="0" w:after="60"/>
        <w:ind w:left="480"/>
      </w:pPr>
      <w:r>
        <w:rPr>
          <w:rFonts w:ascii="Times New Roman" w:hAnsi="Times New Roman" w:eastAsia="宋体"/>
          <w:b w:val="0"/>
          <w:sz w:val="24"/>
        </w:rPr>
        <w:t>• 轧差交易：提前违约提交时冻结轧差金额，交割时扣减并释放冻结，审批拒绝/退回时释放冻结</w:t>
      </w:r>
    </w:p>
    <w:p>
      <w:pPr>
        <w:spacing w:line="360" w:lineRule="auto" w:before="0" w:after="60"/>
        <w:ind w:left="480"/>
      </w:pPr>
      <w:r>
        <w:rPr>
          <w:rFonts w:ascii="Times New Roman" w:hAnsi="Times New Roman" w:eastAsia="宋体"/>
          <w:b w:val="0"/>
          <w:sz w:val="24"/>
        </w:rPr>
        <w:t>• 提前违约须校验轧差账户余额是否足够，余额不足时阻止提交</w:t>
      </w:r>
    </w:p>
    <w:p>
      <w:pPr>
        <w:spacing w:line="360" w:lineRule="auto" w:before="240" w:after="120"/>
      </w:pPr>
      <w:r>
        <w:rPr>
          <w:rFonts w:ascii="Times New Roman" w:hAnsi="Times New Roman" w:eastAsia="黑体"/>
          <w:b/>
          <w:sz w:val="28"/>
        </w:rPr>
        <w:t>3.11  定时任务管理</w:t>
      </w:r>
    </w:p>
    <w:p>
      <w:pPr>
        <w:spacing w:line="360" w:lineRule="auto" w:before="0" w:after="0"/>
        <w:ind w:firstLine="480"/>
      </w:pPr>
      <w:r>
        <w:rPr>
          <w:rFonts w:ascii="Times New Roman" w:hAnsi="Times New Roman" w:eastAsia="宋体"/>
          <w:b w:val="0"/>
          <w:sz w:val="24"/>
        </w:rPr>
        <w:t>系统应提供两个定时任务的运行与监控功能，支持查看任务信息、执行历史及手动触发执行。</w:t>
      </w:r>
    </w:p>
    <w:tbl>
      <w:tblPr>
        <w:tblStyle w:val="TableGrid"/>
        <w:tblW w:type="auto" w:w="0"/>
        <w:jc w:val="center"/>
        <w:tblLook w:firstColumn="1" w:firstRow="1" w:lastColumn="0" w:lastRow="0" w:noHBand="0" w:noVBand="1" w:val="04A0"/>
      </w:tblPr>
      <w:tblGrid>
        <w:gridCol w:w="2767"/>
        <w:gridCol w:w="2767"/>
        <w:gridCol w:w="2767"/>
      </w:tblGrid>
      <w:tr>
        <w:tc>
          <w:tcPr>
            <w:tcW w:type="dxa" w:w="2268"/>
          </w:tcPr>
          <w:p>
            <w:pPr>
              <w:jc w:val="center"/>
            </w:pPr>
            <w:r/>
            <w:r>
              <w:rPr>
                <w:rFonts w:ascii="Times New Roman" w:hAnsi="Times New Roman" w:eastAsia="黑体"/>
                <w:b/>
                <w:sz w:val="21"/>
              </w:rPr>
              <w:t>任务名称</w:t>
            </w:r>
          </w:p>
        </w:tc>
        <w:tc>
          <w:tcPr>
            <w:tcW w:type="dxa" w:w="1417"/>
          </w:tcPr>
          <w:p>
            <w:pPr>
              <w:jc w:val="center"/>
            </w:pPr>
            <w:r/>
            <w:r>
              <w:rPr>
                <w:rFonts w:ascii="Times New Roman" w:hAnsi="Times New Roman" w:eastAsia="黑体"/>
                <w:b/>
                <w:sz w:val="21"/>
              </w:rPr>
              <w:t>执行周期</w:t>
            </w:r>
          </w:p>
        </w:tc>
        <w:tc>
          <w:tcPr>
            <w:tcW w:type="dxa" w:w="4535"/>
          </w:tcPr>
          <w:p>
            <w:pPr>
              <w:jc w:val="center"/>
            </w:pPr>
            <w:r/>
            <w:r>
              <w:rPr>
                <w:rFonts w:ascii="Times New Roman" w:hAnsi="Times New Roman" w:eastAsia="黑体"/>
                <w:b/>
                <w:sz w:val="21"/>
              </w:rPr>
              <w:t>功能说明</w:t>
            </w:r>
          </w:p>
        </w:tc>
      </w:tr>
      <w:tr>
        <w:tc>
          <w:tcPr>
            <w:tcW w:type="dxa" w:w="2268"/>
          </w:tcPr>
          <w:p>
            <w:pPr>
              <w:jc w:val="left"/>
            </w:pPr>
            <w:r/>
            <w:r>
              <w:rPr>
                <w:rFonts w:ascii="Times New Roman" w:hAnsi="Times New Roman" w:eastAsia="宋体"/>
                <w:b w:val="0"/>
                <w:sz w:val="21"/>
              </w:rPr>
              <w:t>到期交割定时任务</w:t>
            </w:r>
          </w:p>
        </w:tc>
        <w:tc>
          <w:tcPr>
            <w:tcW w:type="dxa" w:w="1417"/>
          </w:tcPr>
          <w:p>
            <w:pPr>
              <w:jc w:val="left"/>
            </w:pPr>
            <w:r/>
            <w:r>
              <w:rPr>
                <w:rFonts w:ascii="Times New Roman" w:hAnsi="Times New Roman" w:eastAsia="宋体"/>
                <w:b w:val="0"/>
                <w:sz w:val="21"/>
              </w:rPr>
              <w:t>每日执行</w:t>
            </w:r>
          </w:p>
        </w:tc>
        <w:tc>
          <w:tcPr>
            <w:tcW w:type="dxa" w:w="4535"/>
          </w:tcPr>
          <w:p>
            <w:pPr>
              <w:jc w:val="left"/>
            </w:pPr>
            <w:r/>
            <w:r>
              <w:rPr>
                <w:rFonts w:ascii="Times New Roman" w:hAnsi="Times New Roman" w:eastAsia="宋体"/>
                <w:b w:val="0"/>
                <w:sz w:val="21"/>
              </w:rPr>
              <w:t>扫描到期交易，按交割方式处理资金交割；无需交割的交易直接标记已交割，全额/差额交割执行账户资金扣减</w:t>
            </w:r>
          </w:p>
        </w:tc>
      </w:tr>
      <w:tr>
        <w:tc>
          <w:tcPr>
            <w:tcW w:type="dxa" w:w="2268"/>
          </w:tcPr>
          <w:p>
            <w:pPr>
              <w:jc w:val="left"/>
            </w:pPr>
            <w:r/>
            <w:r>
              <w:rPr>
                <w:rFonts w:ascii="Times New Roman" w:hAnsi="Times New Roman" w:eastAsia="宋体"/>
                <w:b w:val="0"/>
                <w:sz w:val="21"/>
              </w:rPr>
              <w:t>牌价刷新定时任务</w:t>
            </w:r>
          </w:p>
        </w:tc>
        <w:tc>
          <w:tcPr>
            <w:tcW w:type="dxa" w:w="1417"/>
          </w:tcPr>
          <w:p>
            <w:pPr>
              <w:jc w:val="left"/>
            </w:pPr>
            <w:r/>
            <w:r>
              <w:rPr>
                <w:rFonts w:ascii="Times New Roman" w:hAnsi="Times New Roman" w:eastAsia="宋体"/>
                <w:b w:val="0"/>
                <w:sz w:val="21"/>
              </w:rPr>
              <w:t>每小时执行</w:t>
            </w:r>
          </w:p>
        </w:tc>
        <w:tc>
          <w:tcPr>
            <w:tcW w:type="dxa" w:w="4535"/>
          </w:tcPr>
          <w:p>
            <w:pPr>
              <w:jc w:val="left"/>
            </w:pPr>
            <w:r/>
            <w:r>
              <w:rPr>
                <w:rFonts w:ascii="Times New Roman" w:hAnsi="Times New Roman" w:eastAsia="宋体"/>
                <w:b w:val="0"/>
                <w:sz w:val="21"/>
              </w:rPr>
              <w:t>生成新的外汇牌价，同步更新参考汇率用于期权价内判断，保留最长一周历史记录</w:t>
            </w:r>
          </w:p>
        </w:tc>
      </w:tr>
    </w:tbl>
    <w:p>
      <w:pPr>
        <w:spacing w:line="360" w:lineRule="auto" w:before="0" w:after="0"/>
        <w:ind w:firstLine="480"/>
      </w:pPr>
      <w:r>
        <w:rPr>
          <w:rFonts w:ascii="Times New Roman" w:hAnsi="Times New Roman" w:eastAsia="宋体"/>
          <w:b w:val="0"/>
          <w:sz w:val="24"/>
        </w:rPr>
      </w:r>
    </w:p>
    <w:p>
      <w:pPr>
        <w:spacing w:line="360" w:lineRule="auto" w:before="0" w:after="0"/>
        <w:ind w:firstLine="480"/>
      </w:pPr>
      <w:r>
        <w:rPr>
          <w:rFonts w:ascii="Times New Roman" w:hAnsi="Times New Roman" w:eastAsia="宋体"/>
          <w:b w:val="0"/>
          <w:sz w:val="24"/>
        </w:rPr>
        <w:t>交割失败的交易允许在补充账户余额后重试。</w:t>
      </w:r>
    </w:p>
    <w:p>
      <w:r>
        <w:br w:type="page"/>
      </w:r>
    </w:p>
    <w:p>
      <w:pPr>
        <w:spacing w:line="360" w:lineRule="auto" w:before="360" w:after="240"/>
      </w:pPr>
      <w:r>
        <w:rPr>
          <w:rFonts w:ascii="Times New Roman" w:hAnsi="Times New Roman" w:eastAsia="黑体"/>
          <w:b/>
          <w:sz w:val="32"/>
        </w:rPr>
        <w:t>4  非功能需求规定</w:t>
      </w:r>
    </w:p>
    <w:p>
      <w:pPr>
        <w:spacing w:line="360" w:lineRule="auto" w:before="240" w:after="120"/>
      </w:pPr>
      <w:r>
        <w:rPr>
          <w:rFonts w:ascii="Times New Roman" w:hAnsi="Times New Roman" w:eastAsia="黑体"/>
          <w:b/>
          <w:sz w:val="28"/>
        </w:rPr>
        <w:t>4.1  性能需求</w:t>
      </w:r>
    </w:p>
    <w:p>
      <w:pPr>
        <w:spacing w:line="360" w:lineRule="auto" w:before="0" w:after="60"/>
        <w:ind w:left="480"/>
      </w:pPr>
      <w:r>
        <w:rPr>
          <w:rFonts w:ascii="Times New Roman" w:hAnsi="Times New Roman" w:eastAsia="宋体"/>
          <w:b w:val="0"/>
          <w:sz w:val="24"/>
        </w:rPr>
        <w:t>• 页面加载响应时间：普通查询页面加载时间不超过 3 秒</w:t>
      </w:r>
    </w:p>
    <w:p>
      <w:pPr>
        <w:spacing w:line="360" w:lineRule="auto" w:before="0" w:after="60"/>
        <w:ind w:left="480"/>
      </w:pPr>
      <w:r>
        <w:rPr>
          <w:rFonts w:ascii="Times New Roman" w:hAnsi="Times New Roman" w:eastAsia="宋体"/>
          <w:b w:val="0"/>
          <w:sz w:val="24"/>
        </w:rPr>
        <w:t>• 交易提交响应时间：单笔交易提交处理时间不超过 2 秒</w:t>
      </w:r>
    </w:p>
    <w:p>
      <w:pPr>
        <w:spacing w:line="360" w:lineRule="auto" w:before="0" w:after="60"/>
        <w:ind w:left="480"/>
      </w:pPr>
      <w:r>
        <w:rPr>
          <w:rFonts w:ascii="Times New Roman" w:hAnsi="Times New Roman" w:eastAsia="宋体"/>
          <w:b w:val="0"/>
          <w:sz w:val="24"/>
        </w:rPr>
        <w:t>• 列表查询响应时间：分页查询接口响应时间不超过 2 秒</w:t>
      </w:r>
    </w:p>
    <w:p>
      <w:pPr>
        <w:spacing w:line="360" w:lineRule="auto" w:before="0" w:after="60"/>
        <w:ind w:left="480"/>
      </w:pPr>
      <w:r>
        <w:rPr>
          <w:rFonts w:ascii="Times New Roman" w:hAnsi="Times New Roman" w:eastAsia="宋体"/>
          <w:b w:val="0"/>
          <w:sz w:val="24"/>
        </w:rPr>
        <w:t>• 并发支持：支持不少于 50 个用户同时在线操作</w:t>
      </w:r>
    </w:p>
    <w:p>
      <w:pPr>
        <w:spacing w:line="360" w:lineRule="auto" w:before="240" w:after="120"/>
      </w:pPr>
      <w:r>
        <w:rPr>
          <w:rFonts w:ascii="Times New Roman" w:hAnsi="Times New Roman" w:eastAsia="黑体"/>
          <w:b/>
          <w:sz w:val="28"/>
        </w:rPr>
        <w:t>4.2  安全性需求</w:t>
      </w:r>
    </w:p>
    <w:p>
      <w:pPr>
        <w:spacing w:line="360" w:lineRule="auto" w:before="0" w:after="60"/>
        <w:ind w:left="480"/>
      </w:pPr>
      <w:r>
        <w:rPr>
          <w:rFonts w:ascii="Times New Roman" w:hAnsi="Times New Roman" w:eastAsia="宋体"/>
          <w:b w:val="0"/>
          <w:sz w:val="24"/>
        </w:rPr>
        <w:t>• 用户登录须经过身份认证，密码在数据库中加密存储</w:t>
      </w:r>
    </w:p>
    <w:p>
      <w:pPr>
        <w:spacing w:line="360" w:lineRule="auto" w:before="0" w:after="60"/>
        <w:ind w:left="480"/>
      </w:pPr>
      <w:r>
        <w:rPr>
          <w:rFonts w:ascii="Times New Roman" w:hAnsi="Times New Roman" w:eastAsia="宋体"/>
          <w:b w:val="0"/>
          <w:sz w:val="24"/>
        </w:rPr>
        <w:t>• 所有受保护页面须校验登录状态，未登录访问自动跳转登录页</w:t>
      </w:r>
    </w:p>
    <w:p>
      <w:pPr>
        <w:spacing w:line="360" w:lineRule="auto" w:before="0" w:after="60"/>
        <w:ind w:left="480"/>
      </w:pPr>
      <w:r>
        <w:rPr>
          <w:rFonts w:ascii="Times New Roman" w:hAnsi="Times New Roman" w:eastAsia="宋体"/>
          <w:b w:val="0"/>
          <w:sz w:val="24"/>
        </w:rPr>
        <w:t>• 严格执行经办—复核双人工作流，禁止自我复核与自我审批</w:t>
      </w:r>
    </w:p>
    <w:p>
      <w:pPr>
        <w:spacing w:line="360" w:lineRule="auto" w:before="0" w:after="60"/>
        <w:ind w:left="480"/>
      </w:pPr>
      <w:r>
        <w:rPr>
          <w:rFonts w:ascii="Times New Roman" w:hAnsi="Times New Roman" w:eastAsia="宋体"/>
          <w:b w:val="0"/>
          <w:sz w:val="24"/>
        </w:rPr>
        <w:t>• 机构数据隔离：非管理员仅能访问与处理本机构业务数据</w:t>
      </w:r>
    </w:p>
    <w:p>
      <w:pPr>
        <w:spacing w:line="360" w:lineRule="auto" w:before="0" w:after="60"/>
        <w:ind w:left="480"/>
      </w:pPr>
      <w:r>
        <w:rPr>
          <w:rFonts w:ascii="Times New Roman" w:hAnsi="Times New Roman" w:eastAsia="宋体"/>
          <w:b w:val="0"/>
          <w:sz w:val="24"/>
        </w:rPr>
        <w:t>• 操作审计：所有交易操作均记录生命周期事件与审批日志，支持事后追溯</w:t>
      </w:r>
    </w:p>
    <w:p>
      <w:pPr>
        <w:spacing w:line="360" w:lineRule="auto" w:before="240" w:after="120"/>
      </w:pPr>
      <w:r>
        <w:rPr>
          <w:rFonts w:ascii="Times New Roman" w:hAnsi="Times New Roman" w:eastAsia="黑体"/>
          <w:b/>
          <w:sz w:val="28"/>
        </w:rPr>
        <w:t>4.3  可用性需求</w:t>
      </w:r>
    </w:p>
    <w:p>
      <w:pPr>
        <w:spacing w:line="360" w:lineRule="auto" w:before="0" w:after="60"/>
        <w:ind w:left="480"/>
      </w:pPr>
      <w:r>
        <w:rPr>
          <w:rFonts w:ascii="Times New Roman" w:hAnsi="Times New Roman" w:eastAsia="宋体"/>
          <w:b w:val="0"/>
          <w:sz w:val="24"/>
        </w:rPr>
        <w:t>• 系统采用 B/S 架构，用户通过浏览器访问，无需安装客户端</w:t>
      </w:r>
    </w:p>
    <w:p>
      <w:pPr>
        <w:spacing w:line="360" w:lineRule="auto" w:before="0" w:after="60"/>
        <w:ind w:left="480"/>
      </w:pPr>
      <w:r>
        <w:rPr>
          <w:rFonts w:ascii="Times New Roman" w:hAnsi="Times New Roman" w:eastAsia="宋体"/>
          <w:b w:val="0"/>
          <w:sz w:val="24"/>
        </w:rPr>
        <w:t>• 界面设计遵循简洁直观原则，主要操作不超过 3 步即可完成</w:t>
      </w:r>
    </w:p>
    <w:p>
      <w:pPr>
        <w:spacing w:line="360" w:lineRule="auto" w:before="0" w:after="60"/>
        <w:ind w:left="480"/>
      </w:pPr>
      <w:r>
        <w:rPr>
          <w:rFonts w:ascii="Times New Roman" w:hAnsi="Times New Roman" w:eastAsia="宋体"/>
          <w:b w:val="0"/>
          <w:sz w:val="24"/>
        </w:rPr>
        <w:t>• 提供统一的待办任务入口，业务人员可集中处理待办事项</w:t>
      </w:r>
    </w:p>
    <w:p>
      <w:pPr>
        <w:spacing w:line="360" w:lineRule="auto" w:before="0" w:after="60"/>
        <w:ind w:left="480"/>
      </w:pPr>
      <w:r>
        <w:rPr>
          <w:rFonts w:ascii="Times New Roman" w:hAnsi="Times New Roman" w:eastAsia="宋体"/>
          <w:b w:val="0"/>
          <w:sz w:val="24"/>
        </w:rPr>
        <w:t>• 关键操作提供二次确认，避免误操作</w:t>
      </w:r>
    </w:p>
    <w:p>
      <w:pPr>
        <w:spacing w:line="360" w:lineRule="auto" w:before="240" w:after="120"/>
      </w:pPr>
      <w:r>
        <w:rPr>
          <w:rFonts w:ascii="Times New Roman" w:hAnsi="Times New Roman" w:eastAsia="黑体"/>
          <w:b/>
          <w:sz w:val="28"/>
        </w:rPr>
        <w:t>4.4  可维护性需求</w:t>
      </w:r>
    </w:p>
    <w:p>
      <w:pPr>
        <w:spacing w:line="360" w:lineRule="auto" w:before="0" w:after="60"/>
        <w:ind w:left="480"/>
      </w:pPr>
      <w:r>
        <w:rPr>
          <w:rFonts w:ascii="Times New Roman" w:hAnsi="Times New Roman" w:eastAsia="宋体"/>
          <w:b w:val="0"/>
          <w:sz w:val="24"/>
        </w:rPr>
        <w:t>• 前后端分离架构，便于独立维护与升级</w:t>
      </w:r>
    </w:p>
    <w:p>
      <w:pPr>
        <w:spacing w:line="360" w:lineRule="auto" w:before="0" w:after="60"/>
        <w:ind w:left="480"/>
      </w:pPr>
      <w:r>
        <w:rPr>
          <w:rFonts w:ascii="Times New Roman" w:hAnsi="Times New Roman" w:eastAsia="宋体"/>
          <w:b w:val="0"/>
          <w:sz w:val="24"/>
        </w:rPr>
        <w:t>• 后端采用标准分层设计，业务逻辑与数据访问解耦</w:t>
      </w:r>
    </w:p>
    <w:p>
      <w:pPr>
        <w:spacing w:line="360" w:lineRule="auto" w:before="0" w:after="60"/>
        <w:ind w:left="480"/>
      </w:pPr>
      <w:r>
        <w:rPr>
          <w:rFonts w:ascii="Times New Roman" w:hAnsi="Times New Roman" w:eastAsia="宋体"/>
          <w:b w:val="0"/>
          <w:sz w:val="24"/>
        </w:rPr>
        <w:t>• 系统参数可配置化，部分业务规则可通过参数调整而无需修改代码</w:t>
      </w:r>
    </w:p>
    <w:p>
      <w:pPr>
        <w:spacing w:line="360" w:lineRule="auto" w:before="0" w:after="60"/>
        <w:ind w:left="480"/>
      </w:pPr>
      <w:r>
        <w:rPr>
          <w:rFonts w:ascii="Times New Roman" w:hAnsi="Times New Roman" w:eastAsia="宋体"/>
          <w:b w:val="0"/>
          <w:sz w:val="24"/>
        </w:rPr>
        <w:t>• 数据库表结构清晰，主表与子表分离设计，便于扩展新产品</w:t>
      </w:r>
    </w:p>
    <w:p>
      <w:r>
        <w:br w:type="page"/>
      </w:r>
    </w:p>
    <w:p>
      <w:pPr>
        <w:spacing w:line="360" w:lineRule="auto" w:before="360" w:after="240"/>
      </w:pPr>
      <w:r>
        <w:rPr>
          <w:rFonts w:ascii="Times New Roman" w:hAnsi="Times New Roman" w:eastAsia="黑体"/>
          <w:b/>
          <w:sz w:val="32"/>
        </w:rPr>
        <w:t>5  数据需求</w:t>
      </w:r>
    </w:p>
    <w:p>
      <w:pPr>
        <w:spacing w:line="360" w:lineRule="auto" w:before="240" w:after="120"/>
      </w:pPr>
      <w:r>
        <w:rPr>
          <w:rFonts w:ascii="Times New Roman" w:hAnsi="Times New Roman" w:eastAsia="黑体"/>
          <w:b/>
          <w:sz w:val="28"/>
        </w:rPr>
        <w:t>5.1  数据描述</w:t>
      </w:r>
    </w:p>
    <w:p>
      <w:pPr>
        <w:spacing w:line="360" w:lineRule="auto" w:before="0" w:after="0"/>
        <w:ind w:firstLine="480"/>
      </w:pPr>
      <w:r>
        <w:rPr>
          <w:rFonts w:ascii="Times New Roman" w:hAnsi="Times New Roman" w:eastAsia="宋体"/>
          <w:b w:val="0"/>
          <w:sz w:val="24"/>
        </w:rPr>
        <w:t>系统数据主要涵盖机构与权限数据、客户数据、外汇牌价数据、交易数据、保证金与授信数据、生命周期与审批数据、任务数据及系统参数数据等。所有数据存储于关系型数据库 MySQL 中，字符集采用 utf8mb4 以支持多语言字符。</w:t>
      </w:r>
    </w:p>
    <w:p>
      <w:pPr>
        <w:spacing w:line="360" w:lineRule="auto" w:before="240" w:after="120"/>
      </w:pPr>
      <w:r>
        <w:rPr>
          <w:rFonts w:ascii="Times New Roman" w:hAnsi="Times New Roman" w:eastAsia="黑体"/>
          <w:b/>
          <w:sz w:val="28"/>
        </w:rPr>
        <w:t>5.2  数据库设计概要</w:t>
      </w:r>
    </w:p>
    <w:p>
      <w:pPr>
        <w:spacing w:line="360" w:lineRule="auto" w:before="0" w:after="0"/>
        <w:ind w:firstLine="480"/>
      </w:pPr>
      <w:r>
        <w:rPr>
          <w:rFonts w:ascii="Times New Roman" w:hAnsi="Times New Roman" w:eastAsia="宋体"/>
          <w:b w:val="0"/>
          <w:sz w:val="24"/>
        </w:rPr>
        <w:t>数据库共设计 24 张数据表，采用"主表 + 子表"的分表存储模式，通过统一的交易主表关联各产品子表，便于跨产品查询与管理。主要数据表分组如下：</w:t>
      </w:r>
    </w:p>
    <w:tbl>
      <w:tblPr>
        <w:tblStyle w:val="TableGrid"/>
        <w:tblW w:type="auto" w:w="0"/>
        <w:jc w:val="center"/>
        <w:tblLook w:firstColumn="1" w:firstRow="1" w:lastColumn="0" w:lastRow="0" w:noHBand="0" w:noVBand="1" w:val="04A0"/>
      </w:tblPr>
      <w:tblGrid>
        <w:gridCol w:w="2767"/>
        <w:gridCol w:w="2767"/>
        <w:gridCol w:w="2767"/>
      </w:tblGrid>
      <w:tr>
        <w:tc>
          <w:tcPr>
            <w:tcW w:type="dxa" w:w="1701"/>
          </w:tcPr>
          <w:p>
            <w:pPr>
              <w:jc w:val="center"/>
            </w:pPr>
            <w:r/>
            <w:r>
              <w:rPr>
                <w:rFonts w:ascii="Times New Roman" w:hAnsi="Times New Roman" w:eastAsia="黑体"/>
                <w:b/>
                <w:sz w:val="21"/>
              </w:rPr>
              <w:t>数据分组</w:t>
            </w:r>
          </w:p>
        </w:tc>
        <w:tc>
          <w:tcPr>
            <w:tcW w:type="dxa" w:w="3402"/>
          </w:tcPr>
          <w:p>
            <w:pPr>
              <w:jc w:val="center"/>
            </w:pPr>
            <w:r/>
            <w:r>
              <w:rPr>
                <w:rFonts w:ascii="Times New Roman" w:hAnsi="Times New Roman" w:eastAsia="黑体"/>
                <w:b/>
                <w:sz w:val="21"/>
              </w:rPr>
              <w:t>主要数据表</w:t>
            </w:r>
          </w:p>
        </w:tc>
        <w:tc>
          <w:tcPr>
            <w:tcW w:type="dxa" w:w="3118"/>
          </w:tcPr>
          <w:p>
            <w:pPr>
              <w:jc w:val="center"/>
            </w:pPr>
            <w:r/>
            <w:r>
              <w:rPr>
                <w:rFonts w:ascii="Times New Roman" w:hAnsi="Times New Roman" w:eastAsia="黑体"/>
                <w:b/>
                <w:sz w:val="21"/>
              </w:rPr>
              <w:t>说明</w:t>
            </w:r>
          </w:p>
        </w:tc>
      </w:tr>
      <w:tr>
        <w:tc>
          <w:tcPr>
            <w:tcW w:type="dxa" w:w="1701"/>
          </w:tcPr>
          <w:p>
            <w:pPr>
              <w:jc w:val="left"/>
            </w:pPr>
            <w:r/>
            <w:r>
              <w:rPr>
                <w:rFonts w:ascii="Times New Roman" w:hAnsi="Times New Roman" w:eastAsia="宋体"/>
                <w:b w:val="0"/>
                <w:sz w:val="21"/>
              </w:rPr>
              <w:t>机构与权限</w:t>
            </w:r>
          </w:p>
        </w:tc>
        <w:tc>
          <w:tcPr>
            <w:tcW w:type="dxa" w:w="3402"/>
          </w:tcPr>
          <w:p>
            <w:pPr>
              <w:jc w:val="left"/>
            </w:pPr>
            <w:r/>
            <w:r>
              <w:rPr>
                <w:rFonts w:ascii="Times New Roman" w:hAnsi="Times New Roman" w:eastAsia="宋体"/>
                <w:b w:val="0"/>
                <w:sz w:val="21"/>
              </w:rPr>
              <w:t>机构表、角色表、用户表、用户角色关联表</w:t>
            </w:r>
          </w:p>
        </w:tc>
        <w:tc>
          <w:tcPr>
            <w:tcW w:type="dxa" w:w="3118"/>
          </w:tcPr>
          <w:p>
            <w:pPr>
              <w:jc w:val="left"/>
            </w:pPr>
            <w:r/>
            <w:r>
              <w:rPr>
                <w:rFonts w:ascii="Times New Roman" w:hAnsi="Times New Roman" w:eastAsia="宋体"/>
                <w:b w:val="0"/>
                <w:sz w:val="21"/>
              </w:rPr>
              <w:t>维护三级机构、角色与用户信息</w:t>
            </w:r>
          </w:p>
        </w:tc>
      </w:tr>
      <w:tr>
        <w:tc>
          <w:tcPr>
            <w:tcW w:type="dxa" w:w="1701"/>
          </w:tcPr>
          <w:p>
            <w:pPr>
              <w:jc w:val="left"/>
            </w:pPr>
            <w:r/>
            <w:r>
              <w:rPr>
                <w:rFonts w:ascii="Times New Roman" w:hAnsi="Times New Roman" w:eastAsia="宋体"/>
                <w:b w:val="0"/>
                <w:sz w:val="21"/>
              </w:rPr>
              <w:t>客户</w:t>
            </w:r>
          </w:p>
        </w:tc>
        <w:tc>
          <w:tcPr>
            <w:tcW w:type="dxa" w:w="3402"/>
          </w:tcPr>
          <w:p>
            <w:pPr>
              <w:jc w:val="left"/>
            </w:pPr>
            <w:r/>
            <w:r>
              <w:rPr>
                <w:rFonts w:ascii="Times New Roman" w:hAnsi="Times New Roman" w:eastAsia="宋体"/>
                <w:b w:val="0"/>
                <w:sz w:val="21"/>
              </w:rPr>
              <w:t>客户表、客户账户表、客户余额表</w:t>
            </w:r>
          </w:p>
        </w:tc>
        <w:tc>
          <w:tcPr>
            <w:tcW w:type="dxa" w:w="3118"/>
          </w:tcPr>
          <w:p>
            <w:pPr>
              <w:jc w:val="left"/>
            </w:pPr>
            <w:r/>
            <w:r>
              <w:rPr>
                <w:rFonts w:ascii="Times New Roman" w:hAnsi="Times New Roman" w:eastAsia="宋体"/>
                <w:b w:val="0"/>
                <w:sz w:val="21"/>
              </w:rPr>
              <w:t>维护客户信息、各币种账户与余额</w:t>
            </w:r>
          </w:p>
        </w:tc>
      </w:tr>
      <w:tr>
        <w:tc>
          <w:tcPr>
            <w:tcW w:type="dxa" w:w="1701"/>
          </w:tcPr>
          <w:p>
            <w:pPr>
              <w:jc w:val="left"/>
            </w:pPr>
            <w:r/>
            <w:r>
              <w:rPr>
                <w:rFonts w:ascii="Times New Roman" w:hAnsi="Times New Roman" w:eastAsia="宋体"/>
                <w:b w:val="0"/>
                <w:sz w:val="21"/>
              </w:rPr>
              <w:t>外汇牌价</w:t>
            </w:r>
          </w:p>
        </w:tc>
        <w:tc>
          <w:tcPr>
            <w:tcW w:type="dxa" w:w="3402"/>
          </w:tcPr>
          <w:p>
            <w:pPr>
              <w:jc w:val="left"/>
            </w:pPr>
            <w:r/>
            <w:r>
              <w:rPr>
                <w:rFonts w:ascii="Times New Roman" w:hAnsi="Times New Roman" w:eastAsia="宋体"/>
                <w:b w:val="0"/>
                <w:sz w:val="21"/>
              </w:rPr>
              <w:t>报价表</w:t>
            </w:r>
          </w:p>
        </w:tc>
        <w:tc>
          <w:tcPr>
            <w:tcW w:type="dxa" w:w="3118"/>
          </w:tcPr>
          <w:p>
            <w:pPr>
              <w:jc w:val="left"/>
            </w:pPr>
            <w:r/>
            <w:r>
              <w:rPr>
                <w:rFonts w:ascii="Times New Roman" w:hAnsi="Times New Roman" w:eastAsia="宋体"/>
                <w:b w:val="0"/>
                <w:sz w:val="21"/>
              </w:rPr>
              <w:t>存储即期/远期/掉期三类牌价</w:t>
            </w:r>
          </w:p>
        </w:tc>
      </w:tr>
      <w:tr>
        <w:tc>
          <w:tcPr>
            <w:tcW w:type="dxa" w:w="1701"/>
          </w:tcPr>
          <w:p>
            <w:pPr>
              <w:jc w:val="left"/>
            </w:pPr>
            <w:r/>
            <w:r>
              <w:rPr>
                <w:rFonts w:ascii="Times New Roman" w:hAnsi="Times New Roman" w:eastAsia="宋体"/>
                <w:b w:val="0"/>
                <w:sz w:val="21"/>
              </w:rPr>
              <w:t>交易</w:t>
            </w:r>
          </w:p>
        </w:tc>
        <w:tc>
          <w:tcPr>
            <w:tcW w:type="dxa" w:w="3402"/>
          </w:tcPr>
          <w:p>
            <w:pPr>
              <w:jc w:val="left"/>
            </w:pPr>
            <w:r/>
            <w:r>
              <w:rPr>
                <w:rFonts w:ascii="Times New Roman" w:hAnsi="Times New Roman" w:eastAsia="宋体"/>
                <w:b w:val="0"/>
                <w:sz w:val="21"/>
              </w:rPr>
              <w:t>交易主表、即期/远期/掉期/期权子表</w:t>
            </w:r>
          </w:p>
        </w:tc>
        <w:tc>
          <w:tcPr>
            <w:tcW w:type="dxa" w:w="3118"/>
          </w:tcPr>
          <w:p>
            <w:pPr>
              <w:jc w:val="left"/>
            </w:pPr>
            <w:r/>
            <w:r>
              <w:rPr>
                <w:rFonts w:ascii="Times New Roman" w:hAnsi="Times New Roman" w:eastAsia="宋体"/>
                <w:b w:val="0"/>
                <w:sz w:val="21"/>
              </w:rPr>
              <w:t>主表统一索引，按交易类型路由至子表</w:t>
            </w:r>
          </w:p>
        </w:tc>
      </w:tr>
      <w:tr>
        <w:tc>
          <w:tcPr>
            <w:tcW w:type="dxa" w:w="1701"/>
          </w:tcPr>
          <w:p>
            <w:pPr>
              <w:jc w:val="left"/>
            </w:pPr>
            <w:r/>
            <w:r>
              <w:rPr>
                <w:rFonts w:ascii="Times New Roman" w:hAnsi="Times New Roman" w:eastAsia="宋体"/>
                <w:b w:val="0"/>
                <w:sz w:val="21"/>
              </w:rPr>
              <w:t>保证金与授信</w:t>
            </w:r>
          </w:p>
        </w:tc>
        <w:tc>
          <w:tcPr>
            <w:tcW w:type="dxa" w:w="3402"/>
          </w:tcPr>
          <w:p>
            <w:pPr>
              <w:jc w:val="left"/>
            </w:pPr>
            <w:r/>
            <w:r>
              <w:rPr>
                <w:rFonts w:ascii="Times New Roman" w:hAnsi="Times New Roman" w:eastAsia="宋体"/>
                <w:b w:val="0"/>
                <w:sz w:val="21"/>
              </w:rPr>
              <w:t>保证金账户表、保证金流水表、授信额度表、保证金参数表</w:t>
            </w:r>
          </w:p>
        </w:tc>
        <w:tc>
          <w:tcPr>
            <w:tcW w:type="dxa" w:w="3118"/>
          </w:tcPr>
          <w:p>
            <w:pPr>
              <w:jc w:val="left"/>
            </w:pPr>
            <w:r/>
            <w:r>
              <w:rPr>
                <w:rFonts w:ascii="Times New Roman" w:hAnsi="Times New Roman" w:eastAsia="宋体"/>
                <w:b w:val="0"/>
                <w:sz w:val="21"/>
              </w:rPr>
              <w:t>管理保证金账户变动与授信</w:t>
            </w:r>
          </w:p>
        </w:tc>
      </w:tr>
      <w:tr>
        <w:tc>
          <w:tcPr>
            <w:tcW w:type="dxa" w:w="1701"/>
          </w:tcPr>
          <w:p>
            <w:pPr>
              <w:jc w:val="left"/>
            </w:pPr>
            <w:r/>
            <w:r>
              <w:rPr>
                <w:rFonts w:ascii="Times New Roman" w:hAnsi="Times New Roman" w:eastAsia="宋体"/>
                <w:b w:val="0"/>
                <w:sz w:val="21"/>
              </w:rPr>
              <w:t>生命周期与审批</w:t>
            </w:r>
          </w:p>
        </w:tc>
        <w:tc>
          <w:tcPr>
            <w:tcW w:type="dxa" w:w="3402"/>
          </w:tcPr>
          <w:p>
            <w:pPr>
              <w:jc w:val="left"/>
            </w:pPr>
            <w:r/>
            <w:r>
              <w:rPr>
                <w:rFonts w:ascii="Times New Roman" w:hAnsi="Times New Roman" w:eastAsia="宋体"/>
                <w:b w:val="0"/>
                <w:sz w:val="21"/>
              </w:rPr>
              <w:t>交易生命周期表、审批日志表</w:t>
            </w:r>
          </w:p>
        </w:tc>
        <w:tc>
          <w:tcPr>
            <w:tcW w:type="dxa" w:w="3118"/>
          </w:tcPr>
          <w:p>
            <w:pPr>
              <w:jc w:val="left"/>
            </w:pPr>
            <w:r/>
            <w:r>
              <w:rPr>
                <w:rFonts w:ascii="Times New Roman" w:hAnsi="Times New Roman" w:eastAsia="宋体"/>
                <w:b w:val="0"/>
                <w:sz w:val="21"/>
              </w:rPr>
              <w:t>记录交易状态变更与审批过程</w:t>
            </w:r>
          </w:p>
        </w:tc>
      </w:tr>
      <w:tr>
        <w:tc>
          <w:tcPr>
            <w:tcW w:type="dxa" w:w="1701"/>
          </w:tcPr>
          <w:p>
            <w:pPr>
              <w:jc w:val="left"/>
            </w:pPr>
            <w:r/>
            <w:r>
              <w:rPr>
                <w:rFonts w:ascii="Times New Roman" w:hAnsi="Times New Roman" w:eastAsia="宋体"/>
                <w:b w:val="0"/>
                <w:sz w:val="21"/>
              </w:rPr>
              <w:t>任务</w:t>
            </w:r>
          </w:p>
        </w:tc>
        <w:tc>
          <w:tcPr>
            <w:tcW w:type="dxa" w:w="3402"/>
          </w:tcPr>
          <w:p>
            <w:pPr>
              <w:jc w:val="left"/>
            </w:pPr>
            <w:r/>
            <w:r>
              <w:rPr>
                <w:rFonts w:ascii="Times New Roman" w:hAnsi="Times New Roman" w:eastAsia="宋体"/>
                <w:b w:val="0"/>
                <w:sz w:val="21"/>
              </w:rPr>
              <w:t>待办任务表、定时任务详情表、定时任务日志表</w:t>
            </w:r>
          </w:p>
        </w:tc>
        <w:tc>
          <w:tcPr>
            <w:tcW w:type="dxa" w:w="3118"/>
          </w:tcPr>
          <w:p>
            <w:pPr>
              <w:jc w:val="left"/>
            </w:pPr>
            <w:r/>
            <w:r>
              <w:rPr>
                <w:rFonts w:ascii="Times New Roman" w:hAnsi="Times New Roman" w:eastAsia="宋体"/>
                <w:b w:val="0"/>
                <w:sz w:val="21"/>
              </w:rPr>
              <w:t>管理待办任务与定时任务执行</w:t>
            </w:r>
          </w:p>
        </w:tc>
      </w:tr>
      <w:tr>
        <w:tc>
          <w:tcPr>
            <w:tcW w:type="dxa" w:w="1701"/>
          </w:tcPr>
          <w:p>
            <w:pPr>
              <w:jc w:val="left"/>
            </w:pPr>
            <w:r/>
            <w:r>
              <w:rPr>
                <w:rFonts w:ascii="Times New Roman" w:hAnsi="Times New Roman" w:eastAsia="宋体"/>
                <w:b w:val="0"/>
                <w:sz w:val="21"/>
              </w:rPr>
              <w:t>系统参数</w:t>
            </w:r>
          </w:p>
        </w:tc>
        <w:tc>
          <w:tcPr>
            <w:tcW w:type="dxa" w:w="3402"/>
          </w:tcPr>
          <w:p>
            <w:pPr>
              <w:jc w:val="left"/>
            </w:pPr>
            <w:r/>
            <w:r>
              <w:rPr>
                <w:rFonts w:ascii="Times New Roman" w:hAnsi="Times New Roman" w:eastAsia="宋体"/>
                <w:b w:val="0"/>
                <w:sz w:val="21"/>
              </w:rPr>
              <w:t>系统参数表、期权参数表</w:t>
            </w:r>
          </w:p>
        </w:tc>
        <w:tc>
          <w:tcPr>
            <w:tcW w:type="dxa" w:w="3118"/>
          </w:tcPr>
          <w:p>
            <w:pPr>
              <w:jc w:val="left"/>
            </w:pPr>
            <w:r/>
            <w:r>
              <w:rPr>
                <w:rFonts w:ascii="Times New Roman" w:hAnsi="Times New Roman" w:eastAsia="宋体"/>
                <w:b w:val="0"/>
                <w:sz w:val="21"/>
              </w:rPr>
              <w:t>存储可配置业务参数</w:t>
            </w:r>
          </w:p>
        </w:tc>
      </w:tr>
    </w:tbl>
    <w:p>
      <w:pPr>
        <w:spacing w:line="360" w:lineRule="auto" w:before="0" w:after="0"/>
        <w:ind w:firstLine="480"/>
      </w:pPr>
      <w:r>
        <w:rPr>
          <w:rFonts w:ascii="Times New Roman" w:hAnsi="Times New Roman" w:eastAsia="宋体"/>
          <w:b w:val="0"/>
          <w:sz w:val="24"/>
        </w:rPr>
      </w:r>
    </w:p>
    <w:p>
      <w:r>
        <w:br w:type="page"/>
      </w:r>
    </w:p>
    <w:p>
      <w:pPr>
        <w:spacing w:line="360" w:lineRule="auto" w:before="360" w:after="240"/>
      </w:pPr>
      <w:r>
        <w:rPr>
          <w:rFonts w:ascii="Times New Roman" w:hAnsi="Times New Roman" w:eastAsia="黑体"/>
          <w:b/>
          <w:sz w:val="32"/>
        </w:rPr>
        <w:t>6  其他需求</w:t>
      </w:r>
    </w:p>
    <w:p>
      <w:pPr>
        <w:spacing w:line="360" w:lineRule="auto" w:before="240" w:after="120"/>
      </w:pPr>
      <w:r>
        <w:rPr>
          <w:rFonts w:ascii="Times New Roman" w:hAnsi="Times New Roman" w:eastAsia="黑体"/>
          <w:b/>
          <w:sz w:val="28"/>
        </w:rPr>
        <w:t>6.1  监管报送需求</w:t>
      </w:r>
    </w:p>
    <w:p>
      <w:pPr>
        <w:spacing w:line="360" w:lineRule="auto" w:before="0" w:after="0"/>
        <w:ind w:firstLine="480"/>
      </w:pPr>
      <w:r>
        <w:rPr>
          <w:rFonts w:ascii="Times New Roman" w:hAnsi="Times New Roman" w:eastAsia="宋体"/>
          <w:b w:val="0"/>
          <w:sz w:val="24"/>
        </w:rPr>
        <w:t>系统须在外汇交易数据中预留监管报送所需字段，满足外汇管理机构的报送要求。主要预留字段包括：</w:t>
      </w:r>
    </w:p>
    <w:p>
      <w:pPr>
        <w:spacing w:line="360" w:lineRule="auto" w:before="0" w:after="60"/>
        <w:ind w:left="480"/>
      </w:pPr>
      <w:r>
        <w:rPr>
          <w:rFonts w:ascii="Times New Roman" w:hAnsi="Times New Roman" w:eastAsia="宋体"/>
          <w:b w:val="0"/>
          <w:sz w:val="24"/>
        </w:rPr>
        <w:t>• RCPMIS 上报标志与上报时间</w:t>
      </w:r>
    </w:p>
    <w:p>
      <w:pPr>
        <w:spacing w:line="360" w:lineRule="auto" w:before="0" w:after="60"/>
        <w:ind w:left="480"/>
      </w:pPr>
      <w:r>
        <w:rPr>
          <w:rFonts w:ascii="Times New Roman" w:hAnsi="Times New Roman" w:eastAsia="宋体"/>
          <w:b w:val="0"/>
          <w:sz w:val="24"/>
        </w:rPr>
        <w:t>• 结售汇用途代码</w:t>
      </w:r>
    </w:p>
    <w:p>
      <w:pPr>
        <w:spacing w:line="360" w:lineRule="auto" w:before="0" w:after="60"/>
        <w:ind w:left="480"/>
      </w:pPr>
      <w:r>
        <w:rPr>
          <w:rFonts w:ascii="Times New Roman" w:hAnsi="Times New Roman" w:eastAsia="宋体"/>
          <w:b w:val="0"/>
          <w:sz w:val="24"/>
        </w:rPr>
        <w:t>• 外汇账户收支申报代码</w:t>
      </w:r>
    </w:p>
    <w:p>
      <w:pPr>
        <w:spacing w:line="360" w:lineRule="auto" w:before="0" w:after="0"/>
        <w:ind w:firstLine="480"/>
      </w:pPr>
      <w:r>
        <w:rPr>
          <w:rFonts w:ascii="Times New Roman" w:hAnsi="Times New Roman" w:eastAsia="宋体"/>
          <w:b w:val="0"/>
          <w:sz w:val="24"/>
        </w:rPr>
        <w:t>上述字段在交易主表中预留，后续可根据监管要求扩展报送功能。</w:t>
      </w:r>
    </w:p>
    <w:p>
      <w:pPr>
        <w:spacing w:line="360" w:lineRule="auto" w:before="240" w:after="120"/>
      </w:pPr>
      <w:r>
        <w:rPr>
          <w:rFonts w:ascii="Times New Roman" w:hAnsi="Times New Roman" w:eastAsia="黑体"/>
          <w:b/>
          <w:sz w:val="28"/>
        </w:rPr>
        <w:t>6.2  接口需求</w:t>
      </w:r>
    </w:p>
    <w:p>
      <w:pPr>
        <w:spacing w:line="360" w:lineRule="auto" w:before="0" w:after="0"/>
        <w:ind w:firstLine="480"/>
      </w:pPr>
      <w:r>
        <w:rPr>
          <w:rFonts w:ascii="Times New Roman" w:hAnsi="Times New Roman" w:eastAsia="宋体"/>
          <w:b w:val="0"/>
          <w:sz w:val="24"/>
        </w:rPr>
        <w:t>系统采用 RESTful 风格的接口设计，前后端通过 HTTP 协议进行数据交互，数据格式统一采用 JSON。主要接口分组包括：</w:t>
      </w:r>
    </w:p>
    <w:tbl>
      <w:tblPr>
        <w:tblStyle w:val="TableGrid"/>
        <w:tblW w:type="auto" w:w="0"/>
        <w:jc w:val="center"/>
        <w:tblLook w:firstColumn="1" w:firstRow="1" w:lastColumn="0" w:lastRow="0" w:noHBand="0" w:noVBand="1" w:val="04A0"/>
      </w:tblPr>
      <w:tblGrid>
        <w:gridCol w:w="4150"/>
        <w:gridCol w:w="4150"/>
      </w:tblGrid>
      <w:tr>
        <w:tc>
          <w:tcPr>
            <w:tcW w:type="dxa" w:w="2268"/>
          </w:tcPr>
          <w:p>
            <w:pPr>
              <w:jc w:val="center"/>
            </w:pPr>
            <w:r/>
            <w:r>
              <w:rPr>
                <w:rFonts w:ascii="Times New Roman" w:hAnsi="Times New Roman" w:eastAsia="黑体"/>
                <w:b/>
                <w:sz w:val="21"/>
              </w:rPr>
              <w:t>接口分组</w:t>
            </w:r>
          </w:p>
        </w:tc>
        <w:tc>
          <w:tcPr>
            <w:tcW w:type="dxa" w:w="5953"/>
          </w:tcPr>
          <w:p>
            <w:pPr>
              <w:jc w:val="center"/>
            </w:pPr>
            <w:r/>
            <w:r>
              <w:rPr>
                <w:rFonts w:ascii="Times New Roman" w:hAnsi="Times New Roman" w:eastAsia="黑体"/>
                <w:b/>
                <w:sz w:val="21"/>
              </w:rPr>
              <w:t>主要功能</w:t>
            </w:r>
          </w:p>
        </w:tc>
      </w:tr>
      <w:tr>
        <w:tc>
          <w:tcPr>
            <w:tcW w:type="dxa" w:w="2268"/>
          </w:tcPr>
          <w:p>
            <w:pPr>
              <w:jc w:val="left"/>
            </w:pPr>
            <w:r/>
            <w:r>
              <w:rPr>
                <w:rFonts w:ascii="Times New Roman" w:hAnsi="Times New Roman" w:eastAsia="宋体"/>
                <w:b w:val="0"/>
                <w:sz w:val="21"/>
              </w:rPr>
              <w:t>认证接口</w:t>
            </w:r>
          </w:p>
        </w:tc>
        <w:tc>
          <w:tcPr>
            <w:tcW w:type="dxa" w:w="5953"/>
          </w:tcPr>
          <w:p>
            <w:pPr>
              <w:jc w:val="left"/>
            </w:pPr>
            <w:r/>
            <w:r>
              <w:rPr>
                <w:rFonts w:ascii="Times New Roman" w:hAnsi="Times New Roman" w:eastAsia="宋体"/>
                <w:b w:val="0"/>
                <w:sz w:val="21"/>
              </w:rPr>
              <w:t>用户登录、登出、获取当前用户信息</w:t>
            </w:r>
          </w:p>
        </w:tc>
      </w:tr>
      <w:tr>
        <w:tc>
          <w:tcPr>
            <w:tcW w:type="dxa" w:w="2268"/>
          </w:tcPr>
          <w:p>
            <w:pPr>
              <w:jc w:val="left"/>
            </w:pPr>
            <w:r/>
            <w:r>
              <w:rPr>
                <w:rFonts w:ascii="Times New Roman" w:hAnsi="Times New Roman" w:eastAsia="宋体"/>
                <w:b w:val="0"/>
                <w:sz w:val="21"/>
              </w:rPr>
              <w:t>牌价接口</w:t>
            </w:r>
          </w:p>
        </w:tc>
        <w:tc>
          <w:tcPr>
            <w:tcW w:type="dxa" w:w="5953"/>
          </w:tcPr>
          <w:p>
            <w:pPr>
              <w:jc w:val="left"/>
            </w:pPr>
            <w:r/>
            <w:r>
              <w:rPr>
                <w:rFonts w:ascii="Times New Roman" w:hAnsi="Times New Roman" w:eastAsia="宋体"/>
                <w:b w:val="0"/>
                <w:sz w:val="21"/>
              </w:rPr>
              <w:t>即期、远期、掉期牌价查询</w:t>
            </w:r>
          </w:p>
        </w:tc>
      </w:tr>
      <w:tr>
        <w:tc>
          <w:tcPr>
            <w:tcW w:type="dxa" w:w="2268"/>
          </w:tcPr>
          <w:p>
            <w:pPr>
              <w:jc w:val="left"/>
            </w:pPr>
            <w:r/>
            <w:r>
              <w:rPr>
                <w:rFonts w:ascii="Times New Roman" w:hAnsi="Times New Roman" w:eastAsia="宋体"/>
                <w:b w:val="0"/>
                <w:sz w:val="21"/>
              </w:rPr>
              <w:t>交易接口</w:t>
            </w:r>
          </w:p>
        </w:tc>
        <w:tc>
          <w:tcPr>
            <w:tcW w:type="dxa" w:w="5953"/>
          </w:tcPr>
          <w:p>
            <w:pPr>
              <w:jc w:val="left"/>
            </w:pPr>
            <w:r/>
            <w:r>
              <w:rPr>
                <w:rFonts w:ascii="Times New Roman" w:hAnsi="Times New Roman" w:eastAsia="宋体"/>
                <w:b w:val="0"/>
                <w:sz w:val="21"/>
              </w:rPr>
              <w:t>交易录入、详情查询、列表查询、审批操作、存续期操作</w:t>
            </w:r>
          </w:p>
        </w:tc>
      </w:tr>
      <w:tr>
        <w:tc>
          <w:tcPr>
            <w:tcW w:type="dxa" w:w="2268"/>
          </w:tcPr>
          <w:p>
            <w:pPr>
              <w:jc w:val="left"/>
            </w:pPr>
            <w:r/>
            <w:r>
              <w:rPr>
                <w:rFonts w:ascii="Times New Roman" w:hAnsi="Times New Roman" w:eastAsia="宋体"/>
                <w:b w:val="0"/>
                <w:sz w:val="21"/>
              </w:rPr>
              <w:t>期权接口</w:t>
            </w:r>
          </w:p>
        </w:tc>
        <w:tc>
          <w:tcPr>
            <w:tcW w:type="dxa" w:w="5953"/>
          </w:tcPr>
          <w:p>
            <w:pPr>
              <w:jc w:val="left"/>
            </w:pPr>
            <w:r/>
            <w:r>
              <w:rPr>
                <w:rFonts w:ascii="Times New Roman" w:hAnsi="Times New Roman" w:eastAsia="宋体"/>
                <w:b w:val="0"/>
                <w:sz w:val="21"/>
              </w:rPr>
              <w:t>期权录入、详情、列表、工作台、行权/放弃、期权费交割</w:t>
            </w:r>
          </w:p>
        </w:tc>
      </w:tr>
      <w:tr>
        <w:tc>
          <w:tcPr>
            <w:tcW w:type="dxa" w:w="2268"/>
          </w:tcPr>
          <w:p>
            <w:pPr>
              <w:jc w:val="left"/>
            </w:pPr>
            <w:r/>
            <w:r>
              <w:rPr>
                <w:rFonts w:ascii="Times New Roman" w:hAnsi="Times New Roman" w:eastAsia="宋体"/>
                <w:b w:val="0"/>
                <w:sz w:val="21"/>
              </w:rPr>
              <w:t>任务接口</w:t>
            </w:r>
          </w:p>
        </w:tc>
        <w:tc>
          <w:tcPr>
            <w:tcW w:type="dxa" w:w="5953"/>
          </w:tcPr>
          <w:p>
            <w:pPr>
              <w:jc w:val="left"/>
            </w:pPr>
            <w:r/>
            <w:r>
              <w:rPr>
                <w:rFonts w:ascii="Times New Roman" w:hAnsi="Times New Roman" w:eastAsia="宋体"/>
                <w:b w:val="0"/>
                <w:sz w:val="21"/>
              </w:rPr>
              <w:t>待办任务查询、认领、完成、取消</w:t>
            </w:r>
          </w:p>
        </w:tc>
      </w:tr>
      <w:tr>
        <w:tc>
          <w:tcPr>
            <w:tcW w:type="dxa" w:w="2268"/>
          </w:tcPr>
          <w:p>
            <w:pPr>
              <w:jc w:val="left"/>
            </w:pPr>
            <w:r/>
            <w:r>
              <w:rPr>
                <w:rFonts w:ascii="Times New Roman" w:hAnsi="Times New Roman" w:eastAsia="宋体"/>
                <w:b w:val="0"/>
                <w:sz w:val="21"/>
              </w:rPr>
              <w:t>客户接口</w:t>
            </w:r>
          </w:p>
        </w:tc>
        <w:tc>
          <w:tcPr>
            <w:tcW w:type="dxa" w:w="5953"/>
          </w:tcPr>
          <w:p>
            <w:pPr>
              <w:jc w:val="left"/>
            </w:pPr>
            <w:r/>
            <w:r>
              <w:rPr>
                <w:rFonts w:ascii="Times New Roman" w:hAnsi="Times New Roman" w:eastAsia="宋体"/>
                <w:b w:val="0"/>
                <w:sz w:val="21"/>
              </w:rPr>
              <w:t>客户与账户管理</w:t>
            </w:r>
          </w:p>
        </w:tc>
      </w:tr>
      <w:tr>
        <w:tc>
          <w:tcPr>
            <w:tcW w:type="dxa" w:w="2268"/>
          </w:tcPr>
          <w:p>
            <w:pPr>
              <w:jc w:val="left"/>
            </w:pPr>
            <w:r/>
            <w:r>
              <w:rPr>
                <w:rFonts w:ascii="Times New Roman" w:hAnsi="Times New Roman" w:eastAsia="宋体"/>
                <w:b w:val="0"/>
                <w:sz w:val="21"/>
              </w:rPr>
              <w:t>基础数据接口</w:t>
            </w:r>
          </w:p>
        </w:tc>
        <w:tc>
          <w:tcPr>
            <w:tcW w:type="dxa" w:w="5953"/>
          </w:tcPr>
          <w:p>
            <w:pPr>
              <w:jc w:val="left"/>
            </w:pPr>
            <w:r/>
            <w:r>
              <w:rPr>
                <w:rFonts w:ascii="Times New Roman" w:hAnsi="Times New Roman" w:eastAsia="宋体"/>
                <w:b w:val="0"/>
                <w:sz w:val="21"/>
              </w:rPr>
              <w:t>用户、机构、角色、授信、保证金、系统参数管理</w:t>
            </w:r>
          </w:p>
        </w:tc>
      </w:tr>
      <w:tr>
        <w:tc>
          <w:tcPr>
            <w:tcW w:type="dxa" w:w="2268"/>
          </w:tcPr>
          <w:p>
            <w:pPr>
              <w:jc w:val="left"/>
            </w:pPr>
            <w:r/>
            <w:r>
              <w:rPr>
                <w:rFonts w:ascii="Times New Roman" w:hAnsi="Times New Roman" w:eastAsia="宋体"/>
                <w:b w:val="0"/>
                <w:sz w:val="21"/>
              </w:rPr>
              <w:t>定时任务接口</w:t>
            </w:r>
          </w:p>
        </w:tc>
        <w:tc>
          <w:tcPr>
            <w:tcW w:type="dxa" w:w="5953"/>
          </w:tcPr>
          <w:p>
            <w:pPr>
              <w:jc w:val="left"/>
            </w:pPr>
            <w:r/>
            <w:r>
              <w:rPr>
                <w:rFonts w:ascii="Times New Roman" w:hAnsi="Times New Roman" w:eastAsia="宋体"/>
                <w:b w:val="0"/>
                <w:sz w:val="21"/>
              </w:rPr>
              <w:t>定时任务查询与手动执行</w:t>
            </w:r>
          </w:p>
        </w:tc>
      </w:tr>
    </w:tbl>
    <w:p>
      <w:pPr>
        <w:spacing w:line="360" w:lineRule="auto" w:before="0" w:after="0"/>
        <w:ind w:firstLine="480"/>
      </w:pPr>
      <w:r>
        <w:rPr>
          <w:rFonts w:ascii="Times New Roman" w:hAnsi="Times New Roman" w:eastAsia="宋体"/>
          <w:b w:val="0"/>
          <w:sz w:val="24"/>
        </w:rPr>
      </w:r>
    </w:p>
    <w:p>
      <w:pPr>
        <w:spacing w:line="360" w:lineRule="auto" w:before="0" w:after="0"/>
        <w:ind w:firstLine="480"/>
      </w:pPr>
      <w:r>
        <w:rPr>
          <w:rFonts w:ascii="Times New Roman" w:hAnsi="Times New Roman" w:eastAsia="宋体"/>
          <w:b w:val="0"/>
          <w:sz w:val="24"/>
        </w:rPr>
        <w:t>系统所有接口均返回统一的响应结构，包含返回码、提示信息与业务数据，便于前端统一处理与错误提示。</w:t>
      </w:r>
    </w:p>
    <w:p>
      <w:pPr>
        <w:spacing w:line="360" w:lineRule="auto" w:before="0" w:after="0"/>
        <w:ind w:firstLine="480"/>
      </w:pPr>
      <w:r>
        <w:rPr>
          <w:rFonts w:ascii="Times New Roman" w:hAnsi="Times New Roman" w:eastAsia="宋体"/>
          <w:b w:val="0"/>
          <w:sz w:val="24"/>
        </w:rPr>
      </w:r>
    </w:p>
    <w:p>
      <w:pPr>
        <w:spacing w:line="360" w:lineRule="auto" w:before="0" w:after="0"/>
        <w:ind w:firstLine="480"/>
      </w:pPr>
      <w:r>
        <w:rPr>
          <w:rFonts w:ascii="Times New Roman" w:hAnsi="Times New Roman" w:eastAsia="宋体"/>
          <w:b w:val="0"/>
          <w:sz w:val="24"/>
        </w:rPr>
      </w:r>
    </w:p>
    <w:p>
      <w:pPr>
        <w:spacing w:line="360" w:lineRule="auto" w:before="0" w:after="0"/>
        <w:jc w:val="center"/>
      </w:pPr>
      <w:r>
        <w:rPr>
          <w:rFonts w:ascii="Times New Roman" w:hAnsi="Times New Roman" w:eastAsia="黑体"/>
          <w:b/>
          <w:sz w:val="24"/>
        </w:rPr>
        <w:t>—— 文档结束 ——</w:t>
      </w:r>
    </w:p>
    <w:sectPr w:rsidR="00FC693F" w:rsidRPr="0006063C" w:rsidSect="00034616">
      <w:pgSz w:w="11906" w:h="16838"/>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