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800"/>
        <w:ind w:firstLine="480"/>
      </w:pPr>
    </w:p>
    <w:p>
      <w:pPr>
        <w:spacing w:before="0" w:after="200"/>
        <w:jc w:val="center"/>
      </w:pPr>
      <w:r>
        <w:rPr>
          <w:rFonts w:ascii="Arial" w:hAnsi="Arial" w:eastAsia="黑体" w:cs="Arial"/>
          <w:b/>
          <w:sz w:val="48"/>
        </w:rPr>
        <w:t>AI 蛋白质结构模型技术栈对比报告</w:t>
      </w:r>
    </w:p>
    <w:p>
      <w:pPr>
        <w:spacing w:before="0" w:after="600"/>
        <w:jc w:val="center"/>
      </w:pPr>
      <w:r>
        <w:rPr>
          <w:rFonts w:ascii="Arial" w:hAnsi="Arial" w:eastAsia="黑体" w:cs="Arial"/>
          <w:b/>
          <w:sz w:val="28"/>
        </w:rPr>
        <w:t>—— 显式坐标表示 vs Token 表示 · Embedding 学习范式系统梳理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color w:val="555555"/>
          <w:sz w:val="22"/>
        </w:rPr>
        <w:t>覆盖模型：RFD4-Proteina · OpenDDE · AnewOmni · ATOMICA（参照系：ESM2 / AlphaFold3）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color w:val="555555"/>
          <w:sz w:val="22"/>
        </w:rPr>
        <w:t>整理日期：2026 年 10 月 29 日</w:t>
      </w:r>
    </w:p>
    <w:p>
      <w:r>
        <w:br w:type="page"/>
      </w:r>
    </w:p>
    <w:p>
      <w:pPr>
        <w:spacing w:before="0" w:after="280"/>
        <w:jc w:val="center"/>
      </w:pPr>
      <w:r>
        <w:rPr>
          <w:rFonts w:ascii="Arial" w:hAnsi="Arial" w:eastAsia="黑体" w:cs="Arial"/>
          <w:b/>
          <w:sz w:val="36"/>
        </w:rPr>
        <w:t>目  录</w:t>
      </w:r>
    </w:p>
    <w:p>
      <w:pPr>
        <w:spacing w:after="120" w:line="312" w:lineRule="auto"/>
        <w:ind w:left="0"/>
      </w:pPr>
      <w:r>
        <w:rPr>
          <w:rFonts w:ascii="Times New Roman" w:hAnsi="Times New Roman" w:eastAsia="宋体" w:cs="Times New Roman"/>
          <w:b/>
          <w:sz w:val="24"/>
        </w:rPr>
        <w:t>一、导论：为什么表示方式是这场范式之争的核心</w:t>
      </w:r>
    </w:p>
    <w:p>
      <w:pPr>
        <w:spacing w:after="120" w:line="312" w:lineRule="auto"/>
        <w:ind w:left="0"/>
      </w:pPr>
      <w:r>
        <w:rPr>
          <w:rFonts w:ascii="Times New Roman" w:hAnsi="Times New Roman" w:eastAsia="宋体" w:cs="Times New Roman"/>
          <w:b/>
          <w:sz w:val="24"/>
        </w:rPr>
        <w:t>二、两种结构表示路线的根本分野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（一）显式坐标表示：用尺子量着画图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（二）主链 Token 表示：用语言描述构图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（三）Embedding：连接现实世界与神经网络的桥梁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（四）为什么生成/设计类模型不需要 MSA 与 Pairformer</w:t>
      </w:r>
    </w:p>
    <w:p>
      <w:pPr>
        <w:spacing w:after="120" w:line="312" w:lineRule="auto"/>
        <w:ind w:left="0"/>
      </w:pPr>
      <w:r>
        <w:rPr>
          <w:rFonts w:ascii="Times New Roman" w:hAnsi="Times New Roman" w:eastAsia="宋体" w:cs="Times New Roman"/>
          <w:b/>
          <w:sz w:val="24"/>
        </w:rPr>
        <w:t>三、五个模型逐个拆解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（一）RFD4-Proteina：物理监督的全原子设计器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（二）OpenDDE：Token 化的多分子共折叠预测器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（三）AnewOmni：积木块拆解 + 全原子 VAE 的跨模态生成器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（四）ATOMICA：纯几何深度学习的全原子界面表征器</w:t>
      </w:r>
    </w:p>
    <w:p>
      <w:pPr>
        <w:spacing w:after="120" w:line="312" w:lineRule="auto"/>
        <w:ind w:left="420"/>
      </w:pPr>
      <w:r>
        <w:rPr>
          <w:rFonts w:ascii="Times New Roman" w:hAnsi="Times New Roman" w:eastAsia="宋体" w:cs="Times New Roman"/>
          <w:b w:val="0"/>
          <w:sz w:val="22"/>
        </w:rPr>
        <w:t>（五）参照系：ESM2（序列）与 AlphaFold3（预测）</w:t>
      </w:r>
    </w:p>
    <w:p>
      <w:pPr>
        <w:spacing w:after="120" w:line="312" w:lineRule="auto"/>
        <w:ind w:left="0"/>
      </w:pPr>
      <w:r>
        <w:rPr>
          <w:rFonts w:ascii="Times New Roman" w:hAnsi="Times New Roman" w:eastAsia="宋体" w:cs="Times New Roman"/>
          <w:b/>
          <w:sz w:val="24"/>
        </w:rPr>
        <w:t>四、完整技术栈对比总表</w:t>
      </w:r>
    </w:p>
    <w:p>
      <w:pPr>
        <w:spacing w:after="120" w:line="312" w:lineRule="auto"/>
        <w:ind w:left="0"/>
      </w:pPr>
      <w:r>
        <w:rPr>
          <w:rFonts w:ascii="Times New Roman" w:hAnsi="Times New Roman" w:eastAsia="宋体" w:cs="Times New Roman"/>
          <w:b/>
          <w:sz w:val="24"/>
        </w:rPr>
        <w:t>五、“表示 → Embedding → 生成”三段式速记</w:t>
      </w:r>
    </w:p>
    <w:p>
      <w:pPr>
        <w:spacing w:after="120" w:line="312" w:lineRule="auto"/>
        <w:ind w:left="0"/>
      </w:pPr>
      <w:r>
        <w:rPr>
          <w:rFonts w:ascii="Times New Roman" w:hAnsi="Times New Roman" w:eastAsia="宋体" w:cs="Times New Roman"/>
          <w:b/>
          <w:sz w:val="24"/>
        </w:rPr>
        <w:t>六、贯穿全局的三条主线与学习建议</w:t>
      </w:r>
    </w:p>
    <w:p>
      <w:r>
        <w:br w:type="page"/>
      </w:r>
    </w:p>
    <w:p>
      <w:pPr>
        <w:keepNext/>
        <w:spacing w:before="320" w:after="160"/>
      </w:pPr>
      <w:r>
        <w:rPr>
          <w:rFonts w:ascii="Arial" w:hAnsi="Arial" w:eastAsia="黑体" w:cs="Arial"/>
          <w:b/>
          <w:sz w:val="36"/>
        </w:rPr>
        <w:t>一、导论：为什么表示方式是这场范式之争的核心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过去十年，深度学习在蛋白质结构领域完成了从「序列预测」到「全原子生成」的跃迁。一个反复出现、却常被一句带过的根本问题是：模型究竟用什么方式来「表示」一个分子？这个看似工程化的选择，实际上决定了模型能学什么、擅长什么、以及为什么需要（或不需要）多序列比对（MSA）等外部信息。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本报告基于对 RFD4-Proteina、OpenDDE、AnewOmni、ATOMICA 四个模型以及 ESM2、AlphaFold3 两个参照系的连续技术讨论，把散落在多轮问答中的要点整理为一份可查询、可分享的学习材料。全文遵循一条主线：分子必须先被「表示」、再被「嵌入（Embedding）」为向量，才能进入神经网络训练；而不同模型在「表示 → Embedding → 生成」这三段上的取舍，恰好构成了当前领域的几条主要技术路线。</w:t>
      </w:r>
    </w:p>
    <w:p>
      <w:pPr>
        <w:keepNext/>
        <w:spacing w:before="320" w:after="160"/>
      </w:pPr>
      <w:r>
        <w:rPr>
          <w:rFonts w:ascii="Arial" w:hAnsi="Arial" w:eastAsia="黑体" w:cs="Arial"/>
          <w:b/>
          <w:sz w:val="36"/>
        </w:rPr>
        <w:t>二、两种结构表示路线的根本分野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（一）显式坐标表示：用尺子量着画图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形态与逻辑：</w:t>
      </w:r>
      <w:r>
        <w:rPr>
          <w:rFonts w:ascii="Times New Roman" w:hAnsi="Times New Roman" w:eastAsia="宋体" w:cs="Times New Roman"/>
          <w:b w:val="0"/>
          <w:sz w:val="24"/>
        </w:rPr>
        <w:t>直接输入或生成原子在三维空间中的坐标（x, y, z 浮点数），把分子当作物理实体来对待，模型直接学习原子在空间中的几何排布、距离与角度。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架构要求：</w:t>
      </w:r>
      <w:r>
        <w:rPr>
          <w:rFonts w:ascii="Times New Roman" w:hAnsi="Times New Roman" w:eastAsia="宋体" w:cs="Times New Roman"/>
          <w:b w:val="0"/>
          <w:sz w:val="24"/>
        </w:rPr>
        <w:t>通常需要等变神经网络（Equivariant Networks）或几何注意力，以满足旋转、平移的对称性；对键长、键角等几何约束高度敏感。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物理保真度：</w:t>
      </w:r>
      <w:r>
        <w:rPr>
          <w:rFonts w:ascii="Times New Roman" w:hAnsi="Times New Roman" w:eastAsia="宋体" w:cs="Times New Roman"/>
          <w:b w:val="0"/>
          <w:sz w:val="24"/>
        </w:rPr>
        <w:t>极高。因为直接优化坐标并可引入物理力场监督，生成结果极少违背化学常识，适合高精度侧链打包与催化中心设计。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局限：</w:t>
      </w:r>
      <w:r>
        <w:rPr>
          <w:rFonts w:ascii="Times New Roman" w:hAnsi="Times New Roman" w:eastAsia="宋体" w:cs="Times New Roman"/>
          <w:b w:val="0"/>
          <w:sz w:val="24"/>
        </w:rPr>
        <w:t>计算开销较大，且难以直接复用大语言模型在海量序列上预训练得到的「语义先验」。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（二）主链 Token 表示：用语言描述构图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形态与逻辑：</w:t>
      </w:r>
      <w:r>
        <w:rPr>
          <w:rFonts w:ascii="Times New Roman" w:hAnsi="Times New Roman" w:eastAsia="宋体" w:cs="Times New Roman"/>
          <w:b w:val="0"/>
          <w:sz w:val="24"/>
        </w:rPr>
        <w:t>把主链几何（N/CA/C/O 的相对位置、二面角等）压缩或离散化为高维向量（Token），把分子当作语义语言来对待，让模型通过 Token「理解」折叠状态。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架构要求：</w:t>
      </w:r>
      <w:r>
        <w:rPr>
          <w:rFonts w:ascii="Times New Roman" w:hAnsi="Times New Roman" w:eastAsia="宋体" w:cs="Times New Roman"/>
          <w:b w:val="0"/>
          <w:sz w:val="24"/>
        </w:rPr>
        <w:t>天然契合标准 Transformer，可用自注意力 / 图注意力做长程依赖推理，把三维几何问题转成「序列/图推理」问题。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优势：</w:t>
      </w:r>
      <w:r>
        <w:rPr>
          <w:rFonts w:ascii="Times New Roman" w:hAnsi="Times New Roman" w:eastAsia="宋体" w:cs="Times New Roman"/>
          <w:b w:val="0"/>
          <w:sz w:val="24"/>
        </w:rPr>
        <w:t>推理能力强、易于扩展（Scaling），便于把结构 Token、序列 Token、配体 Token 统一进同一框架做多模态联合推理。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局限：</w:t>
      </w:r>
      <w:r>
        <w:rPr>
          <w:rFonts w:ascii="Times New Roman" w:hAnsi="Times New Roman" w:eastAsia="宋体" w:cs="Times New Roman"/>
          <w:b w:val="0"/>
          <w:sz w:val="24"/>
        </w:rPr>
        <w:t>从抽象 Token 还原到精确原子坐标时会丢失部分高频几何细节，通常需要额外的结构细化（Refinement）步骤。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（三）Embedding：连接现实世界与神经网络的桥梁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一个容易被忽略但极为关键的事实：无论是离散的 Token 还是连续的坐标，神经网络都无法「直接看懂」，都必须经过 Embedding 变成高维向量。两条路线最终都通向向量，但「变向量」的机制截然不同。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Token 路线——查表与语义映射：Token 只是一个离散编号，模型维护一张巨大的 Embedding 矩阵，用查表把编号映射为浮点向量；这张矩阵本身就是可学习参数，训练使理化性质相近的 Token 在向量空间中彼此靠近。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坐标路线——几何投影与物理先验：坐标是连续量且受旋转平移影响，不能查表，需经几何处理层或等变网络把相对坐标、距离、角度投影为几何特征向量；不同残基原子数不同，还需「类型化坐标编码」统一成等长张量。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因此，「坐标还是 Token」的分歧，本质不是「要不要 Embedding」——两者都要——而是 Embedding 的监督信号与计算形态不同。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（四）为什么生成/设计类模型不需要 MSA 与 Pairformer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很多预测模型（AlphaFold2/3、部分借鉴 AF 架构的 OpenDDE）依赖 MSA 与 Pairformer，本质是在做一场「依赖外部进化信息的拼图游戏」：通过同源序列提取残基间的协同进化信号，再用 Pairformer 把它转成残基对的空间约束。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而 RFD4-Proteina 等生成/设计模型面对的主链，往往是自然界不存在的「孤儿骨架」，数据库里根本没有同源序列，MSA 检索会直接失效。它们的目标不是「还原自然」，而是「创造自然」——直接学习键长、键角、空间位阻、疏水作用等底层物理化学规律。任务本质决定了：生成范式（流匹配、连续空间去噪）天然排斥离散的 MSA 查表操作。</w:t>
      </w:r>
    </w:p>
    <w:p>
      <w:pPr>
        <w:keepNext/>
        <w:spacing w:before="320" w:after="160"/>
      </w:pPr>
      <w:r>
        <w:rPr>
          <w:rFonts w:ascii="Arial" w:hAnsi="Arial" w:eastAsia="黑体" w:cs="Arial"/>
          <w:b/>
          <w:sz w:val="36"/>
        </w:rPr>
        <w:t>三、五个模型逐个拆解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（一）RFD4-Proteina：物理监督的全原子设计器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任务：从头设计 / 侧链打包，追求原子级精度的全原子生成。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输入表示：主链用显式坐标（锚原子 N/CA/C/O），侧链压缩为固定 32 维连续 latent。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Embedding：由专用自编码器从头学，解码受 Rosetta 能量函数显式监督，是确定性的物理驱动向量。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生成范式：部分隐变量流匹配（Partially-latent Flow Matching），在连续空间直接去噪。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侧链原子数可变性：不靠虚拟原子填充掩盖差异，而是把化学身份与构象编码进 latent，解码时强制还原真实拓扑——正因如此反而降低了侧链失真。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代表成绩：PackBench 侧链打包原子位置误差约 0.82Å，接近实验精度。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（二）OpenDDE：Token 化的多分子共折叠预测器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任务：多分子复合物（蛋白-核酸-配体，如抗体-抗原）的结构共折叠预测。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输入表示：把残基显式展开为 Backbone Token 与 Side-chain Token 等独立图节点。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Embedding：由 Structural Refiner 从头学，通过 Pair-conditioned Attention 与三角更新让 Token 相互「协商」几何一致性。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生成范式：Token 推理后，仍需底层扩散生成器映射回三维坐标，并需查 steric clash 做后处理。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MSA：借鉴 AlphaFold 的 Pairformer 架构，对天然复合物保留进化信号。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（三）AnewOmni：积木块拆解 + 全原子 VAE 的跨模态生成器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拆解方式：基于化学先验的分层「积木块（Building Blocks）」——标准氨基酸/核苷酸直接保留；小分子与非天然氨基酸拆为数据库挖掘的高频片段；罕见子结构兜底拆到单原子。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关键点：building block 主要靠化学直觉与数据库统计频率「找」出来，而非模型自动聚类学出。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编码方式：用全原子 VAE 把积木块的三维几何压缩到连续的共享几何隐空间（概率分布），没有训练离散 Token 词表（非 VQ 路线）。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生成范式：在光滑连续隐空间做扩散生成，再解码回真实三维结构；物理约束偏隐式，依赖数据分布，需物理合理性后验证。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定位：跨模态泛化强（小分子↔多肽↔抗体），但原子级侧链精度弱于专业打包工具。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（四）ATOMICA：纯几何深度学习的全原子界面表征器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输入表示：直接接收任意两个相互作用分子的全原子三维坐标，纯显式坐标、无离散 Token。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结构表示：分层几何图——原子级 → 化学块级（氨基酸、核苷酸）→ 分子界面级。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核心机制：SE(3)-等变网络做结构感知消息传递，严格满足三维空间对称性，直接从距离/角度学氢键、范德华力。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训练范式：自监督去噪 + 掩码化学块预测；Embedding 由等变 GNN 从头学，输出连续的分层嵌入。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定位：界面相互作用建模与表征的骨干，下游可接设计任务。</w:t>
      </w:r>
    </w:p>
    <w:p>
      <w:pPr>
        <w:keepNext/>
        <w:spacing w:before="220" w:after="120"/>
      </w:pPr>
      <w:r>
        <w:rPr>
          <w:rFonts w:ascii="Arial" w:hAnsi="Arial" w:eastAsia="黑体" w:cs="Arial"/>
          <w:b/>
          <w:sz w:val="30"/>
        </w:rPr>
        <w:t>（五）参照系：ESM2（序列）与 AlphaFold3（预测）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为看清上述四者坐标，引入两个参照系。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ESM2（序列模型）：</w:t>
      </w:r>
      <w:r>
        <w:rPr>
          <w:rFonts w:ascii="Times New Roman" w:hAnsi="Times New Roman" w:eastAsia="宋体" w:cs="Times New Roman"/>
          <w:b w:val="0"/>
          <w:sz w:val="24"/>
        </w:rPr>
        <w:t>本质是蛋白质语言模型，通过掩码语言建模（MLM）自监督学习一套优秀的序列 Embedding。它不依赖任何结构数据，仅靠「根据上下文猜被遮住的氨基酸」，就把理化性质、进化规律与共进化关系压进 1280 维向量。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AlphaFold3（预测模型）：</w:t>
      </w:r>
      <w:r>
        <w:rPr>
          <w:rFonts w:ascii="Times New Roman" w:hAnsi="Times New Roman" w:eastAsia="宋体" w:cs="Times New Roman"/>
          <w:b w:val="0"/>
          <w:sz w:val="24"/>
        </w:rPr>
        <w:t>结构预测的标杆，依赖 MSA + Pairformer 提取进化共进化信号，代表「还原自然」路线的成熟形态。</w:t>
      </w:r>
    </w:p>
    <w:p>
      <w:pPr>
        <w:keepNext/>
        <w:spacing w:before="320" w:after="160"/>
      </w:pPr>
      <w:r>
        <w:rPr>
          <w:rFonts w:ascii="Arial" w:hAnsi="Arial" w:eastAsia="黑体" w:cs="Arial"/>
          <w:b/>
          <w:sz w:val="36"/>
        </w:rPr>
        <w:t>四、完整技术栈对比总表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下表把上述模型（含两个参照系）按完整技术栈横向铺开，是全文的速查核心。</w:t>
      </w:r>
    </w:p>
    <w:p>
      <w:pPr>
        <w:spacing w:before="80" w:after="120"/>
        <w:jc w:val="center"/>
      </w:pPr>
      <w:r>
        <w:rPr>
          <w:rFonts w:ascii="Arial" w:hAnsi="Arial" w:eastAsia="黑体" w:cs="Arial"/>
          <w:b/>
          <w:sz w:val="21"/>
        </w:rPr>
        <w:t>表 1  AI 蛋白质结构模型完整技术栈对比总表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BB0C4"/>
          <w:left w:val="single" w:sz="6" w:space="0" w:color="9BB0C4"/>
          <w:bottom w:val="single" w:sz="6" w:space="0" w:color="9BB0C4"/>
          <w:right w:val="single" w:sz="6" w:space="0" w:color="9BB0C4"/>
          <w:insideH w:val="single" w:sz="6" w:space="0" w:color="9BB0C4"/>
          <w:insideV w:val="single" w:sz="6" w:space="0" w:color="9BB0C4"/>
        </w:tblBorders>
        <w:tblLayout w:type="fixed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304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34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RFD4-Proteina</w:t>
            </w:r>
          </w:p>
        </w:tc>
        <w:tc>
          <w:tcPr>
            <w:tcW w:type="dxa" w:w="1134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OpenDDE</w:t>
            </w:r>
          </w:p>
        </w:tc>
        <w:tc>
          <w:tcPr>
            <w:tcW w:type="dxa" w:w="1162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AnewOmni</w:t>
            </w:r>
          </w:p>
        </w:tc>
        <w:tc>
          <w:tcPr>
            <w:tcW w:type="dxa" w:w="1134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ATOMICA</w:t>
            </w:r>
          </w:p>
        </w:tc>
        <w:tc>
          <w:tcPr>
            <w:tcW w:type="dxa" w:w="964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ESM2</w:t>
            </w:r>
          </w:p>
        </w:tc>
        <w:tc>
          <w:tcPr>
            <w:tcW w:type="dxa" w:w="992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AlphaFold3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核心定位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全原子设计/生成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多分子共折叠预测</w:t>
            </w:r>
          </w:p>
        </w:tc>
        <w:tc>
          <w:tcPr>
            <w:tcW w:type="dxa" w:w="116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跨模态分子生成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互作界面表征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序列语义建模</w:t>
            </w:r>
          </w:p>
        </w:tc>
        <w:tc>
          <w:tcPr>
            <w:tcW w:type="dxa" w:w="99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结构预测</w:t>
            </w:r>
          </w:p>
        </w:tc>
      </w:tr>
      <w:tr>
        <w:tc>
          <w:tcPr>
            <w:tcW w:type="dxa" w:w="130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输入形态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主链坐标+约束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序列+结构Token图</w:t>
            </w:r>
          </w:p>
        </w:tc>
        <w:tc>
          <w:tcPr>
            <w:tcW w:type="dxa" w:w="116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积木块拆解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两分子全原子坐标</w:t>
            </w:r>
          </w:p>
        </w:tc>
        <w:tc>
          <w:tcPr>
            <w:tcW w:type="dxa" w:w="96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氨基酸序列</w:t>
            </w:r>
          </w:p>
        </w:tc>
        <w:tc>
          <w:tcPr>
            <w:tcW w:type="dxa" w:w="99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序列(+模板/配体)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主链表示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显式坐标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Backbone Token</w:t>
            </w:r>
          </w:p>
        </w:tc>
        <w:tc>
          <w:tcPr>
            <w:tcW w:type="dxa" w:w="116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随功能单元统一编码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显式原子坐标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无(纯序列)</w:t>
            </w:r>
          </w:p>
        </w:tc>
        <w:tc>
          <w:tcPr>
            <w:tcW w:type="dxa" w:w="99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内部几何</w:t>
            </w:r>
          </w:p>
        </w:tc>
      </w:tr>
      <w:tr>
        <w:tc>
          <w:tcPr>
            <w:tcW w:type="dxa" w:w="130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侧链表示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压缩为32D latent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展开为SC Token</w:t>
            </w:r>
          </w:p>
        </w:tc>
        <w:tc>
          <w:tcPr>
            <w:tcW w:type="dxa" w:w="116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按功能单元入latent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显式坐标→化学块层</w:t>
            </w:r>
          </w:p>
        </w:tc>
        <w:tc>
          <w:tcPr>
            <w:tcW w:type="dxa" w:w="96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</w:t>
            </w:r>
          </w:p>
        </w:tc>
        <w:tc>
          <w:tcPr>
            <w:tcW w:type="dxa" w:w="99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内部几何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Embedding来源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自编码器从头学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Refiner从头学</w:t>
            </w:r>
          </w:p>
        </w:tc>
        <w:tc>
          <w:tcPr>
            <w:tcW w:type="dxa" w:w="116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全原子VAE从头学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等变GNN从头学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MLM从头学</w:t>
            </w:r>
          </w:p>
        </w:tc>
        <w:tc>
          <w:tcPr>
            <w:tcW w:type="dxa" w:w="99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训练学习</w:t>
            </w:r>
          </w:p>
        </w:tc>
      </w:tr>
      <w:tr>
        <w:tc>
          <w:tcPr>
            <w:tcW w:type="dxa" w:w="130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隐空间性质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确定性32D向量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无全局latent</w:t>
            </w:r>
          </w:p>
        </w:tc>
        <w:tc>
          <w:tcPr>
            <w:tcW w:type="dxa" w:w="116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连续共享几何隐空间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连续分层嵌入</w:t>
            </w:r>
          </w:p>
        </w:tc>
        <w:tc>
          <w:tcPr>
            <w:tcW w:type="dxa" w:w="96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1280D序列向量</w:t>
            </w:r>
          </w:p>
        </w:tc>
        <w:tc>
          <w:tcPr>
            <w:tcW w:type="dxa" w:w="99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内部表示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离散词表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是(结构Token)</w:t>
            </w:r>
          </w:p>
        </w:tc>
        <w:tc>
          <w:tcPr>
            <w:tcW w:type="dxa" w:w="116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否(连续latent)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否(氨基酸20)</w:t>
            </w:r>
          </w:p>
        </w:tc>
        <w:tc>
          <w:tcPr>
            <w:tcW w:type="dxa" w:w="99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</w:tr>
      <w:tr>
        <w:tc>
          <w:tcPr>
            <w:tcW w:type="dxa" w:w="130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生成/训练目标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流匹配+RMSD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扩散+形状互补</w:t>
            </w:r>
          </w:p>
        </w:tc>
        <w:tc>
          <w:tcPr>
            <w:tcW w:type="dxa" w:w="116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隐空间扩散+ELBO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去噪+掩码预测</w:t>
            </w:r>
          </w:p>
        </w:tc>
        <w:tc>
          <w:tcPr>
            <w:tcW w:type="dxa" w:w="96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掩码语言建模</w:t>
            </w:r>
          </w:p>
        </w:tc>
        <w:tc>
          <w:tcPr>
            <w:tcW w:type="dxa" w:w="99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结构拟合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物理约束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显式(Rosetta)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显式几何</w:t>
            </w:r>
          </w:p>
        </w:tc>
        <w:tc>
          <w:tcPr>
            <w:tcW w:type="dxa" w:w="116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隐式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隐式+等变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</w:t>
            </w:r>
          </w:p>
        </w:tc>
        <w:tc>
          <w:tcPr>
            <w:tcW w:type="dxa" w:w="99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显式几何</w:t>
            </w:r>
          </w:p>
        </w:tc>
      </w:tr>
      <w:tr>
        <w:tc>
          <w:tcPr>
            <w:tcW w:type="dxa" w:w="130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依赖MSA/Pairformer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借鉴AF</w:t>
            </w:r>
          </w:p>
        </w:tc>
        <w:tc>
          <w:tcPr>
            <w:tcW w:type="dxa" w:w="116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type="dxa" w:w="96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type="dxa" w:w="99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跨模态能力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弱(聚焦蛋白)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中(蛋白-核酸-配体)</w:t>
            </w:r>
          </w:p>
        </w:tc>
        <w:tc>
          <w:tcPr>
            <w:tcW w:type="dxa" w:w="116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强(小分子↔多肽↔抗体)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中(任意两分子界面)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无(仅序列)</w:t>
            </w:r>
          </w:p>
        </w:tc>
        <w:tc>
          <w:tcPr>
            <w:tcW w:type="dxa" w:w="99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</w:tr>
      <w:tr>
        <w:tc>
          <w:tcPr>
            <w:tcW w:type="dxa" w:w="130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侧链精度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SOTA(~0.82Å)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原子级高</w:t>
            </w:r>
          </w:p>
        </w:tc>
        <w:tc>
          <w:tcPr>
            <w:tcW w:type="dxa" w:w="116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弱于专用打包</w:t>
            </w:r>
          </w:p>
        </w:tc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非专长</w:t>
            </w:r>
          </w:p>
        </w:tc>
        <w:tc>
          <w:tcPr>
            <w:tcW w:type="dxa" w:w="96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</w:t>
            </w:r>
          </w:p>
        </w:tc>
        <w:tc>
          <w:tcPr>
            <w:tcW w:type="dxa" w:w="992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最适用场景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酶设计/侧链打包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抗体-抗原界面</w:t>
            </w:r>
          </w:p>
        </w:tc>
        <w:tc>
          <w:tcPr>
            <w:tcW w:type="dxa" w:w="116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跨模态药物/环肽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界面建模/表征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功能/进化分析</w:t>
            </w:r>
          </w:p>
        </w:tc>
        <w:tc>
          <w:tcPr>
            <w:tcW w:type="dxa" w:w="992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天然结构预测</w:t>
            </w:r>
          </w:p>
        </w:tc>
      </w:tr>
    </w:tbl>
    <w:p>
      <w:pPr>
        <w:keepNext/>
        <w:spacing w:before="320" w:after="160"/>
      </w:pPr>
      <w:r>
        <w:rPr>
          <w:rFonts w:ascii="Arial" w:hAnsi="Arial" w:eastAsia="黑体" w:cs="Arial"/>
          <w:b/>
          <w:sz w:val="36"/>
        </w:rPr>
        <w:t>五、“表示 → Embedding → 生成”三段式速记</w:t>
      </w:r>
    </w:p>
    <w:p>
      <w:pPr>
        <w:spacing w:before="0" w:after="16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把最关键、最容易记混的三层逻辑单独抽出，便于一眼看懂路线分野。</w:t>
      </w:r>
    </w:p>
    <w:p>
      <w:pPr>
        <w:spacing w:before="80" w:after="120"/>
        <w:jc w:val="center"/>
      </w:pPr>
      <w:r>
        <w:rPr>
          <w:rFonts w:ascii="Arial" w:hAnsi="Arial" w:eastAsia="黑体" w:cs="Arial"/>
          <w:b/>
          <w:sz w:val="21"/>
        </w:rPr>
        <w:t>表 2  「表示 → Embedding → 生成」三段式速记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BB0C4"/>
          <w:left w:val="single" w:sz="6" w:space="0" w:color="9BB0C4"/>
          <w:bottom w:val="single" w:sz="6" w:space="0" w:color="9BB0C4"/>
          <w:right w:val="single" w:sz="6" w:space="0" w:color="9BB0C4"/>
          <w:insideH w:val="single" w:sz="6" w:space="0" w:color="9BB0C4"/>
          <w:insideV w:val="single" w:sz="6" w:space="0" w:color="9BB0C4"/>
        </w:tblBorders>
        <w:tblLayout w:type="fixed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381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表示层（怎么看分子）</w:t>
            </w:r>
          </w:p>
        </w:tc>
        <w:tc>
          <w:tcPr>
            <w:tcW w:type="dxa" w:w="2211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Embedding 层（怎么变向量）</w:t>
            </w:r>
          </w:p>
        </w:tc>
        <w:tc>
          <w:tcPr>
            <w:tcW w:type="dxa" w:w="2211"/>
            <w:shd w:val="clear" w:color="auto" w:fill="2E4B73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生成/推理层（怎么出结果）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RFD4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主链量坐标 + 侧链压 32D latent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物理监督自编码器（确定性）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连续空间流匹配去噪</w:t>
            </w:r>
          </w:p>
        </w:tc>
      </w:tr>
      <w:tr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OpenDDE</w:t>
            </w:r>
          </w:p>
        </w:tc>
        <w:tc>
          <w:tcPr>
            <w:tcW w:type="dxa" w:w="2381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主链/侧链拆成 Token 节点</w:t>
            </w:r>
          </w:p>
        </w:tc>
        <w:tc>
          <w:tcPr>
            <w:tcW w:type="dxa" w:w="2211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图上 Pair-conditioned 注意力自学</w:t>
            </w:r>
          </w:p>
        </w:tc>
        <w:tc>
          <w:tcPr>
            <w:tcW w:type="dxa" w:w="2211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Token 推理 + 底层扩散回坐标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AnewOmni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按化学积木块拆 + 统一隐空间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全原子 VAE（概率分布）</w:t>
            </w:r>
          </w:p>
        </w:tc>
        <w:tc>
          <w:tcPr>
            <w:tcW w:type="dxa" w:w="2211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隐空间扩散生成</w:t>
            </w:r>
          </w:p>
        </w:tc>
      </w:tr>
      <w:tr>
        <w:tc>
          <w:tcPr>
            <w:tcW w:type="dxa" w:w="1134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ATOMICA</w:t>
            </w:r>
          </w:p>
        </w:tc>
        <w:tc>
          <w:tcPr>
            <w:tcW w:type="dxa" w:w="2381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直接看全原子坐标的分层图</w:t>
            </w:r>
          </w:p>
        </w:tc>
        <w:tc>
          <w:tcPr>
            <w:tcW w:type="dxa" w:w="2211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SE(3) 等变 GNN 分层嵌入</w:t>
            </w:r>
          </w:p>
        </w:tc>
        <w:tc>
          <w:tcPr>
            <w:tcW w:type="dxa" w:w="2211"/>
            <w:shd w:val="clear" w:color="auto" w:fill="EAF0F6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去噪/掩码预测（表征为主）</w:t>
            </w:r>
          </w:p>
        </w:tc>
      </w:tr>
    </w:tbl>
    <w:p>
      <w:pPr>
        <w:keepNext/>
        <w:spacing w:before="320" w:after="160"/>
      </w:pPr>
      <w:r>
        <w:rPr>
          <w:rFonts w:ascii="Arial" w:hAnsi="Arial" w:eastAsia="黑体" w:cs="Arial"/>
          <w:b/>
          <w:sz w:val="36"/>
        </w:rPr>
        <w:t>六、贯穿全局的三条主线与学习建议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主线一 ·「压 vs 展」是表示层的分水岭：</w:t>
      </w:r>
      <w:r>
        <w:rPr>
          <w:rFonts w:ascii="Times New Roman" w:hAnsi="Times New Roman" w:eastAsia="宋体" w:cs="Times New Roman"/>
          <w:b w:val="0"/>
          <w:sz w:val="24"/>
        </w:rPr>
        <w:t>RFD4/AnewOmni 把侧链压进连续 latent（换取统一维度与高效生成）；OpenDDE/ATOMICA 把侧链显式铺开（换取原子级细节与界面精度）。这是 trade-off，没有统一最优解。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主线二 · Embedding 全是「自学」，差别只在监督信号：</w:t>
      </w:r>
      <w:r>
        <w:rPr>
          <w:rFonts w:ascii="Times New Roman" w:hAnsi="Times New Roman" w:eastAsia="宋体" w:cs="Times New Roman"/>
          <w:b w:val="0"/>
          <w:sz w:val="24"/>
        </w:rPr>
        <w:t>没有一个模型在查现成词表。RFD4 靠物理力场、OpenDDE 靠图几何一致性、AnewOmni 靠 VAE 数据分布、ATOMICA 靠等变对称性——同样是从头学向量，监督信号决定了 latent 的物理保真度。</w:t>
      </w:r>
    </w:p>
    <w:p>
      <w:pPr>
        <w:spacing w:after="160" w:line="360" w:lineRule="auto"/>
        <w:ind w:firstLine="480"/>
      </w:pPr>
      <w:r>
        <w:rPr>
          <w:rFonts w:ascii="Arial" w:hAnsi="Arial" w:eastAsia="黑体" w:cs="Arial"/>
          <w:b/>
          <w:sz w:val="24"/>
        </w:rPr>
        <w:t>主线三 · MSA 只在「还原自然」时必要：</w:t>
      </w:r>
      <w:r>
        <w:rPr>
          <w:rFonts w:ascii="Times New Roman" w:hAnsi="Times New Roman" w:eastAsia="宋体" w:cs="Times New Roman"/>
          <w:b w:val="0"/>
          <w:sz w:val="24"/>
        </w:rPr>
        <w:t>预测类模型需要进化共进化信号；生成/设计类面对自然界不存在的全新骨架，转而直接学底层物理化学规律，因而天然脱离 MSA 查表。</w:t>
      </w:r>
    </w:p>
    <w:p>
      <w:pPr>
        <w:keepNext/>
        <w:spacing w:before="160" w:after="80"/>
      </w:pPr>
      <w:r>
        <w:rPr>
          <w:rFonts w:ascii="Arial" w:hAnsi="Arial" w:eastAsia="黑体" w:cs="Arial"/>
          <w:b/>
          <w:sz w:val="26"/>
        </w:rPr>
        <w:t>学习建议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先建立「表示 → Embedding → 生成」三段式思维框架，再往里填每个模型的具体做法，比孤立记忆名词更稳。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对比记忆「压 latent」与「展 Token」两大阵营，并始终追问：这个模型的物理约束是显式还是隐式？</w:t>
      </w:r>
    </w:p>
    <w:p>
      <w:pPr>
        <w:spacing w:after="80" w:line="336" w:lineRule="auto"/>
        <w:ind w:left="480" w:firstLine="0"/>
      </w:pPr>
      <w:r>
        <w:rPr>
          <w:rFonts w:ascii="Times New Roman" w:hAnsi="Times New Roman" w:eastAsia="宋体" w:cs="Times New Roman"/>
          <w:b w:val="0"/>
          <w:sz w:val="24"/>
        </w:rPr>
        <w:t>• 当任务从「预测天然结构」转向「从头设计新结构」时，主动把 MSA/Pairformer 从心智模型里剔除，转而从物理世界模型的角度理解 RFD4 一类模型。</w:t>
      </w:r>
    </w:p>
    <w:p>
      <w:pPr>
        <w:spacing w:before="360" w:after="0"/>
        <w:jc w:val="center"/>
      </w:pPr>
      <w:r>
        <w:rPr>
          <w:rFonts w:ascii="Times New Roman" w:hAnsi="Times New Roman" w:eastAsia="宋体" w:cs="Times New Roman"/>
          <w:b w:val="0"/>
          <w:color w:val="555555"/>
          <w:sz w:val="21"/>
        </w:rPr>
        <w:t>（本报告由多轮技术问答整理归纳而成，供学习与内部分享使用。）</w:t>
      </w:r>
    </w:p>
    <w:sectPr w:rsidR="003856E5" w:rsidRPr="000C32D4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5B6E" w14:textId="77777777" w:rsidR="00F432CD" w:rsidRDefault="00F432CD" w:rsidP="00351F34">
      <w:r>
        <w:separator/>
      </w:r>
    </w:p>
  </w:endnote>
  <w:endnote w:type="continuationSeparator" w:id="0">
    <w:p w14:paraId="6276EABF" w14:textId="77777777" w:rsidR="00F432CD" w:rsidRDefault="00F432CD" w:rsidP="0035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29C09E0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5F5F6BE9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CE1BF" w14:textId="77777777" w:rsidR="00F432CD" w:rsidRDefault="00F432CD" w:rsidP="00351F34">
      <w:r>
        <w:separator/>
      </w:r>
    </w:p>
  </w:footnote>
  <w:footnote w:type="continuationSeparator" w:id="0">
    <w:p w14:paraId="2DFF1D87" w14:textId="77777777" w:rsidR="00F432CD" w:rsidRDefault="00F432CD" w:rsidP="00351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056FA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wangqing</cp:lastModifiedBy>
  <cp:revision>29</cp:revision>
  <dcterms:created xsi:type="dcterms:W3CDTF">2025-08-04T03:15:00Z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