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0D277681" w:rsidR="00C924EF" w:rsidRDefault="00000000">
      <w:pPr>
        <w:spacing w:after="218"/>
        <w:ind w:left="10" w:hanging="10"/>
        <w:jc w:val="center"/>
      </w:pPr>
      <w:r>
        <w:t>Due: 09/30/2022 at 5pm</w:t>
      </w:r>
    </w:p>
    <w:p w14:paraId="046611EE" w14:textId="554709B7" w:rsidR="00165982" w:rsidRDefault="00165982">
      <w:pPr>
        <w:spacing w:after="218"/>
        <w:ind w:left="10" w:hanging="10"/>
        <w:jc w:val="center"/>
      </w:pPr>
      <w:r>
        <w:t>Roxy Zhang rz2570</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proofErr w:type="gramStart"/>
      <w:r>
        <w:t>it’s</w:t>
      </w:r>
      <w:proofErr w:type="spellEnd"/>
      <w:proofErr w:type="gramEnd"/>
      <w:r>
        <w:t xml:space="preserve"> glucose tolerance test.</w:t>
      </w:r>
    </w:p>
    <w:p w14:paraId="2DA09992" w14:textId="77777777"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 xml:space="preserve">Glucose intolerant at end of study? (Yes or </w:t>
            </w:r>
            <w:proofErr w:type="gramStart"/>
            <w:r>
              <w:t>No</w:t>
            </w:r>
            <w:proofErr w:type="gramEnd"/>
            <w:r>
              <w:t>)</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5A2CD4AD" w14:textId="5FD9658B" w:rsidR="00FA0302" w:rsidRDefault="00FA0302" w:rsidP="00FA0302">
      <w:pPr>
        <w:numPr>
          <w:ilvl w:val="0"/>
          <w:numId w:val="2"/>
        </w:numPr>
      </w:pPr>
      <w:r>
        <w:rPr>
          <w:noProof/>
        </w:rPr>
        <w:drawing>
          <wp:anchor distT="0" distB="0" distL="114300" distR="114300" simplePos="0" relativeHeight="251659264" behindDoc="0" locked="0" layoutInCell="1" allowOverlap="1" wp14:anchorId="0DA4E88B" wp14:editId="115153A5">
            <wp:simplePos x="0" y="0"/>
            <wp:positionH relativeFrom="column">
              <wp:posOffset>1597378</wp:posOffset>
            </wp:positionH>
            <wp:positionV relativeFrom="paragraph">
              <wp:posOffset>321310</wp:posOffset>
            </wp:positionV>
            <wp:extent cx="2452370" cy="2414905"/>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2370" cy="2414905"/>
                    </a:xfrm>
                    <a:prstGeom prst="rect">
                      <a:avLst/>
                    </a:prstGeom>
                  </pic:spPr>
                </pic:pic>
              </a:graphicData>
            </a:graphic>
            <wp14:sizeRelH relativeFrom="page">
              <wp14:pctWidth>0</wp14:pctWidth>
            </wp14:sizeRelH>
            <wp14:sizeRelV relativeFrom="page">
              <wp14:pctHeight>0</wp14:pctHeight>
            </wp14:sizeRelV>
          </wp:anchor>
        </w:drawing>
      </w:r>
      <w:r w:rsidR="00000000">
        <w:t>(5 points) We are interested in the causal effect of light at night on weight gain. Plot the outcome by treatment group.</w:t>
      </w:r>
    </w:p>
    <w:p w14:paraId="4F5E4B65" w14:textId="247866EA"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3A10F7CC" w14:textId="64A4E526" w:rsidR="004C0FFA" w:rsidRDefault="004C0FFA" w:rsidP="004C0FFA">
      <w:pPr>
        <w:ind w:left="289" w:firstLine="0"/>
        <w:rPr>
          <w:color w:val="0070C0"/>
        </w:rPr>
      </w:pPr>
      <w:r>
        <w:rPr>
          <w:color w:val="0070C0"/>
        </w:rPr>
        <w:lastRenderedPageBreak/>
        <w:t>Consider LD as dark, DM as dim, LL as bright.</w:t>
      </w:r>
    </w:p>
    <w:p w14:paraId="24F7E0B0" w14:textId="6D0570D5" w:rsidR="004C0FFA" w:rsidRDefault="004C0FFA" w:rsidP="004C0FFA">
      <w:pPr>
        <w:ind w:left="289" w:firstLine="0"/>
        <w:rPr>
          <w:color w:val="0070C0"/>
        </w:rPr>
      </w:pPr>
      <w:r>
        <w:rPr>
          <w:noProof/>
          <w:color w:val="0070C0"/>
        </w:rPr>
        <w:drawing>
          <wp:inline distT="0" distB="0" distL="0" distR="0" wp14:anchorId="04C6845B" wp14:editId="3F46F88B">
            <wp:extent cx="5943600"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270"/>
                    </a:xfrm>
                    <a:prstGeom prst="rect">
                      <a:avLst/>
                    </a:prstGeom>
                  </pic:spPr>
                </pic:pic>
              </a:graphicData>
            </a:graphic>
          </wp:inline>
        </w:drawing>
      </w:r>
    </w:p>
    <w:p w14:paraId="6F7F3E27" w14:textId="68E74217"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or whatever you want to call them). Everything specific to the context of your data (variable names, sample sizes) should only be in your R Script here. Everything else should be generic so you can copy/paste it for later use. What quantities will you need to evaluate the causal effect of light at night on weight gain?</w:t>
      </w:r>
    </w:p>
    <w:p w14:paraId="0ADF491F" w14:textId="7AE8AB1D" w:rsidR="00EC4283" w:rsidRDefault="00EC4283" w:rsidP="00EC4283">
      <w:pPr>
        <w:ind w:left="289" w:firstLine="0"/>
        <w:rPr>
          <w:color w:val="0070C0"/>
        </w:rPr>
      </w:pPr>
      <w:r w:rsidRPr="00EC4283">
        <w:rPr>
          <w:color w:val="0070C0"/>
        </w:rPr>
        <w:t>Rename</w:t>
      </w:r>
      <w:r>
        <w:rPr>
          <w:color w:val="0070C0"/>
        </w:rPr>
        <w:t xml:space="preserve"> light as “A”, </w:t>
      </w:r>
      <w:proofErr w:type="spellStart"/>
      <w:r>
        <w:rPr>
          <w:color w:val="0070C0"/>
        </w:rPr>
        <w:t>bm_gain</w:t>
      </w:r>
      <w:proofErr w:type="spellEnd"/>
      <w:r>
        <w:rPr>
          <w:color w:val="0070C0"/>
        </w:rPr>
        <w:t xml:space="preserve"> as “Y”.</w:t>
      </w:r>
      <w:r w:rsidR="00700BA8">
        <w:rPr>
          <w:color w:val="0070C0"/>
        </w:rPr>
        <w:t xml:space="preserve"> Re-code treatment “dark” as 0, “light” as 1.</w:t>
      </w:r>
    </w:p>
    <w:p w14:paraId="0608C2B6" w14:textId="0D51D7B9" w:rsidR="00EC4283" w:rsidRDefault="00700BA8" w:rsidP="00EC4283">
      <w:pPr>
        <w:ind w:left="289" w:firstLine="0"/>
        <w:rPr>
          <w:color w:val="0070C0"/>
        </w:rPr>
      </w:pPr>
      <w:r>
        <w:rPr>
          <w:noProof/>
          <w:color w:val="0070C0"/>
        </w:rPr>
        <w:drawing>
          <wp:inline distT="0" distB="0" distL="0" distR="0" wp14:anchorId="17CD8CB5" wp14:editId="257CC2B0">
            <wp:extent cx="5943600" cy="113411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14:paraId="6E9345C8" w14:textId="22E8F255" w:rsidR="003C4570" w:rsidRDefault="0079312F" w:rsidP="000654B0">
      <w:pPr>
        <w:ind w:left="289" w:firstLine="0"/>
        <w:rPr>
          <w:color w:val="0070C0"/>
        </w:rPr>
      </w:pPr>
      <w:r>
        <w:rPr>
          <w:color w:val="0070C0"/>
        </w:rPr>
        <w:t xml:space="preserve">Quantities needed to evaluate causal effect: </w:t>
      </w:r>
    </w:p>
    <w:p w14:paraId="676E571E" w14:textId="4CF83984" w:rsidR="003C4570" w:rsidRDefault="003C4570" w:rsidP="000654B0">
      <w:pPr>
        <w:ind w:left="289" w:firstLine="0"/>
        <w:rPr>
          <w:color w:val="0070C0"/>
        </w:rPr>
      </w:pPr>
      <w:r>
        <w:rPr>
          <w:color w:val="0070C0"/>
        </w:rPr>
        <w:t xml:space="preserve">Average outcome in the dark group: </w:t>
      </w:r>
      <w:r>
        <w:rPr>
          <w:color w:val="0070C0"/>
        </w:rPr>
        <w:t>E(Y</w:t>
      </w:r>
      <w:r w:rsidRPr="0079312F">
        <w:rPr>
          <w:color w:val="0070C0"/>
          <w:vertAlign w:val="subscript"/>
        </w:rPr>
        <w:t>i</w:t>
      </w:r>
      <w:r>
        <w:rPr>
          <w:color w:val="0070C0"/>
          <w:vertAlign w:val="subscript"/>
        </w:rPr>
        <w:t>0</w:t>
      </w:r>
      <w:r w:rsidRPr="003C4570">
        <w:rPr>
          <w:color w:val="0070C0"/>
        </w:rPr>
        <w:t>)</w:t>
      </w:r>
    </w:p>
    <w:p w14:paraId="643EAF35" w14:textId="4C197F4B" w:rsidR="003C4570" w:rsidRDefault="003C4570" w:rsidP="003C4570">
      <w:pPr>
        <w:ind w:left="289" w:firstLine="0"/>
        <w:rPr>
          <w:color w:val="0070C0"/>
        </w:rPr>
      </w:pPr>
      <w:r>
        <w:rPr>
          <w:color w:val="0070C0"/>
        </w:rPr>
        <w:t xml:space="preserve">Average outcome in </w:t>
      </w:r>
      <w:r>
        <w:rPr>
          <w:color w:val="0070C0"/>
        </w:rPr>
        <w:t>the bright</w:t>
      </w:r>
      <w:r>
        <w:rPr>
          <w:color w:val="0070C0"/>
        </w:rPr>
        <w:t xml:space="preserve"> group: E(Y</w:t>
      </w:r>
      <w:r w:rsidRPr="0079312F">
        <w:rPr>
          <w:color w:val="0070C0"/>
          <w:vertAlign w:val="subscript"/>
        </w:rPr>
        <w:t>i</w:t>
      </w:r>
      <w:r>
        <w:rPr>
          <w:color w:val="0070C0"/>
          <w:vertAlign w:val="subscript"/>
        </w:rPr>
        <w:t>1</w:t>
      </w:r>
      <w:r w:rsidRPr="003C4570">
        <w:rPr>
          <w:color w:val="0070C0"/>
        </w:rPr>
        <w:t>)</w:t>
      </w:r>
    </w:p>
    <w:p w14:paraId="52CA8C3F" w14:textId="2FDDB4D0" w:rsidR="00EC4283" w:rsidRPr="00EC4283" w:rsidRDefault="0079312F" w:rsidP="000654B0">
      <w:pPr>
        <w:ind w:left="289" w:firstLine="0"/>
        <w:rPr>
          <w:color w:val="0070C0"/>
        </w:rPr>
      </w:pPr>
      <w:r>
        <w:rPr>
          <w:color w:val="0070C0"/>
        </w:rPr>
        <w:t>Population average causal effect</w:t>
      </w:r>
      <w:r w:rsidR="000654B0">
        <w:rPr>
          <w:color w:val="0070C0"/>
        </w:rPr>
        <w:t xml:space="preserve"> (PACE)</w:t>
      </w:r>
      <w:r>
        <w:rPr>
          <w:color w:val="0070C0"/>
        </w:rPr>
        <w:t xml:space="preserve">: </w:t>
      </w:r>
      <w:proofErr w:type="gramStart"/>
      <w:r>
        <w:rPr>
          <w:color w:val="0070C0"/>
        </w:rPr>
        <w:t>E(</w:t>
      </w:r>
      <w:proofErr w:type="gramEnd"/>
      <w:r>
        <w:rPr>
          <w:color w:val="0070C0"/>
        </w:rPr>
        <w:t>Y</w:t>
      </w:r>
      <w:r w:rsidRPr="0079312F">
        <w:rPr>
          <w:color w:val="0070C0"/>
          <w:vertAlign w:val="subscript"/>
        </w:rPr>
        <w:t>i1</w:t>
      </w:r>
      <w:r>
        <w:rPr>
          <w:color w:val="0070C0"/>
        </w:rPr>
        <w:t xml:space="preserve"> – Y</w:t>
      </w:r>
      <w:r w:rsidRPr="0079312F">
        <w:rPr>
          <w:color w:val="0070C0"/>
          <w:vertAlign w:val="subscript"/>
        </w:rPr>
        <w:t>i0</w:t>
      </w:r>
      <w:r>
        <w:rPr>
          <w:color w:val="0070C0"/>
        </w:rPr>
        <w:t>)</w:t>
      </w:r>
    </w:p>
    <w:p w14:paraId="7F804BEF" w14:textId="7C842A92" w:rsidR="00C924EF" w:rsidRDefault="00000000">
      <w:pPr>
        <w:numPr>
          <w:ilvl w:val="0"/>
          <w:numId w:val="2"/>
        </w:numPr>
      </w:pPr>
      <w:r>
        <w:t xml:space="preserve">(10 points) Suppose we want the statistic to be the difference in means between the two treatment groups. Calculate </w:t>
      </w:r>
      <w:r>
        <w:rPr>
          <w:i/>
        </w:rPr>
        <w:t>T</w:t>
      </w:r>
      <w:r>
        <w:rPr>
          <w:i/>
          <w:vertAlign w:val="subscript"/>
        </w:rPr>
        <w:t>obs</w:t>
      </w:r>
      <w:r>
        <w:t>.</w:t>
      </w:r>
    </w:p>
    <w:p w14:paraId="756228B5" w14:textId="3E8D93AF" w:rsidR="00306D0F" w:rsidRDefault="00306D0F" w:rsidP="00306D0F">
      <w:pPr>
        <w:ind w:left="289" w:firstLine="0"/>
      </w:pPr>
      <w:r>
        <w:rPr>
          <w:color w:val="0070C0"/>
        </w:rPr>
        <w:t xml:space="preserve"> </w:t>
      </w:r>
      <w:r w:rsidRPr="00306D0F">
        <w:rPr>
          <w:iCs/>
          <w:color w:val="0070C0"/>
        </w:rPr>
        <w:t>T</w:t>
      </w:r>
      <w:r w:rsidRPr="00306D0F">
        <w:rPr>
          <w:iCs/>
          <w:color w:val="0070C0"/>
          <w:vertAlign w:val="subscript"/>
        </w:rPr>
        <w:t>obs</w:t>
      </w:r>
      <w:r w:rsidRPr="00306D0F">
        <w:rPr>
          <w:iCs/>
          <w:color w:val="0070C0"/>
        </w:rPr>
        <w:t xml:space="preserve"> </w:t>
      </w:r>
      <w:r>
        <w:rPr>
          <w:color w:val="0070C0"/>
        </w:rPr>
        <w:t xml:space="preserve">= </w:t>
      </w:r>
      <w:proofErr w:type="gramStart"/>
      <w:r>
        <w:rPr>
          <w:color w:val="0070C0"/>
        </w:rPr>
        <w:t>E(</w:t>
      </w:r>
      <w:proofErr w:type="gramEnd"/>
      <w:r>
        <w:rPr>
          <w:color w:val="0070C0"/>
        </w:rPr>
        <w:t>Y</w:t>
      </w:r>
      <w:r w:rsidRPr="0079312F">
        <w:rPr>
          <w:color w:val="0070C0"/>
          <w:vertAlign w:val="subscript"/>
        </w:rPr>
        <w:t>i1</w:t>
      </w:r>
      <w:r>
        <w:rPr>
          <w:color w:val="0070C0"/>
        </w:rPr>
        <w:t xml:space="preserve"> – Y</w:t>
      </w:r>
      <w:r w:rsidRPr="0079312F">
        <w:rPr>
          <w:color w:val="0070C0"/>
          <w:vertAlign w:val="subscript"/>
        </w:rPr>
        <w:t>i0</w:t>
      </w:r>
      <w:r>
        <w:rPr>
          <w:color w:val="0070C0"/>
        </w:rPr>
        <w:t>)</w:t>
      </w:r>
      <w:r w:rsidR="000608E3">
        <w:rPr>
          <w:color w:val="0070C0"/>
        </w:rPr>
        <w:t xml:space="preserve"> = </w:t>
      </w:r>
      <w:r w:rsidR="00BF66DE">
        <w:rPr>
          <w:color w:val="0070C0"/>
        </w:rPr>
        <w:t>5.08</w:t>
      </w:r>
      <w:r>
        <w:rPr>
          <w:color w:val="0070C0"/>
        </w:rPr>
        <w:t xml:space="preserve">, where </w:t>
      </w:r>
      <w:r>
        <w:rPr>
          <w:color w:val="0070C0"/>
        </w:rPr>
        <w:t>Y</w:t>
      </w:r>
      <w:r w:rsidRPr="0079312F">
        <w:rPr>
          <w:color w:val="0070C0"/>
          <w:vertAlign w:val="subscript"/>
        </w:rPr>
        <w:t>i1</w:t>
      </w:r>
      <w:r>
        <w:rPr>
          <w:color w:val="0070C0"/>
        </w:rPr>
        <w:t xml:space="preserve"> stands for outcome in the bright group, </w:t>
      </w:r>
      <w:r>
        <w:rPr>
          <w:color w:val="0070C0"/>
        </w:rPr>
        <w:t>Y</w:t>
      </w:r>
      <w:r w:rsidRPr="0079312F">
        <w:rPr>
          <w:color w:val="0070C0"/>
          <w:vertAlign w:val="subscript"/>
        </w:rPr>
        <w:t>i1</w:t>
      </w:r>
      <w:r>
        <w:rPr>
          <w:color w:val="0070C0"/>
          <w:vertAlign w:val="subscript"/>
        </w:rPr>
        <w:t xml:space="preserve"> </w:t>
      </w:r>
      <w:r>
        <w:rPr>
          <w:color w:val="0070C0"/>
        </w:rPr>
        <w:t xml:space="preserve">stands for outcome in </w:t>
      </w:r>
      <w:r w:rsidR="00A001A0">
        <w:rPr>
          <w:color w:val="0070C0"/>
        </w:rPr>
        <w:t xml:space="preserve">the </w:t>
      </w:r>
      <w:r>
        <w:rPr>
          <w:color w:val="0070C0"/>
        </w:rPr>
        <w:t>dark group</w:t>
      </w:r>
      <w:r w:rsidR="00A001A0">
        <w:rPr>
          <w:color w:val="0070C0"/>
        </w:rPr>
        <w:t>.</w:t>
      </w:r>
    </w:p>
    <w:p w14:paraId="4A3146FE" w14:textId="5F994905" w:rsidR="002D410F" w:rsidRDefault="00000000" w:rsidP="002D410F">
      <w:pPr>
        <w:numPr>
          <w:ilvl w:val="0"/>
          <w:numId w:val="2"/>
        </w:numPr>
      </w:pPr>
      <w:r>
        <w:t xml:space="preserve">(10 points) How many different possibilities are there for </w:t>
      </w:r>
      <w:r>
        <w:rPr>
          <w:i/>
        </w:rPr>
        <w:t>A</w:t>
      </w:r>
      <w:r>
        <w:t xml:space="preserve">? Enumerate </w:t>
      </w:r>
      <w:proofErr w:type="gramStart"/>
      <w:r>
        <w:t>all of</w:t>
      </w:r>
      <w:proofErr w:type="gramEnd"/>
      <w:r>
        <w:t xml:space="preserve">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16932F84" w14:textId="7D58B704" w:rsidR="002D410F" w:rsidRDefault="002D410F" w:rsidP="002D410F">
      <w:pPr>
        <w:ind w:left="289" w:firstLine="0"/>
        <w:rPr>
          <w:color w:val="0070C0"/>
        </w:rPr>
      </w:pPr>
      <w:proofErr w:type="gramStart"/>
      <w:r>
        <w:rPr>
          <w:color w:val="0070C0"/>
        </w:rPr>
        <w:t xml:space="preserve">Used  </w:t>
      </w:r>
      <w:proofErr w:type="spellStart"/>
      <w:r w:rsidRPr="002D410F">
        <w:rPr>
          <w:i/>
          <w:iCs/>
          <w:color w:val="0070C0"/>
        </w:rPr>
        <w:t>genperm</w:t>
      </w:r>
      <w:proofErr w:type="spellEnd"/>
      <w:proofErr w:type="gramEnd"/>
      <w:r w:rsidRPr="002D410F">
        <w:rPr>
          <w:i/>
          <w:iCs/>
          <w:color w:val="0070C0"/>
        </w:rPr>
        <w:t xml:space="preserve">() </w:t>
      </w:r>
      <w:r>
        <w:rPr>
          <w:color w:val="0070C0"/>
        </w:rPr>
        <w:t xml:space="preserve">function in </w:t>
      </w:r>
      <w:proofErr w:type="spellStart"/>
      <w:r w:rsidRPr="002D410F">
        <w:rPr>
          <w:i/>
          <w:iCs/>
          <w:color w:val="0070C0"/>
        </w:rPr>
        <w:t>ri</w:t>
      </w:r>
      <w:proofErr w:type="spellEnd"/>
      <w:r>
        <w:rPr>
          <w:color w:val="0070C0"/>
        </w:rPr>
        <w:t>.</w:t>
      </w:r>
    </w:p>
    <w:p w14:paraId="4F721494" w14:textId="32BE22A2" w:rsidR="002D410F" w:rsidRDefault="002D410F" w:rsidP="002D410F">
      <w:pPr>
        <w:ind w:left="289" w:firstLine="0"/>
      </w:pPr>
      <w:r>
        <w:rPr>
          <w:noProof/>
        </w:rPr>
        <w:lastRenderedPageBreak/>
        <w:drawing>
          <wp:inline distT="0" distB="0" distL="0" distR="0" wp14:anchorId="43436676" wp14:editId="2A61F621">
            <wp:extent cx="5943600" cy="44380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14:paraId="0384E74F" w14:textId="4D4E114B"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 xml:space="preserve">(10 points) Plot this </w:t>
      </w:r>
      <w:proofErr w:type="gramStart"/>
      <w:r>
        <w:t>distribution, and</w:t>
      </w:r>
      <w:proofErr w:type="gramEnd"/>
      <w:r>
        <w:t xml:space="preserve">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955E61"/>
    <w:multiLevelType w:val="hybridMultilevel"/>
    <w:tmpl w:val="E258D4B2"/>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0608E3"/>
    <w:rsid w:val="000654B0"/>
    <w:rsid w:val="00165982"/>
    <w:rsid w:val="002D410F"/>
    <w:rsid w:val="00306D0F"/>
    <w:rsid w:val="003C4570"/>
    <w:rsid w:val="004C0FFA"/>
    <w:rsid w:val="00700BA8"/>
    <w:rsid w:val="00717AE6"/>
    <w:rsid w:val="0079312F"/>
    <w:rsid w:val="00A001A0"/>
    <w:rsid w:val="00BF66DE"/>
    <w:rsid w:val="00C924EF"/>
    <w:rsid w:val="00EC4283"/>
    <w:rsid w:val="00FA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11</cp:revision>
  <dcterms:created xsi:type="dcterms:W3CDTF">2022-09-29T18:34:00Z</dcterms:created>
  <dcterms:modified xsi:type="dcterms:W3CDTF">2022-09-29T21:38:00Z</dcterms:modified>
</cp:coreProperties>
</file>