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微软雅黑" w:hAnsi="微软雅黑" w:eastAsia="微软雅黑"/>
          <w:b/>
          <w:color w:val="123047"/>
          <w:sz w:val="50"/>
        </w:rPr>
        <w:t>FedLLM / LRB 阶段性工作进展与实验结果汇总</w:t>
      </w:r>
    </w:p>
    <w:p>
      <w:pPr>
        <w:spacing w:after="360"/>
        <w:jc w:val="center"/>
      </w:pPr>
      <w:r>
        <w:rPr>
          <w:rFonts w:ascii="微软雅黑" w:hAnsi="微软雅黑" w:eastAsia="微软雅黑"/>
          <w:color w:val="53606C"/>
          <w:sz w:val="25"/>
        </w:rPr>
        <w:t>基于现有分析文档、DAGER defense baselines、utility runs 与 LRB ablation runs</w:t>
      </w:r>
    </w:p>
    <w:tbl>
      <w:tblPr>
        <w:tblStyle w:val="TableGrid"/>
        <w:tblW w:type="auto" w:w="0"/>
        <w:jc w:val="center"/>
        <w:tblLook w:firstColumn="1" w:firstRow="1" w:lastColumn="0" w:lastRow="0" w:noHBand="0" w:noVBand="1" w:val="04A0"/>
      </w:tblPr>
      <w:tblGrid>
        <w:gridCol w:w="6871"/>
        <w:gridCol w:w="6871"/>
      </w:tblGrid>
      <w:tr>
        <w:tc>
          <w:tcPr>
            <w:tcW w:type="dxa" w:w="2268"/>
            <w:vAlign w:val="center"/>
            <w:shd w:fill="D9EAF7"/>
          </w:tcPr>
          <w:p>
            <w:pPr>
              <w:spacing w:after="0" w:line="252" w:lineRule="auto"/>
              <w:jc w:val="center"/>
            </w:pPr>
            <w:r>
              <w:rPr>
                <w:rFonts w:ascii="微软雅黑" w:hAnsi="微软雅黑" w:eastAsia="微软雅黑"/>
                <w:b/>
                <w:color w:val="123047"/>
                <w:sz w:val="19"/>
              </w:rPr>
            </w:r>
            <w:r>
              <w:rPr>
                <w:rFonts w:ascii="微软雅黑" w:hAnsi="微软雅黑" w:eastAsia="微软雅黑"/>
                <w:b/>
                <w:color w:val="123047"/>
                <w:sz w:val="19"/>
              </w:rPr>
              <w:t>项目</w:t>
            </w:r>
          </w:p>
        </w:tc>
        <w:tc>
          <w:tcPr>
            <w:tcW w:type="dxa" w:w="7087"/>
            <w:vAlign w:val="center"/>
            <w:shd w:fill="D9EAF7"/>
          </w:tcPr>
          <w:p>
            <w:pPr>
              <w:spacing w:after="0" w:line="252" w:lineRule="auto"/>
              <w:jc w:val="center"/>
            </w:pPr>
            <w:r>
              <w:rPr>
                <w:rFonts w:ascii="微软雅黑" w:hAnsi="微软雅黑" w:eastAsia="微软雅黑"/>
                <w:b/>
                <w:color w:val="123047"/>
                <w:sz w:val="19"/>
              </w:rPr>
            </w:r>
            <w:r>
              <w:rPr>
                <w:rFonts w:ascii="微软雅黑" w:hAnsi="微软雅黑" w:eastAsia="微软雅黑"/>
                <w:b/>
                <w:color w:val="123047"/>
                <w:sz w:val="19"/>
              </w:rPr>
              <w:t>内容</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整理日期</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2026-05-05</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主数据集 / 模型</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SST2 / GPT-2 fine-tuned checkpoint</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主攻击面</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Full-gradient DAGER</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主方法候选</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Projection-LRB / LRB-lite（由消融结果支持）</w:t>
            </w:r>
          </w:p>
        </w:tc>
      </w:tr>
      <w:tr>
        <w:tc>
          <w:tcPr>
            <w:tcW w:type="dxa" w:w="2268"/>
            <w:vAlign w:val="center"/>
          </w:tcPr>
          <w:p>
            <w:pPr>
              <w:spacing w:after="0" w:line="252" w:lineRule="auto"/>
              <w:jc w:val="center"/>
            </w:pPr>
            <w:r>
              <w:rPr>
                <w:rFonts w:ascii="微软雅黑" w:hAnsi="微软雅黑" w:eastAsia="微软雅黑"/>
                <w:b/>
                <w:color w:val="1F2933"/>
                <w:sz w:val="19"/>
              </w:rPr>
            </w:r>
            <w:r>
              <w:rPr>
                <w:rFonts w:ascii="微软雅黑" w:hAnsi="微软雅黑" w:eastAsia="微软雅黑"/>
                <w:b/>
                <w:color w:val="1F2933"/>
                <w:sz w:val="19"/>
              </w:rPr>
              <w:t>主要日志来源</w:t>
            </w:r>
          </w:p>
        </w:tc>
        <w:tc>
          <w:tcPr>
            <w:tcW w:type="dxa" w:w="7087"/>
            <w:vAlign w:val="center"/>
          </w:tcPr>
          <w:p>
            <w:pPr>
              <w:spacing w:after="0" w:line="252" w:lineRule="auto"/>
              <w:jc w:val="left"/>
            </w:pPr>
            <w:r>
              <w:rPr>
                <w:rFonts w:ascii="微软雅黑" w:hAnsi="微软雅黑" w:eastAsia="微软雅黑"/>
                <w:color w:val="1F2933"/>
                <w:sz w:val="19"/>
              </w:rPr>
            </w:r>
            <w:r>
              <w:rPr>
                <w:rFonts w:ascii="微软雅黑" w:hAnsi="微软雅黑" w:eastAsia="微软雅黑"/>
                <w:b w:val="0"/>
                <w:color w:val="1F2933"/>
                <w:sz w:val="19"/>
              </w:rPr>
              <w:t>defense_baselines_sst2_b2_gpt2_20260501_010024；utility260426；lrb_ablation_sst2_b2_gpt2_k0.5_20260501_004737</w:t>
            </w:r>
          </w:p>
        </w:tc>
      </w:tr>
    </w:tbl>
    <w:p/>
    <w:tbl>
      <w:tblPr>
        <w:tblW w:type="auto" w:w="0"/>
        <w:jc w:val="center"/>
        <w:tblLook w:firstColumn="1" w:firstRow="1" w:lastColumn="0" w:lastRow="0" w:noHBand="0" w:noVBand="1" w:val="04A0"/>
      </w:tblPr>
      <w:tblGrid>
        <w:gridCol w:w="13742"/>
      </w:tblGrid>
      <w:tr>
        <w:tc>
          <w:tcPr>
            <w:tcW w:type="dxa" w:w="13742"/>
            <w:shd w:fill="EAF5F2"/>
          </w:tcPr>
          <w:p>
            <w:pPr>
              <w:spacing w:after="80"/>
            </w:pPr>
            <w:r>
              <w:rPr>
                <w:rFonts w:ascii="微软雅黑" w:hAnsi="微软雅黑" w:eastAsia="微软雅黑"/>
                <w:b/>
                <w:color w:val="123047"/>
                <w:sz w:val="21"/>
              </w:rPr>
              <w:t>核心结论先行</w:t>
            </w:r>
          </w:p>
          <w:p>
            <w:pPr>
              <w:spacing w:after="40" w:line="259" w:lineRule="auto"/>
            </w:pPr>
            <w:r>
              <w:rPr>
                <w:rFonts w:ascii="微软雅黑" w:hAnsi="微软雅黑" w:eastAsia="微软雅黑"/>
                <w:color w:val="1F2933"/>
                <w:sz w:val="19"/>
              </w:rPr>
              <w:t>当前工作已经形成 DAGER 攻击、防御 baseline、utility、LRB 机制消融的闭环证据。</w:t>
            </w:r>
          </w:p>
          <w:p>
            <w:pPr>
              <w:spacing w:after="40" w:line="259" w:lineRule="auto"/>
            </w:pPr>
            <w:r>
              <w:rPr>
                <w:rFonts w:ascii="微软雅黑" w:hAnsi="微软雅黑" w:eastAsia="微软雅黑"/>
                <w:color w:val="1F2933"/>
                <w:sz w:val="19"/>
              </w:rPr>
              <w:t>Clean FedSGD 在 SST2+GPT2+batch=2 下泄露严重；LRB、topk、compression 均可在若干点上把 DAGER 恢复打到 0。</w:t>
            </w:r>
          </w:p>
          <w:p>
            <w:pPr>
              <w:spacing w:after="40" w:line="259" w:lineRule="auto"/>
            </w:pPr>
            <w:r>
              <w:rPr>
                <w:rFonts w:ascii="微软雅黑" w:hAnsi="微软雅黑" w:eastAsia="微软雅黑"/>
                <w:color w:val="1F2933"/>
                <w:sz w:val="19"/>
              </w:rPr>
              <w:t>仅看 full-gradient DAGER，topk@0.1 与 compression@8 仍是更强经验 tradeoff；完整 LRB@0.5 已改善 utility，但仍偏重。</w:t>
            </w:r>
          </w:p>
          <w:p>
            <w:pPr>
              <w:spacing w:after="40" w:line="259" w:lineRule="auto"/>
            </w:pPr>
            <w:r>
              <w:rPr>
                <w:rFonts w:ascii="微软雅黑" w:hAnsi="微软雅黑" w:eastAsia="微软雅黑"/>
                <w:color w:val="1F2933"/>
                <w:sz w:val="19"/>
              </w:rPr>
              <w:t>最新消融显示 projection bottleneck 是主效应：proj_only@0.5 在 DAGER=0 的同时保持 clean-level accuracy，因此更适合作为下一阶段主方法候选。</w:t>
            </w:r>
          </w:p>
        </w:tc>
      </w:tr>
    </w:tbl>
    <w:p/>
    <w:p>
      <w:r>
        <w:br w:type="page"/>
      </w:r>
    </w:p>
    <w:p>
      <w:pPr>
        <w:pStyle w:val="Heading1"/>
        <w:spacing w:before="200" w:after="120"/>
      </w:pPr>
      <w:r>
        <w:t>一、文档定位与当前工作状态</w:t>
      </w:r>
    </w:p>
    <w:p>
      <w:pPr>
        <w:spacing w:after="100" w:line="276" w:lineRule="auto"/>
        <w:ind w:firstLine="420"/>
      </w:pPr>
      <w:r>
        <w:rPr>
          <w:rFonts w:ascii="微软雅黑" w:hAnsi="微软雅黑" w:eastAsia="微软雅黑"/>
          <w:sz w:val="21"/>
        </w:rPr>
        <w:t>本文参考 docs/初步思路模版.docx 的研究计划结构，将当前 FedLLM / FL-LLM 方向整理为一份阶段性研究进展文档。它不是重新粘贴已有 Markdown，而是把任务价值、文献与 baseline 位置、LRB 方法机制、已完成实验事实、当前判断和后续计划串成一条可继续写论文的主线。</w:t>
      </w:r>
    </w:p>
    <w:p>
      <w:pPr>
        <w:spacing w:after="100" w:line="276" w:lineRule="auto"/>
        <w:ind w:firstLine="420"/>
      </w:pPr>
      <w:r>
        <w:rPr>
          <w:rFonts w:ascii="微软雅黑" w:hAnsi="微软雅黑" w:eastAsia="微软雅黑"/>
          <w:sz w:val="21"/>
        </w:rPr>
        <w:t>截至 2026-05-05，项目已经从“复现 DAGER + 枚举 baseline”推进到更清晰的阶段：full-gradient DAGER 风险已被量化，多个 defense 的 privacy/utility 已经有结果，LRB 的主要组件也通过完整消融开始被拆开。当前最重要的变化是，主线不再是继续证明“DAGER 可以被打掉”，而是要证明“哪一种 recoverability bottleneck 能在相近 privacy 下保留更多效用，并且能泛化到 PEFT / partial-gradient 等更广攻击面”。</w:t>
      </w:r>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当前状态一句话</w:t>
            </w:r>
          </w:p>
          <w:p>
            <w:pPr>
              <w:spacing w:after="40" w:line="259" w:lineRule="auto"/>
            </w:pPr>
            <w:r>
              <w:rPr>
                <w:rFonts w:ascii="微软雅黑" w:hAnsi="微软雅黑" w:eastAsia="微软雅黑"/>
                <w:color w:val="1F2933"/>
                <w:sz w:val="19"/>
              </w:rPr>
              <w:t>DAGER clean 泄露严重，问题成立；topk/compression 是 full-gradient DAGER 下必须认真比较的强经验 baseline；LRB 的完整版本能强力抑制恢复但过防御；消融显示低分辨率 projection bottleneck 才是当前最值得推进的主效应。</w:t>
            </w:r>
          </w:p>
        </w:tc>
      </w:tr>
    </w:tbl>
    <w:p/>
    <w:p>
      <w:pPr>
        <w:pStyle w:val="Heading1"/>
        <w:spacing w:before="200" w:after="120"/>
      </w:pPr>
      <w:r>
        <w:t>二、背景与动机</w:t>
      </w:r>
    </w:p>
    <w:p>
      <w:pPr>
        <w:spacing w:after="100" w:line="276" w:lineRule="auto"/>
        <w:ind w:firstLine="420"/>
      </w:pPr>
      <w:r>
        <w:rPr>
          <w:rFonts w:ascii="微软雅黑" w:hAnsi="微软雅黑" w:eastAsia="微软雅黑"/>
          <w:sz w:val="21"/>
        </w:rPr>
        <w:t>大模型微调正在从集中式数据汇聚转向联邦学习、跨机构协作训练和 PEFT adapter 共享。这样的设置看起来天然适合隐私场景：医疗文本、金融评论、企业客服、用户输入日志等原始文本不离开本地，只上传梯度、模型更新或轻量参数更新。但梯度反演与文本恢复攻击表明，“不上传原文”并不等价于“原文不可恢复”。在语言模型中，token embedding、layer-wise gradient 和序列损失共同形成了足以暴露样本内容的高分辨率信号。</w:t>
      </w:r>
    </w:p>
    <w:p>
      <w:pPr>
        <w:spacing w:after="100" w:line="276" w:lineRule="auto"/>
        <w:ind w:firstLine="420"/>
      </w:pPr>
      <w:r>
        <w:rPr>
          <w:rFonts w:ascii="微软雅黑" w:hAnsi="微软雅黑" w:eastAsia="微软雅黑"/>
          <w:sz w:val="21"/>
        </w:rPr>
        <w:t>本项目当前的 clean DAGER 结果给出了直接动机：在 SST2 + GPT2 + batch=2 + n_inputs=100 的设置下，未防御 FedSGD 梯度的 rec_token_mean 达到 0.833506，ROUGE-1+ROUGE-2 达到 141.710856。这说明攻击者并不是只能恢复模糊主题，而是能够恢复大量 token 级文本信息。因此，本工作不是为了在一个 toy setting 中展示攻击存在，而是要面向真实 FL-LLM / PEFT 协作训练中的中间更新泄露问题，寻找可落地的防御机制。</w:t>
      </w:r>
    </w:p>
    <w:p>
      <w:pPr>
        <w:spacing w:after="100" w:line="276" w:lineRule="auto"/>
        <w:ind w:firstLine="420"/>
      </w:pPr>
      <w:r>
        <w:rPr>
          <w:rFonts w:ascii="微软雅黑" w:hAnsi="微软雅黑" w:eastAsia="微软雅黑"/>
          <w:sz w:val="21"/>
        </w:rPr>
        <w:t>进一步的动机来自 privacy-utility 冲突：简单把 DAGER 打到 0 并不困难，困难在于保留训练效用。当前实验已经显示，完整 LRB 能稳定抑制 DAGER，但 utility 代价偏高；topk/compression 在 full-gradient DAGER 下很强，却更像通信压缩副作用而不是针对文本 recoverability 的机制解释。论文真正需要回答的是：能否设计一种面向 layer-wise recoverability 的 bottleneck，使更新仍可用于学习任务信号，但不再保留可被 DAGER 等攻击恢复的高分辨率文本细节。</w:t>
      </w:r>
    </w:p>
    <w:p>
      <w:pPr>
        <w:pStyle w:val="Heading1"/>
        <w:spacing w:before="200" w:after="120"/>
      </w:pPr>
      <w:r>
        <w:t>三、前人工作局限性</w:t>
      </w:r>
    </w:p>
    <w:p>
      <w:pPr>
        <w:spacing w:after="100" w:line="276" w:lineRule="auto"/>
        <w:ind w:firstLine="420"/>
      </w:pPr>
      <w:r>
        <w:rPr>
          <w:rFonts w:ascii="微软雅黑" w:hAnsi="微软雅黑" w:eastAsia="微软雅黑"/>
          <w:sz w:val="21"/>
        </w:rPr>
        <w:t>已有工作为本项目提供了攻击、隐私和压缩三类重要参照，但各自都留下了适合本工作切入的缺口。当前实验也印证了这些局限：强扰动方法通常牺牲 utility，通信压缩方法在当前 DAGER 下表现强但机制目标不完全对齐，表示扰动和训练侧混合方法在 GPT2/FedSGD 设置中并不稳定。</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方向</w:t>
            </w:r>
          </w:p>
        </w:tc>
        <w:tc>
          <w:tcPr>
            <w:tcW w:type="dxa" w:w="226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代表思路</w:t>
            </w:r>
          </w:p>
        </w:tc>
        <w:tc>
          <w:tcPr>
            <w:tcW w:type="dxa" w:w="3175"/>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主要局限性</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对本工作的启发</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梯度反演攻击</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DAGER / LAMP 等从梯度恢复文本</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多数工作强调攻击能力，较少给出适合 FL-LLM 训练流程的低损耗防御；对 PEFT、partial-gradient 和 defense 后 utility 的系统闭环不足。</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需要把攻击复现、defense、end-to-end utility 和消融放在同一评价链路里。</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噪声与 DP-SGD</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对梯度裁剪后加噪，获得形式化 DP 语义</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理论上强，但在大模型梯度和小 batch 文本任务中 utility 代价明显；本项目 noise/DP-SGD 结果也显示较难兼顾 privacy 与 accuracy。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不能只追求“加噪后看不见”，而要保留任务梯度中的可学习结构。</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通信压缩</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Top-k sparsification、SVD/quantization compression</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当前 full-gradient DAGER 下是强 baseline，但核心目标是少传或压缩，不是解释哪些 layer/direction 泄露文本；跨 PEFT/partial-gradient 攻击面仍未验证。</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主方法必须正面比较 topk/compression，同时说明 recoverability bottleneck 的机制差异。</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表示扰动与训练增强</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Soteria、mixup 等表示层或训练侧防御</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迁移到 GPT2/FedSGD 当前设置后不稳定：soteria 几乎完全泄露，mixup 多点 privacy 失败。</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需要面向 Transformer 梯度结构重新设计，而不是直接搬用 CV/表示防御经验。</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PEFT/局部梯度泄露</w:t>
            </w:r>
          </w:p>
        </w:tc>
        <w:tc>
          <w:tcPr>
            <w:tcW w:type="dxa" w:w="226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LoRA/adapter 更新反演、partial transformer gradient 攻击</w:t>
            </w:r>
          </w:p>
        </w:tc>
        <w:tc>
          <w:tcPr>
            <w:tcW w:type="dxa" w:w="3175"/>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更贴近真实部署，但当前仓库只有 eval-first 框架和威胁建模，尚缺完整 defense 结果。</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这是下一阶段证明泛化意义的关键实验面。</w:t>
            </w:r>
          </w:p>
        </w:tc>
      </w:tr>
    </w:tbl>
    <w:p/>
    <w:p>
      <w:pPr>
        <w:pStyle w:val="Heading1"/>
        <w:spacing w:before="200" w:after="120"/>
      </w:pPr>
      <w:r>
        <w:t>四、希望解决的问题</w:t>
      </w:r>
    </w:p>
    <w:p>
      <w:pPr>
        <w:spacing w:after="100" w:line="276" w:lineRule="auto"/>
        <w:ind w:firstLine="420"/>
      </w:pPr>
      <w:r>
        <w:rPr>
          <w:rFonts w:ascii="微软雅黑" w:hAnsi="微软雅黑" w:eastAsia="微软雅黑"/>
          <w:sz w:val="21"/>
        </w:rPr>
        <w:t>本工作希望解决的不是单一实验点上的“攻击是否成功”问题，而是 FL-LLM 中间更新如何在可训练与不可恢复之间取得平衡的问题。具体来说，需要把研究问题拆成四个层次：先证明 clean 更新确实泄露，再建立强 baseline 对照，然后设计可解释的 recoverability bottleneck，最后验证该 bottleneck 是否能跨训练形式和攻击面泛化。</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70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问题层次</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要回答的问题</w:t>
            </w:r>
          </w:p>
        </w:tc>
        <w:tc>
          <w:tcPr>
            <w:tcW w:type="dxa" w:w="294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当前已有依据</w:t>
            </w:r>
          </w:p>
        </w:tc>
        <w:tc>
          <w:tcPr>
            <w:tcW w:type="dxa" w:w="260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下一步需要补强</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风险是否成立</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客户端只上传梯度/更新时，攻击者是否仍能恢复文本？</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clean DAGER rec_token_mean=0.833506，ROUGE-1+ROUGE-2=141.710856。</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跨数据集/backbone 复核，避免单一 SST2/GPT2 偶然性。</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防御是否有效</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哪些方法能把 token 恢复和 ROUGE 恢复压到接近 0？</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LRB@0.05~0.5、topk@0.01~0.3、compression@4/8/16 在 DAGER 下表现强。</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补齐稳定点说明，避免把 compression@2 失败运行写成成功。</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效用是否可接受</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同等 privacy 下，哪个 defense 保留最多 task accuracy？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topk@0.1 和 compression@8 是当前 full-gradient DAGER 的强经验 tradeoff；full_lrb utility 偏弱。</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把 Projection-LRB 纳入 main result，与强 baseline 同台比较。</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机制是否清楚</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防御效果来自 clipping、projection、noise 还是 layer sensitivity？</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ablation 显示 proj_only@0.5 已实现 DAGER=0 且 accuracy=0.915520，是当前最强机制证据。</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做 projection-only keep-ratio sweep 与细消融，确认最宽松 bottleneck。</w:t>
            </w:r>
          </w:p>
        </w:tc>
      </w:tr>
      <w:tr>
        <w:tc>
          <w:tcPr>
            <w:tcW w:type="dxa" w:w="1701"/>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场景是否泛化</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该机制是否适用于 PEFT/LoRA、partial-gradient 和更真实的联邦微调？</w:t>
            </w:r>
          </w:p>
        </w:tc>
        <w:tc>
          <w:tcPr>
            <w:tcW w:type="dxa" w:w="294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PEFT eval-first 框架已有，partial-gradient 威胁已建模。</w:t>
            </w:r>
          </w:p>
        </w:tc>
        <w:tc>
          <w:tcPr>
            <w:tcW w:type="dxa" w:w="260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补 LoRA 训练期 defense、partial-gradient 攻击入口和跨任务结果。</w:t>
            </w:r>
          </w:p>
        </w:tc>
      </w:tr>
    </w:tbl>
    <w:p/>
    <w:p>
      <w:pPr>
        <w:pStyle w:val="Heading1"/>
        <w:spacing w:before="200" w:after="120"/>
      </w:pPr>
      <w:r>
        <w:t>五、问题对应的场景与意义</w:t>
      </w:r>
    </w:p>
    <w:p>
      <w:pPr>
        <w:spacing w:after="100" w:line="276" w:lineRule="auto"/>
        <w:ind w:firstLine="420"/>
      </w:pPr>
      <w:r>
        <w:rPr>
          <w:rFonts w:ascii="微软雅黑" w:hAnsi="微软雅黑" w:eastAsia="微软雅黑"/>
          <w:sz w:val="21"/>
        </w:rPr>
        <w:t>该问题对应的真实场景是多方拥有敏感文本、但又需要共同微调或适配语言模型的协作训练。典型例子包括医院之间联合训练临床文本分类模型、金融机构联合优化舆情或风控文本模型、企业之间共享客服/工单语义能力，以及移动端或边缘端在本地数据上更新个性化语言模型。此时服务端、聚合方或半诚实参与方即使拿不到原文，也可能通过梯度或 adapter 更新进行文本恢复。</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98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应用场景</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为什么会共享更新</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泄露风险</w:t>
            </w:r>
          </w:p>
        </w:tc>
        <w:tc>
          <w:tcPr>
            <w:tcW w:type="dxa" w:w="272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本工作意义</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跨机构文本联邦学习</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机构间数据不能集中，但希望共享模型能力</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聚合方或参与方可从 batch 梯度推断训练文本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为 FL-LLM 提供 privacy audit 与 defense pipeline。</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PEFT / LoRA 协作微调</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只上传 adapter 或低秩参数更新以降低训练成本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轻量更新仍可能携带样本级 token 线索</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验证 defense 是否能贴近未来更常用的轻量微调流程。</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边缘端或个性化模型更新</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设备端保留用户输入，周期性上传更新</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短文本、小 batch 和高重复 token 会放大恢复风险</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提升用户侧文本数据保护能力。</w:t>
            </w:r>
          </w:p>
        </w:tc>
      </w:tr>
      <w:tr>
        <w:tc>
          <w:tcPr>
            <w:tcW w:type="dxa" w:w="1984"/>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科研与合规评估</w:t>
            </w:r>
          </w:p>
        </w:tc>
        <w:tc>
          <w:tcPr>
            <w:tcW w:type="dxa" w:w="272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需要定量说明某种训练协议是否安全</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仅报告 accuracy 无法说明更新是否泄露文本</w:t>
            </w:r>
          </w:p>
        </w:tc>
        <w:tc>
          <w:tcPr>
            <w:tcW w:type="dxa" w:w="2721"/>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建立 privacy-utility-Pareto 和机制消融证据，支撑论文与合规报告。</w:t>
            </w:r>
          </w:p>
        </w:tc>
      </w:tr>
    </w:tbl>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本工作的实际意义</w:t>
            </w:r>
          </w:p>
          <w:p>
            <w:pPr>
              <w:spacing w:after="40" w:line="259" w:lineRule="auto"/>
            </w:pPr>
            <w:r>
              <w:rPr>
                <w:rFonts w:ascii="微软雅黑" w:hAnsi="微软雅黑" w:eastAsia="微软雅黑"/>
                <w:color w:val="1F2933"/>
                <w:sz w:val="19"/>
              </w:rPr>
              <w:t>从工程上，它给 FedLLM / PEFT 训练流程提供可复现实验链路：攻击复现、defense sweep、utility 训练、消融和后续 PEFT/partial-gradient 扩展。</w:t>
            </w:r>
          </w:p>
          <w:p>
            <w:pPr>
              <w:spacing w:after="40" w:line="259" w:lineRule="auto"/>
            </w:pPr>
            <w:r>
              <w:rPr>
                <w:rFonts w:ascii="微软雅黑" w:hAnsi="微软雅黑" w:eastAsia="微软雅黑"/>
                <w:color w:val="1F2933"/>
                <w:sz w:val="19"/>
              </w:rPr>
              <w:t>从论文上，它把问题从“某个 defense 是否让 DAGER 失败”推进到“中间更新的 recoverability 应该如何被结构性压缩，并在相近 privacy 下保留更多任务信号”。</w:t>
            </w:r>
          </w:p>
          <w:p>
            <w:pPr>
              <w:spacing w:after="40" w:line="259" w:lineRule="auto"/>
            </w:pPr>
            <w:r>
              <w:rPr>
                <w:rFonts w:ascii="微软雅黑" w:hAnsi="微软雅黑" w:eastAsia="微软雅黑"/>
                <w:color w:val="1F2933"/>
                <w:sz w:val="19"/>
              </w:rPr>
              <w:t>从当前结果看，Projection-LRB / LRB-lite 是最值得继续推进的主方法候选：它直接对应场景中的低损耗隐私更新需求，也与消融证据一致。</w:t>
            </w:r>
          </w:p>
        </w:tc>
      </w:tr>
    </w:tbl>
    <w:p/>
    <w:p>
      <w:pPr>
        <w:pStyle w:val="Heading1"/>
        <w:spacing w:before="200" w:after="120"/>
      </w:pPr>
      <w:r>
        <w:t>六、威胁模型与评价对象</w:t>
      </w:r>
    </w:p>
    <w:p>
      <w:pPr>
        <w:spacing w:after="100" w:line="276" w:lineRule="auto"/>
        <w:ind w:firstLine="420"/>
      </w:pPr>
      <w:r>
        <w:rPr>
          <w:rFonts w:ascii="微软雅黑" w:hAnsi="微软雅黑" w:eastAsia="微软雅黑"/>
          <w:sz w:val="21"/>
        </w:rPr>
        <w:t>本工作关注大模型联邦训练或分布式微调过程中由中间更新信息导致的数据泄露。客户端不上传原始文本，但会上传梯度、模型更新或 PEFT adapter 更新；攻击者可能据此恢复训练样本。这个问题的关键不在于“数据有没有直接共享”，而在于“共享更新本身是否携带足以恢复原始文本的高分辨率信息”。</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2041"/>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攻击面</w:t>
            </w:r>
          </w:p>
        </w:tc>
        <w:tc>
          <w:tcPr>
            <w:tcW w:type="dxa" w:w="260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代表方法 / 文献</w:t>
            </w:r>
          </w:p>
        </w:tc>
        <w:tc>
          <w:tcPr>
            <w:tcW w:type="dxa" w:w="294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当前工程状态</w:t>
            </w:r>
          </w:p>
        </w:tc>
        <w:tc>
          <w:tcPr>
            <w:tcW w:type="dxa" w:w="2608"/>
            <w:vAlign w:val="center"/>
            <w:shd w:fill="D9EAF7"/>
          </w:tcPr>
          <w:p>
            <w:pPr>
              <w:spacing w:after="0" w:line="252" w:lineRule="auto"/>
              <w:jc w:val="center"/>
            </w:pPr>
            <w:r>
              <w:rPr>
                <w:rFonts w:ascii="微软雅黑" w:hAnsi="微软雅黑" w:eastAsia="微软雅黑"/>
                <w:b/>
                <w:color w:val="123047"/>
                <w:sz w:val="17"/>
              </w:rPr>
            </w:r>
            <w:r>
              <w:rPr>
                <w:rFonts w:ascii="微软雅黑" w:hAnsi="微软雅黑" w:eastAsia="微软雅黑"/>
                <w:b/>
                <w:color w:val="123047"/>
                <w:sz w:val="17"/>
              </w:rPr>
              <w:t>论文作用</w:t>
            </w:r>
          </w:p>
        </w:tc>
      </w:tr>
      <w:tr>
        <w:tc>
          <w:tcPr>
            <w:tcW w:type="dxa" w:w="2041"/>
            <w:vAlign w:val="center"/>
          </w:tcPr>
          <w:p>
            <w:pPr>
              <w:spacing w:after="0" w:line="252" w:lineRule="auto"/>
              <w:jc w:val="left"/>
            </w:pPr>
            <w:r>
              <w:rPr>
                <w:rFonts w:ascii="微软雅黑" w:hAnsi="微软雅黑" w:eastAsia="微软雅黑"/>
                <w:b/>
                <w:color w:val="1F2933"/>
                <w:sz w:val="17"/>
              </w:rPr>
            </w:r>
            <w:r>
              <w:rPr>
                <w:rFonts w:ascii="微软雅黑" w:hAnsi="微软雅黑" w:eastAsia="微软雅黑"/>
                <w:b/>
                <w:color w:val="1F2933"/>
                <w:sz w:val="17"/>
              </w:rPr>
              <w:t>Full-gradient inversion</w:t>
            </w:r>
          </w:p>
        </w:tc>
        <w:tc>
          <w:tcPr>
            <w:tcW w:type="dxa" w:w="2608"/>
            <w:vAlign w:val="center"/>
          </w:tcPr>
          <w:p>
            <w:pPr>
              <w:spacing w:after="0" w:line="252" w:lineRule="auto"/>
              <w:jc w:val="center"/>
            </w:pPr>
            <w:r>
              <w:rPr>
                <w:rFonts w:ascii="微软雅黑" w:hAnsi="微软雅黑" w:eastAsia="微软雅黑"/>
                <w:color w:val="1F2933"/>
                <w:sz w:val="17"/>
              </w:rPr>
            </w:r>
            <w:r>
              <w:rPr>
                <w:rFonts w:ascii="微软雅黑" w:hAnsi="微软雅黑" w:eastAsia="微软雅黑"/>
                <w:b w:val="0"/>
                <w:color w:val="1F2933"/>
                <w:sz w:val="17"/>
              </w:rPr>
              <w:t>DAGER / LAMP</w:t>
            </w:r>
          </w:p>
        </w:tc>
        <w:tc>
          <w:tcPr>
            <w:tcW w:type="dxa" w:w="294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DAGER 已成为主实验；n_inputs=100 defense sweep 已完成</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证明 clean FedSGD 梯度存在严重文本恢复风险</w:t>
            </w:r>
          </w:p>
        </w:tc>
      </w:tr>
      <w:tr>
        <w:tc>
          <w:tcPr>
            <w:tcW w:type="dxa" w:w="2041"/>
            <w:vAlign w:val="center"/>
          </w:tcPr>
          <w:p>
            <w:pPr>
              <w:spacing w:after="0" w:line="252" w:lineRule="auto"/>
              <w:jc w:val="center"/>
            </w:pPr>
            <w:r>
              <w:rPr>
                <w:rFonts w:ascii="微软雅黑" w:hAnsi="微软雅黑" w:eastAsia="微软雅黑"/>
                <w:b/>
                <w:color w:val="1F2933"/>
                <w:sz w:val="17"/>
              </w:rPr>
            </w:r>
            <w:r>
              <w:rPr>
                <w:rFonts w:ascii="微软雅黑" w:hAnsi="微软雅黑" w:eastAsia="微软雅黑"/>
                <w:b/>
                <w:color w:val="1F2933"/>
                <w:sz w:val="17"/>
              </w:rPr>
              <w:t>PEFT leakage</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Gradient Inversion Attacks on PEFT / ReCIT</w:t>
            </w:r>
          </w:p>
        </w:tc>
        <w:tc>
          <w:tcPr>
            <w:tcW w:type="dxa" w:w="294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LoRA eval-first 框架已有，缺完整结果表</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验证 LRB 是否对实际轻量微调更新也有价值</w:t>
            </w:r>
          </w:p>
        </w:tc>
      </w:tr>
      <w:tr>
        <w:tc>
          <w:tcPr>
            <w:tcW w:type="dxa" w:w="2041"/>
            <w:vAlign w:val="center"/>
          </w:tcPr>
          <w:p>
            <w:pPr>
              <w:spacing w:after="0" w:line="252" w:lineRule="auto"/>
              <w:jc w:val="left"/>
            </w:pPr>
            <w:r>
              <w:rPr>
                <w:rFonts w:ascii="微软雅黑" w:hAnsi="微软雅黑" w:eastAsia="微软雅黑"/>
                <w:b/>
                <w:color w:val="1F2933"/>
                <w:sz w:val="17"/>
              </w:rPr>
            </w:r>
            <w:r>
              <w:rPr>
                <w:rFonts w:ascii="微软雅黑" w:hAnsi="微软雅黑" w:eastAsia="微软雅黑"/>
                <w:b/>
                <w:color w:val="1F2933"/>
                <w:sz w:val="17"/>
              </w:rPr>
              <w:t>Partial-gradient / layer-level leakage</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Partial Transformer Gradients</w:t>
            </w:r>
          </w:p>
        </w:tc>
        <w:tc>
          <w:tcPr>
            <w:tcW w:type="dxa" w:w="2948"/>
            <w:vAlign w:val="center"/>
          </w:tcPr>
          <w:p>
            <w:pPr>
              <w:spacing w:after="0" w:line="252" w:lineRule="auto"/>
              <w:jc w:val="center"/>
            </w:pPr>
            <w:r>
              <w:rPr>
                <w:rFonts w:ascii="微软雅黑" w:hAnsi="微软雅黑" w:eastAsia="微软雅黑"/>
                <w:color w:val="1F2933"/>
                <w:sz w:val="17"/>
              </w:rPr>
            </w:r>
            <w:r>
              <w:rPr>
                <w:rFonts w:ascii="微软雅黑" w:hAnsi="微软雅黑" w:eastAsia="微软雅黑"/>
                <w:b w:val="0"/>
                <w:color w:val="1F2933"/>
                <w:sz w:val="17"/>
              </w:rPr>
              <w:t>威胁已建模，显式攻击入口仍待补</w:t>
            </w:r>
          </w:p>
        </w:tc>
        <w:tc>
          <w:tcPr>
            <w:tcW w:type="dxa" w:w="2608"/>
            <w:vAlign w:val="center"/>
          </w:tcPr>
          <w:p>
            <w:pPr>
              <w:spacing w:after="0" w:line="252" w:lineRule="auto"/>
              <w:jc w:val="left"/>
            </w:pPr>
            <w:r>
              <w:rPr>
                <w:rFonts w:ascii="微软雅黑" w:hAnsi="微软雅黑" w:eastAsia="微软雅黑"/>
                <w:color w:val="1F2933"/>
                <w:sz w:val="17"/>
              </w:rPr>
            </w:r>
            <w:r>
              <w:rPr>
                <w:rFonts w:ascii="微软雅黑" w:hAnsi="微软雅黑" w:eastAsia="微软雅黑"/>
                <w:b w:val="0"/>
                <w:color w:val="1F2933"/>
                <w:sz w:val="17"/>
              </w:rPr>
              <w:t>证明防御不是只对 full-gradient 攻击有效</w:t>
            </w:r>
          </w:p>
        </w:tc>
      </w:tr>
    </w:tbl>
    <w:p/>
    <w:p>
      <w:pPr>
        <w:pStyle w:val="Heading1"/>
        <w:spacing w:before="200" w:after="120"/>
      </w:pPr>
      <w:r>
        <w:t>七、已有 baseline 与当前创新位置</w:t>
      </w:r>
    </w:p>
    <w:p>
      <w:pPr>
        <w:spacing w:after="100" w:line="276" w:lineRule="auto"/>
        <w:ind w:firstLine="420"/>
      </w:pPr>
      <w:r>
        <w:rPr>
          <w:rFonts w:ascii="微软雅黑" w:hAnsi="微软雅黑" w:eastAsia="微软雅黑"/>
          <w:sz w:val="21"/>
        </w:rPr>
        <w:t>参考 docs/FL-LLM.md 和 baseline 对比材料，当前 baseline 可以按防御逻辑分成扰动系、隐私标准系、通信压缩系、表示扰动系和训练正则系。它们都能提供必要对照，但大多不是直接以“最小化中间更新的 recoverability”为目标。LRB 的创新位置正在这里：不是粗暴减少数值精度，也不是平均加噪，而是按层和方向建立恢复瓶颈。</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41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baseline</w:t>
            </w:r>
          </w:p>
        </w:tc>
        <w:tc>
          <w:tcPr>
            <w:tcW w:type="dxa" w:w="249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主要优势</w:t>
            </w:r>
          </w:p>
        </w:tc>
        <w:tc>
          <w:tcPr>
            <w:tcW w:type="dxa" w:w="311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主要不足</w:t>
            </w:r>
          </w:p>
        </w:tc>
        <w:tc>
          <w:tcPr>
            <w:tcW w:type="dxa" w:w="238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更适合扮演的角色</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noise</w:t>
            </w:r>
          </w:p>
        </w:tc>
        <w:tc>
          <w:tcPr>
            <w:tcW w:type="dxa" w:w="249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实现简单，最小干预</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需要较大噪声才明显有效，utility 快速下降</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sanity-check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DP-SGD</w:t>
            </w:r>
          </w:p>
        </w:tc>
        <w:tc>
          <w:tcPr>
            <w:tcW w:type="dxa" w:w="249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有明确 DP 语义</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当前大模型/FedSGD 设置下 utility 代价很大</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理论标准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topk</w:t>
            </w:r>
          </w:p>
        </w:tc>
        <w:tc>
          <w:tcPr>
            <w:tcW w:type="dxa" w:w="249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计算/通信成本低，当前 DAGER 下很强</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不是隐私中心设计，泛化到其他攻击面仍需验证</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强通信压缩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compression</w:t>
            </w:r>
          </w:p>
        </w:tc>
        <w:tc>
          <w:tcPr>
            <w:tcW w:type="dxa" w:w="249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兼顾通信效率和信息损失，工程接入容易</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更多回答少传多少，不直接建模少泄露多少</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强量化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soteria</w:t>
            </w:r>
          </w:p>
        </w:tc>
        <w:tc>
          <w:tcPr>
            <w:tcW w:type="dxa" w:w="249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直接触及表示泄露</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迁移到 GPT2/LLM 当前设置后稳定性差，privacy 反而恶化</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表示层 baseline / 附录对照</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mixup</w:t>
            </w:r>
          </w:p>
        </w:tc>
        <w:tc>
          <w:tcPr>
            <w:tcW w:type="dxa" w:w="249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utility 友好</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 DAGER 下 privacy 明显失败</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训练侧弱防御 baseline</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w:t>
            </w:r>
          </w:p>
        </w:tc>
        <w:tc>
          <w:tcPr>
            <w:tcW w:type="dxa" w:w="249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显式针对 layer-wise recoverability bottleneck</w:t>
            </w:r>
          </w:p>
        </w:tc>
        <w:tc>
          <w:tcPr>
            <w:tcW w:type="dxa" w:w="311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完整配置当前过防御，runtime 偏高，泛化证据未补齐</w:t>
            </w:r>
          </w:p>
        </w:tc>
        <w:tc>
          <w:tcPr>
            <w:tcW w:type="dxa" w:w="238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主方法原型</w:t>
            </w:r>
          </w:p>
        </w:tc>
      </w:tr>
    </w:tbl>
    <w:p/>
    <w:p>
      <w:pPr>
        <w:pStyle w:val="Heading1"/>
        <w:spacing w:before="200" w:after="120"/>
      </w:pPr>
      <w:r>
        <w:t>八、LRB 方法机制</w:t>
      </w:r>
    </w:p>
    <w:p>
      <w:pPr>
        <w:spacing w:after="100" w:line="276" w:lineRule="auto"/>
        <w:ind w:firstLine="420"/>
      </w:pPr>
      <w:r>
        <w:rPr>
          <w:rFonts w:ascii="微软雅黑" w:hAnsi="微软雅黑" w:eastAsia="微软雅黑"/>
          <w:sz w:val="21"/>
        </w:rPr>
        <w:t>当前仓库中的 LRB 是一个面向 recoverability 的梯度后处理 / full-training defense 机制。它已经在 train_method=full 的训练 utility 路径中接通，但还不是完整 HLRB：LoRA 训练期 defense、forward-side representation bottleneck 和完整 calibration pipeline 仍未落地。</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模块</w:t>
            </w:r>
          </w:p>
        </w:tc>
        <w:tc>
          <w:tcPr>
            <w:tcW w:type="dxa" w:w="300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当前实现</w:t>
            </w:r>
          </w:p>
        </w:tc>
        <w:tc>
          <w:tcPr>
            <w:tcW w:type="dxa" w:w="255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核心作用</w:t>
            </w:r>
          </w:p>
        </w:tc>
        <w:tc>
          <w:tcPr>
            <w:tcW w:type="dxa" w:w="181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消融关注点</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Layer-wise sensitivity</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结构先验 + 当前 batch 梯度统计；默认 empirical_weight=0.6</w:t>
            </w:r>
          </w:p>
        </w:tc>
        <w:tc>
          <w:tcPr>
            <w:tcW w:type="dxa" w:w="255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识别哪些层更可能泄露 token 细节</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rule_only / empirical_only / uniform_all_sensitive</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Layer-wise clipping</w:t>
            </w:r>
          </w:p>
        </w:tc>
        <w:tc>
          <w:tcPr>
            <w:tcW w:type="dxa" w:w="3005"/>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按所有层范数中位数设置每层裁剪阈值</w:t>
            </w:r>
          </w:p>
        </w:tc>
        <w:tc>
          <w:tcPr>
            <w:tcW w:type="dxa" w:w="255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限制个别层的大幅度信息流</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clip_only</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Low-resolution signed_pool projection</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先随机符号翻转，再 pooling/interpolation 低分辨率重建</w:t>
            </w:r>
          </w:p>
        </w:tc>
        <w:tc>
          <w:tcPr>
            <w:tcW w:type="dxa" w:w="255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保留粗结构，移除高分辨率样本细节</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 proj_clip / pool_full</w:t>
            </w:r>
          </w:p>
        </w:tc>
      </w:tr>
      <w:tr>
        <w:tc>
          <w:tcPr>
            <w:tcW w:type="dxa" w:w="226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Residual-space noise</w:t>
            </w:r>
          </w:p>
        </w:tc>
        <w:tc>
          <w:tcPr>
            <w:tcW w:type="dxa" w:w="300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噪声主要加在低分辨率表示之外的残差方向</w:t>
            </w:r>
          </w:p>
        </w:tc>
        <w:tc>
          <w:tcPr>
            <w:tcW w:type="dxa" w:w="255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进一步污染攻击依赖的细节方向</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full_lrb vs proj_only</w:t>
            </w:r>
          </w:p>
        </w:tc>
      </w:tr>
    </w:tbl>
    <w:p/>
    <w:tbl>
      <w:tblPr>
        <w:tblW w:type="auto" w:w="0"/>
        <w:jc w:val="center"/>
        <w:tblLook w:firstColumn="1" w:firstRow="1" w:lastColumn="0" w:lastRow="0" w:noHBand="0" w:noVBand="1" w:val="04A0"/>
      </w:tblPr>
      <w:tblGrid>
        <w:gridCol w:w="13742"/>
      </w:tblGrid>
      <w:tr>
        <w:tc>
          <w:tcPr>
            <w:tcW w:type="dxa" w:w="13742"/>
            <w:shd w:fill="FFF6E6"/>
          </w:tcPr>
          <w:p>
            <w:pPr>
              <w:spacing w:after="80"/>
            </w:pPr>
            <w:r>
              <w:rPr>
                <w:rFonts w:ascii="微软雅黑" w:hAnsi="微软雅黑" w:eastAsia="微软雅黑"/>
                <w:b/>
                <w:color w:val="123047"/>
                <w:sz w:val="21"/>
              </w:rPr>
              <w:t>推荐当前方法表述</w:t>
            </w:r>
          </w:p>
          <w:p>
            <w:pPr>
              <w:spacing w:after="40" w:line="259" w:lineRule="auto"/>
            </w:pPr>
            <w:r>
              <w:rPr>
                <w:rFonts w:ascii="微软雅黑" w:hAnsi="微软雅黑" w:eastAsia="微软雅黑"/>
                <w:color w:val="1F2933"/>
                <w:sz w:val="19"/>
              </w:rPr>
              <w:t>LRB is a layer-wise adaptive gradient defense that suppresses recoverability by combining sensitivity-aware clipping, low-resolution signed projection, and residual-space noise.</w:t>
            </w:r>
          </w:p>
          <w:p>
            <w:pPr>
              <w:spacing w:after="40" w:line="259" w:lineRule="auto"/>
            </w:pPr>
            <w:r>
              <w:rPr>
                <w:rFonts w:ascii="微软雅黑" w:hAnsi="微软雅黑" w:eastAsia="微软雅黑"/>
                <w:color w:val="1F2933"/>
                <w:sz w:val="19"/>
              </w:rPr>
              <w:t>但根据最新消融，下一阶段应把 Projection-LRB / LRB-lite 作为主方法候选，把 full_lrb 作为强防御或过防御对照。</w:t>
            </w:r>
          </w:p>
        </w:tc>
      </w:tr>
    </w:tbl>
    <w:p/>
    <w:p>
      <w:pPr>
        <w:pStyle w:val="Heading1"/>
        <w:spacing w:before="200" w:after="120"/>
      </w:pPr>
      <w:r>
        <w:t>九、实验设置与数据来源</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87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实验块</w:t>
            </w:r>
          </w:p>
        </w:tc>
        <w:tc>
          <w:tcPr>
            <w:tcW w:type="dxa" w:w="283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日志目录 / 文档</w:t>
            </w:r>
          </w:p>
        </w:tc>
        <w:tc>
          <w:tcPr>
            <w:tcW w:type="dxa" w:w="317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关键设置</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用途</w:t>
            </w:r>
          </w:p>
        </w:tc>
      </w:tr>
      <w:tr>
        <w:tc>
          <w:tcPr>
            <w:tcW w:type="dxa" w:w="187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DAGER defense baselines</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log/runs/defense_baselines_sst2_b2_gpt2_20260501_010024</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sst2, gpt2, ./models/gpt2-ft-rt, batch=2, n_inputs=100</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量化 clean 泄露与各 defense 的 attack-time privacy</w:t>
            </w:r>
          </w:p>
        </w:tc>
      </w:tr>
      <w:tr>
        <w:tc>
          <w:tcPr>
            <w:tcW w:type="dxa" w:w="187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Utility focused runs</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log/runs/utility260426</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 training, epoch=1, seeds=101/202/303</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评估 defense 对 accuracy/F1/loss/runtime 的影响</w:t>
            </w:r>
          </w:p>
        </w:tc>
      </w:tr>
      <w:tr>
        <w:tc>
          <w:tcPr>
            <w:tcW w:type="dxa" w:w="187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ablation</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log/runs/lrb_ablation_sst2_b2_gpt2_k0.5_20260501_004737</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variants=none/identity/clip/proj/full/pool/rule/empirical/uniform, n_inputs=100</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拆解 LRB 主效应来自哪个模块</w:t>
            </w:r>
          </w:p>
        </w:tc>
      </w:tr>
      <w:tr>
        <w:tc>
          <w:tcPr>
            <w:tcW w:type="dxa" w:w="187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分析文档</w:t>
            </w:r>
          </w:p>
        </w:tc>
        <w:tc>
          <w:tcPr>
            <w:tcW w:type="dxa" w:w="283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docs/*.md; docs/参考/*</w:t>
            </w:r>
          </w:p>
        </w:tc>
        <w:tc>
          <w:tcPr>
            <w:tcW w:type="dxa" w:w="317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当前工作状态、方法详解、utility、defense、消融、参考图表要求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统一论文叙事、图表清单和下一步路线</w:t>
            </w:r>
          </w:p>
        </w:tc>
      </w:tr>
    </w:tbl>
    <w:p/>
    <w:p>
      <w:pPr>
        <w:pStyle w:val="Heading1"/>
        <w:spacing w:before="200" w:after="120"/>
      </w:pPr>
      <w:r>
        <w:t>十、DAGER Defense Baselines：privacy 结果</w:t>
      </w:r>
    </w:p>
    <w:p>
      <w:pPr>
        <w:spacing w:after="100" w:line="276" w:lineRule="auto"/>
        <w:ind w:firstLine="420"/>
      </w:pPr>
      <w:r>
        <w:rPr>
          <w:rFonts w:ascii="微软雅黑" w:hAnsi="微软雅黑" w:eastAsia="微软雅黑"/>
          <w:sz w:val="21"/>
        </w:rPr>
        <w:t>正式 n_inputs=100 结果强化了一个判断：在 SST2+GPT2+batch=2 的 full-gradient DAGER 设置下，clean FedSGD 泄露非常严重，rec_token_mean=0.833506，ROUGE-1+ROUGE-2=141.710856。真正进入 strong privacy baseline 的主要是 LRB、Top-k 和 Compression 三类。</w:t>
      </w:r>
    </w:p>
    <w:tbl>
      <w:tblPr>
        <w:tblStyle w:val="TableGrid"/>
        <w:tblW w:type="auto" w:w="0"/>
        <w:jc w:val="center"/>
        <w:tblLook w:firstColumn="1" w:firstRow="1" w:lastColumn="0" w:lastRow="0" w:noHBand="0" w:noVBand="1" w:val="04A0"/>
      </w:tblPr>
      <w:tblGrid>
        <w:gridCol w:w="2748"/>
        <w:gridCol w:w="2748"/>
        <w:gridCol w:w="2748"/>
        <w:gridCol w:w="2748"/>
        <w:gridCol w:w="2748"/>
      </w:tblGrid>
      <w:tr>
        <w:tc>
          <w:tcPr>
            <w:tcW w:type="dxa" w:w="141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defense</w:t>
            </w:r>
          </w:p>
        </w:tc>
        <w:tc>
          <w:tcPr>
            <w:tcW w:type="dxa" w:w="192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参数区间 / 关键点</w:t>
            </w:r>
          </w:p>
        </w:tc>
        <w:tc>
          <w:tcPr>
            <w:tcW w:type="dxa" w:w="170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rec_token_mean</w:t>
            </w:r>
          </w:p>
        </w:tc>
        <w:tc>
          <w:tcPr>
            <w:tcW w:type="dxa" w:w="147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R1+R2</w:t>
            </w:r>
          </w:p>
        </w:tc>
        <w:tc>
          <w:tcPr>
            <w:tcW w:type="dxa" w:w="3855"/>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结论</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none</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n/a</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0.833506</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141.711</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clean 更新泄露严重，作为风险锚点</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w:t>
            </w:r>
          </w:p>
        </w:tc>
        <w:tc>
          <w:tcPr>
            <w:tcW w:type="dxa" w:w="192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0.05/0.1/0.2/0.35/0.5</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全部 DAGER=0，privacy 已饱和</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topk</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0.01/0.05/0.1/0.3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安全区到 0.3；更大比例开始泄露：0.5-&gt;0.047; 0.7-&gt;0.161; 0.9-&gt;0.382</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compression</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4/8/16</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0.000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4/8/16 稳定；2bit 在 56/100 SVD 失败；32bit 退化</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noise</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1e-6 -&gt; 1e-3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0.953 -&gt; 0.173</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19.180 -&gt; 5.524</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需要较大扰动才有效，token 仍有残留</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dpsgd</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1e-6 -&gt; 1e-3</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0.967 -&gt; 0.078</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15.737 -&gt; 0.583</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理论基线重要，但当前 utility 代价大</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mixup</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0.1~2.0</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0.883~0.929</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154.743~168.821</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utility 友好但 privacy 恶化，不适合作为隐私防御</w:t>
            </w:r>
          </w:p>
        </w:tc>
      </w:tr>
      <w:tr>
        <w:tc>
          <w:tcPr>
            <w:tcW w:type="dxa" w:w="141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soteria</w:t>
            </w:r>
          </w:p>
        </w:tc>
        <w:tc>
          <w:tcPr>
            <w:tcW w:type="dxa" w:w="192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10~90</w:t>
            </w:r>
          </w:p>
        </w:tc>
        <w:tc>
          <w:tcPr>
            <w:tcW w:type="dxa" w:w="1701"/>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0.996~1.000</w:t>
            </w:r>
          </w:p>
        </w:tc>
        <w:tc>
          <w:tcPr>
            <w:tcW w:type="dxa" w:w="147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189.384~193.500</w:t>
            </w:r>
          </w:p>
        </w:tc>
        <w:tc>
          <w:tcPr>
            <w:tcW w:type="dxa" w:w="3855"/>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迁移到当前 LLM 设置后明显恶化</w:t>
            </w:r>
          </w:p>
        </w:tc>
      </w:tr>
    </w:tbl>
    <w:p/>
    <w:p>
      <w:pPr>
        <w:jc w:val="center"/>
      </w:pPr>
      <w:r>
        <w:drawing>
          <wp:inline xmlns:a="http://schemas.openxmlformats.org/drawingml/2006/main" xmlns:pic="http://schemas.openxmlformats.org/drawingml/2006/picture">
            <wp:extent cx="5760000" cy="3240000"/>
            <wp:docPr id="1" name="Picture 1"/>
            <wp:cNvGraphicFramePr>
              <a:graphicFrameLocks noChangeAspect="1"/>
            </wp:cNvGraphicFramePr>
            <a:graphic>
              <a:graphicData uri="http://schemas.openxmlformats.org/drawingml/2006/picture">
                <pic:pic>
                  <pic:nvPicPr>
                    <pic:cNvPr id="0" name="privacy_rec_token_bar.png"/>
                    <pic:cNvPicPr/>
                  </pic:nvPicPr>
                  <pic:blipFill>
                    <a:blip r:embed="rId9"/>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1：代表性 defense 的 DAGER rec_token_mean。</w:t>
      </w:r>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privacy 口径注意</w:t>
            </w:r>
          </w:p>
          <w:p>
            <w:pPr>
              <w:spacing w:after="40" w:line="259" w:lineRule="auto"/>
            </w:pPr>
            <w:r>
              <w:rPr>
                <w:rFonts w:ascii="微软雅黑" w:hAnsi="微软雅黑" w:eastAsia="微软雅黑"/>
                <w:color w:val="1F2933"/>
                <w:sz w:val="19"/>
              </w:rPr>
              <w:t>compression@2 虽然前 56 个样本指标为 0，但本次 n_inputs=100 在第 56/100 处 SVD 失败，正式稳定成功点只应计入 compression@4/8/16。</w:t>
            </w:r>
          </w:p>
          <w:p>
            <w:pPr>
              <w:spacing w:after="40" w:line="259" w:lineRule="auto"/>
            </w:pPr>
            <w:r>
              <w:rPr>
                <w:rFonts w:ascii="微软雅黑" w:hAnsi="微软雅黑" w:eastAsia="微软雅黑"/>
                <w:color w:val="1F2933"/>
                <w:sz w:val="19"/>
              </w:rPr>
              <w:t>mixup 与 soteria 在当前设置下不是有效 privacy defense：mixup 多点 rec_token_mean 高于 clean，soteria 几乎完全泄露。</w:t>
            </w:r>
          </w:p>
        </w:tc>
      </w:tr>
    </w:tbl>
    <w:p/>
    <w:p>
      <w:pPr>
        <w:pStyle w:val="Heading1"/>
        <w:spacing w:before="200" w:after="120"/>
      </w:pPr>
      <w:r>
        <w:t>十一、End-to-End Utility：训练效用结果</w:t>
      </w:r>
    </w:p>
    <w:p>
      <w:pPr>
        <w:spacing w:after="100" w:line="276" w:lineRule="auto"/>
        <w:ind w:firstLine="420"/>
      </w:pPr>
      <w:r>
        <w:rPr>
          <w:rFonts w:ascii="微软雅黑" w:hAnsi="微软雅黑" w:eastAsia="微软雅黑"/>
          <w:sz w:val="21"/>
        </w:rPr>
        <w:t>Utility 结果说明，能够把 DAGER 打到 0 并不自动意味着 defense 好。当前 fixed-point 下，topk@0.1 与 compression@8 在保持 DAGER=0 的同时几乎不损失 accuracy；LRB@0.2 也能 DAGER=0，但明显过防御。后来补齐的 LRB@0.5 明显改善了 utility，却仍弱于 topk/compression 的强经验点。</w:t>
      </w:r>
    </w:p>
    <w:tbl>
      <w:tblPr>
        <w:tblStyle w:val="TableGrid"/>
        <w:tblW w:type="auto" w:w="0"/>
        <w:jc w:val="center"/>
        <w:tblLook w:firstColumn="1" w:firstRow="1" w:lastColumn="0" w:lastRow="0" w:noHBand="0" w:noVBand="1" w:val="04A0"/>
      </w:tblPr>
      <w:tblGrid>
        <w:gridCol w:w="1963"/>
        <w:gridCol w:w="1963"/>
        <w:gridCol w:w="1963"/>
        <w:gridCol w:w="1963"/>
        <w:gridCol w:w="1963"/>
        <w:gridCol w:w="1963"/>
        <w:gridCol w:w="1963"/>
      </w:tblGrid>
      <w:tr>
        <w:tc>
          <w:tcPr>
            <w:tcW w:type="dxa" w:w="158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method</w:t>
            </w:r>
          </w:p>
        </w:tc>
        <w:tc>
          <w:tcPr>
            <w:tcW w:type="dxa" w:w="124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accuracy</w:t>
            </w:r>
          </w:p>
        </w:tc>
        <w:tc>
          <w:tcPr>
            <w:tcW w:type="dxa" w:w="1247"/>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macro-F1</w:t>
            </w:r>
          </w:p>
        </w:tc>
        <w:tc>
          <w:tcPr>
            <w:tcW w:type="dxa" w:w="119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loss</w:t>
            </w:r>
          </w:p>
        </w:tc>
        <w:tc>
          <w:tcPr>
            <w:tcW w:type="dxa" w:w="1361"/>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utility_drop</w:t>
            </w:r>
          </w:p>
        </w:tc>
        <w:tc>
          <w:tcPr>
            <w:tcW w:type="dxa" w:w="1304"/>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train_time</w:t>
            </w:r>
          </w:p>
        </w:tc>
        <w:tc>
          <w:tcPr>
            <w:tcW w:type="dxa" w:w="2438"/>
            <w:vAlign w:val="center"/>
            <w:shd w:fill="D9EAF7"/>
          </w:tcPr>
          <w:p>
            <w:pPr>
              <w:spacing w:after="0" w:line="252" w:lineRule="auto"/>
              <w:jc w:val="center"/>
            </w:pPr>
            <w:r>
              <w:rPr>
                <w:rFonts w:ascii="微软雅黑" w:hAnsi="微软雅黑" w:eastAsia="微软雅黑"/>
                <w:b/>
                <w:color w:val="123047"/>
                <w:sz w:val="15"/>
              </w:rPr>
            </w:r>
            <w:r>
              <w:rPr>
                <w:rFonts w:ascii="微软雅黑" w:hAnsi="微软雅黑" w:eastAsia="微软雅黑"/>
                <w:b/>
                <w:color w:val="123047"/>
                <w:sz w:val="15"/>
              </w:rPr>
              <w:t>source</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none</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0.913226</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0.913184</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0.246637</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0.000000</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00:42:51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UTILITY_RESULTS_ANALYSIS_20260426.md</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topk@0.1</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0.912462</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0.912430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0.243324</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0.000764</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06:03:08</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sst2_b2_gpt2_topk_0.1</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compression@8</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0.911315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0.911290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0.263210</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0.001911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07:07:37</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sst2_b2_gpt2_compression_8</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mixup@0.3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0.910933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0.910906</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0.239469</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0.002293</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00:48:40</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sst2_b2_gpt2_mixup_0.3</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lrb@0.2</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0.821865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0.821360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0.441765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0.091361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08:52:41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sst2_b2_gpt2_lrb_0.2</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noise@5e-4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0.715979</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0.715617</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0.552434</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0.197247</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01:54:29</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sst2_b2_gpt2_noise_5e-4</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dpsgd@5e-4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0.504205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0.366347</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2.612275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0.409021</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03:29:31</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sst2_b2_gpt2_dpsgd_5e-4</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lrb@0.35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0.868119</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0.868010</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0.356615</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0.045107</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05:29:49</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sst2_b2_gpt2_lrb_0.35</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lrb@0.5</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0.892584</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0.892472</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0.321702</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0.020642</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01:56:47</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sst_b2_gpt2_lrb_0.5</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topk@0.3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0.910933</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0.910913</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0.256373</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0.002293</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01:16:24</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sst2_b2_gpt2_topk_0.3</w:t>
            </w:r>
          </w:p>
        </w:tc>
      </w:tr>
      <w:tr>
        <w:tc>
          <w:tcPr>
            <w:tcW w:type="dxa" w:w="1587"/>
            <w:vAlign w:val="center"/>
          </w:tcPr>
          <w:p>
            <w:pPr>
              <w:spacing w:after="0" w:line="252" w:lineRule="auto"/>
              <w:jc w:val="center"/>
            </w:pPr>
            <w:r>
              <w:rPr>
                <w:rFonts w:ascii="微软雅黑" w:hAnsi="微软雅黑" w:eastAsia="微软雅黑"/>
                <w:b/>
                <w:color w:val="1F2933"/>
                <w:sz w:val="15"/>
              </w:rPr>
            </w:r>
            <w:r>
              <w:rPr>
                <w:rFonts w:ascii="微软雅黑" w:hAnsi="微软雅黑" w:eastAsia="微软雅黑"/>
                <w:b/>
                <w:color w:val="1F2933"/>
                <w:sz w:val="15"/>
              </w:rPr>
              <w:t>compression@16</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0.909021</w:t>
            </w:r>
          </w:p>
        </w:tc>
        <w:tc>
          <w:tcPr>
            <w:tcW w:type="dxa" w:w="1247"/>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0.909012</w:t>
            </w:r>
          </w:p>
        </w:tc>
        <w:tc>
          <w:tcPr>
            <w:tcW w:type="dxa" w:w="119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0.245559</w:t>
            </w:r>
          </w:p>
        </w:tc>
        <w:tc>
          <w:tcPr>
            <w:tcW w:type="dxa" w:w="1361"/>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0.004205</w:t>
            </w:r>
          </w:p>
        </w:tc>
        <w:tc>
          <w:tcPr>
            <w:tcW w:type="dxa" w:w="1304"/>
            <w:vAlign w:val="center"/>
          </w:tcPr>
          <w:p>
            <w:pPr>
              <w:spacing w:after="0" w:line="252" w:lineRule="auto"/>
              <w:jc w:val="center"/>
            </w:pPr>
            <w:r>
              <w:rPr>
                <w:rFonts w:ascii="微软雅黑" w:hAnsi="微软雅黑" w:eastAsia="微软雅黑"/>
                <w:color w:val="1F2933"/>
                <w:sz w:val="15"/>
              </w:rPr>
            </w:r>
            <w:r>
              <w:rPr>
                <w:rFonts w:ascii="微软雅黑" w:hAnsi="微软雅黑" w:eastAsia="微软雅黑"/>
                <w:b w:val="0"/>
                <w:color w:val="1F2933"/>
                <w:sz w:val="15"/>
              </w:rPr>
              <w:t>02:03:04</w:t>
            </w:r>
          </w:p>
        </w:tc>
        <w:tc>
          <w:tcPr>
            <w:tcW w:type="dxa" w:w="2438"/>
            <w:vAlign w:val="center"/>
          </w:tcPr>
          <w:p>
            <w:pPr>
              <w:spacing w:after="0" w:line="252" w:lineRule="auto"/>
              <w:jc w:val="left"/>
            </w:pPr>
            <w:r>
              <w:rPr>
                <w:rFonts w:ascii="微软雅黑" w:hAnsi="微软雅黑" w:eastAsia="微软雅黑"/>
                <w:color w:val="1F2933"/>
                <w:sz w:val="15"/>
              </w:rPr>
            </w:r>
            <w:r>
              <w:rPr>
                <w:rFonts w:ascii="微软雅黑" w:hAnsi="微软雅黑" w:eastAsia="微软雅黑"/>
                <w:b w:val="0"/>
                <w:color w:val="1F2933"/>
                <w:sz w:val="15"/>
              </w:rPr>
              <w:t>sst2_b2_gpt2_compression_16</w:t>
            </w:r>
          </w:p>
        </w:tc>
      </w:tr>
    </w:tbl>
    <w:p/>
    <w:p>
      <w:pPr>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utility_drop_bar.png"/>
                    <pic:cNvPicPr/>
                  </pic:nvPicPr>
                  <pic:blipFill>
                    <a:blip r:embed="rId10"/>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2：同等或近似 DAGER privacy 下的 utility drop。</w:t>
      </w:r>
    </w:p>
    <w:p>
      <w:pPr>
        <w:pStyle w:val="Heading1"/>
        <w:spacing w:before="200" w:after="120"/>
      </w:pPr>
      <w:r>
        <w:t>十二、Privacy-Utility Tradeoff 与当前 Pareto 判断</w:t>
      </w:r>
    </w:p>
    <w:p>
      <w:pPr>
        <w:spacing w:after="100" w:line="276" w:lineRule="auto"/>
        <w:ind w:firstLine="420"/>
      </w:pPr>
      <w:r>
        <w:rPr>
          <w:rFonts w:ascii="微软雅黑" w:hAnsi="微软雅黑" w:eastAsia="微软雅黑"/>
          <w:sz w:val="21"/>
        </w:rPr>
        <w:t>把 privacy 和 utility 对齐后，当前 full-gradient DAGER 的经验结论很清楚：topk@0.1 与 compression@8 是当前最强 fixed-point baseline；topk@0.3 与 compression@16 已补齐 utility，但没有超过它们；LRB@0.5 是当前完整 LRB 中最好的 utility 点，但仍有约 2.1 个 accuracy 点的下降。</w:t>
      </w:r>
    </w:p>
    <w:p>
      <w:pPr>
        <w:jc w:val="center"/>
      </w:pPr>
      <w:r>
        <w:drawing>
          <wp:inline xmlns:a="http://schemas.openxmlformats.org/drawingml/2006/main" xmlns:pic="http://schemas.openxmlformats.org/drawingml/2006/picture">
            <wp:extent cx="5832000" cy="3462750"/>
            <wp:docPr id="3" name="Picture 3"/>
            <wp:cNvGraphicFramePr>
              <a:graphicFrameLocks noChangeAspect="1"/>
            </wp:cNvGraphicFramePr>
            <a:graphic>
              <a:graphicData uri="http://schemas.openxmlformats.org/drawingml/2006/picture">
                <pic:pic>
                  <pic:nvPicPr>
                    <pic:cNvPr id="0" name="privacy_utility_scatter.png"/>
                    <pic:cNvPicPr/>
                  </pic:nvPicPr>
                  <pic:blipFill>
                    <a:blip r:embed="rId11"/>
                    <a:stretch>
                      <a:fillRect/>
                    </a:stretch>
                  </pic:blipFill>
                  <pic:spPr>
                    <a:xfrm>
                      <a:off x="0" y="0"/>
                      <a:ext cx="5832000" cy="3462750"/>
                    </a:xfrm>
                    <a:prstGeom prst="rect"/>
                  </pic:spPr>
                </pic:pic>
              </a:graphicData>
            </a:graphic>
          </wp:inline>
        </w:drawing>
      </w:r>
    </w:p>
    <w:p>
      <w:pPr>
        <w:spacing w:before="40" w:after="140"/>
        <w:jc w:val="center"/>
      </w:pPr>
      <w:r>
        <w:rPr>
          <w:rFonts w:ascii="微软雅黑" w:hAnsi="微软雅黑" w:eastAsia="微软雅黑"/>
          <w:i/>
          <w:color w:val="53606C"/>
          <w:sz w:val="18"/>
        </w:rPr>
        <w:t>图 3：privacy-utility tradeoff。左下越好，projection-only 消融点显示新的主方法候选空间。</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24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层级</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方法</w:t>
            </w:r>
          </w:p>
        </w:tc>
        <w:tc>
          <w:tcPr>
            <w:tcW w:type="dxa" w:w="340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事实依据</w:t>
            </w:r>
          </w:p>
        </w:tc>
        <w:tc>
          <w:tcPr>
            <w:tcW w:type="dxa" w:w="294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当前判断</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第一层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topk@0.1; compression@8</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 分别为 0.912462 / 0.911315</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full-gradient DAGER 下当前最强经验 tradeoff</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第二层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topk@0.3; compression@16</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DAGER=0；accuracy=0.910933 / 0.909021</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已补齐但未反超强点</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第三层</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lrb@0.5</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DAGER=0；accuracy=0.892584；drop=0.020642</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完整 LRB 当前最好 utility 点，但仍偏重</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第四层</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lrb@0.2/0.35</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DAGER=0；drop=0.091361 / 0.045107</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privacy 饱和，utility 不足</w:t>
            </w:r>
          </w:p>
        </w:tc>
      </w:tr>
      <w:tr>
        <w:tc>
          <w:tcPr>
            <w:tcW w:type="dxa" w:w="124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失败/附录层</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mixup/noise/dpsgd/soteria</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要么 privacy 不成立，要么 utility 代价过大</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作为 baseline coverage 保留，不宜做主竞争点</w:t>
            </w:r>
          </w:p>
        </w:tc>
      </w:tr>
    </w:tbl>
    <w:p/>
    <w:p>
      <w:pPr>
        <w:pStyle w:val="Heading1"/>
        <w:spacing w:before="200" w:after="120"/>
      </w:pPr>
      <w:r>
        <w:t>十三、LRB 消融：机制证据</w:t>
      </w:r>
    </w:p>
    <w:p>
      <w:pPr>
        <w:spacing w:after="100" w:line="276" w:lineRule="auto"/>
        <w:ind w:firstLine="420"/>
      </w:pPr>
      <w:r>
        <w:rPr>
          <w:rFonts w:ascii="微软雅黑" w:hAnsi="微软雅黑" w:eastAsia="微软雅黑"/>
          <w:sz w:val="21"/>
        </w:rPr>
        <w:t>完整消融结果是当前最有价值的新证据。它显示 full_lrb 并不是当前最优形式：真正的主效应来自低分辨率 signed_pool projection。proj_only@0.5 在不加 residual noise、不做额外 clipping 的情况下已经把 DAGER rec_token_mean 和 ROUGE 恢复全部降到 0，并保持 clean-level accuracy。</w:t>
      </w:r>
    </w:p>
    <w:tbl>
      <w:tblPr>
        <w:tblStyle w:val="TableGrid"/>
        <w:tblW w:type="auto" w:w="0"/>
        <w:jc w:val="center"/>
        <w:tblLook w:firstColumn="1" w:firstRow="1" w:lastColumn="0" w:lastRow="0" w:noHBand="0" w:noVBand="1" w:val="04A0"/>
      </w:tblPr>
      <w:tblGrid>
        <w:gridCol w:w="1718"/>
        <w:gridCol w:w="1718"/>
        <w:gridCol w:w="1718"/>
        <w:gridCol w:w="1718"/>
        <w:gridCol w:w="1718"/>
        <w:gridCol w:w="1718"/>
        <w:gridCol w:w="1718"/>
        <w:gridCol w:w="1718"/>
      </w:tblGrid>
      <w:tr>
        <w:tc>
          <w:tcPr>
            <w:tcW w:type="dxa" w:w="1814"/>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variant</w:t>
            </w:r>
          </w:p>
        </w:tc>
        <w:tc>
          <w:tcPr>
            <w:tcW w:type="dxa" w:w="119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rec_token</w:t>
            </w:r>
          </w:p>
        </w:tc>
        <w:tc>
          <w:tcPr>
            <w:tcW w:type="dxa" w:w="1134"/>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R1+R2</w:t>
            </w:r>
          </w:p>
        </w:tc>
        <w:tc>
          <w:tcPr>
            <w:tcW w:type="dxa" w:w="1191"/>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accuracy</w:t>
            </w:r>
          </w:p>
        </w:tc>
        <w:tc>
          <w:tcPr>
            <w:tcW w:type="dxa" w:w="1020"/>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drop</w:t>
            </w:r>
          </w:p>
        </w:tc>
        <w:tc>
          <w:tcPr>
            <w:tcW w:type="dxa" w:w="1247"/>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train_time</w:t>
            </w:r>
          </w:p>
        </w:tc>
        <w:tc>
          <w:tcPr>
            <w:tcW w:type="dxa" w:w="1247"/>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attack_time</w:t>
            </w:r>
          </w:p>
        </w:tc>
        <w:tc>
          <w:tcPr>
            <w:tcW w:type="dxa" w:w="2665"/>
            <w:vAlign w:val="center"/>
            <w:shd w:fill="D9EAF7"/>
          </w:tcPr>
          <w:p>
            <w:pPr>
              <w:spacing w:after="0" w:line="252" w:lineRule="auto"/>
              <w:jc w:val="center"/>
            </w:pPr>
            <w:r>
              <w:rPr>
                <w:rFonts w:ascii="微软雅黑" w:hAnsi="微软雅黑" w:eastAsia="微软雅黑"/>
                <w:b/>
                <w:color w:val="123047"/>
                <w:sz w:val="14"/>
              </w:rPr>
            </w:r>
            <w:r>
              <w:rPr>
                <w:rFonts w:ascii="微软雅黑" w:hAnsi="微软雅黑" w:eastAsia="微软雅黑"/>
                <w:b/>
                <w:color w:val="123047"/>
                <w:sz w:val="14"/>
              </w:rPr>
              <w:t>机制结论</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none</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0.855333</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148.260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00:20:02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00:05:19</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clean 锚点，泄露严重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identity_lrb</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0.855333</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148.260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00:53:14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00:07:18</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证明 LRB 管线本身不改变结果</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clip_only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0.854076</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147.956</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0.918196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-0.004970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00:54:11</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00:07:21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clipping 几乎不能阻断恢复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proj_only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0.915520</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-0.002294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01:25:34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00:08:50</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主效应：DAGER=0 且 utility 最好</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proj_clip</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0.913226</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01:25:53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00:08:12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DAGER=0，utility 接近 clean</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full_lrb</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0.892584</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0.020642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01:57:04</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00:14:11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DAGER=0，但 residual noise/完整配置过重</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pool_full</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0.870031</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0.043195</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01:41:12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00:17:52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普通 pool 弱于 signed_pool</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rule_only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0.868884</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0.044342</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01:54:33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00:12:01</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只用规则/完整强防御 utility 代价大</w:t>
            </w:r>
          </w:p>
        </w:tc>
      </w:tr>
      <w:tr>
        <w:tc>
          <w:tcPr>
            <w:tcW w:type="dxa" w:w="1814"/>
            <w:vAlign w:val="center"/>
          </w:tcPr>
          <w:p>
            <w:pPr>
              <w:spacing w:after="0" w:line="252" w:lineRule="auto"/>
              <w:jc w:val="center"/>
            </w:pPr>
            <w:r>
              <w:rPr>
                <w:rFonts w:ascii="微软雅黑" w:hAnsi="微软雅黑" w:eastAsia="微软雅黑"/>
                <w:b/>
                <w:color w:val="1F2933"/>
                <w:sz w:val="14"/>
              </w:rPr>
            </w:r>
            <w:r>
              <w:rPr>
                <w:rFonts w:ascii="微软雅黑" w:hAnsi="微软雅黑" w:eastAsia="微软雅黑"/>
                <w:b/>
                <w:color w:val="1F2933"/>
                <w:sz w:val="14"/>
              </w:rPr>
              <w:t>empirical_only</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0.902523</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0.010703</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04:01:50</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00:12:15</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能防住但有 utility 代价和开销</w:t>
            </w:r>
          </w:p>
        </w:tc>
      </w:tr>
      <w:tr>
        <w:tc>
          <w:tcPr>
            <w:tcW w:type="dxa" w:w="1814"/>
            <w:vAlign w:val="center"/>
          </w:tcPr>
          <w:p>
            <w:pPr>
              <w:spacing w:after="0" w:line="252" w:lineRule="auto"/>
              <w:jc w:val="left"/>
            </w:pPr>
            <w:r>
              <w:rPr>
                <w:rFonts w:ascii="微软雅黑" w:hAnsi="微软雅黑" w:eastAsia="微软雅黑"/>
                <w:b/>
                <w:color w:val="1F2933"/>
                <w:sz w:val="14"/>
              </w:rPr>
            </w:r>
            <w:r>
              <w:rPr>
                <w:rFonts w:ascii="微软雅黑" w:hAnsi="微软雅黑" w:eastAsia="微软雅黑"/>
                <w:b/>
                <w:color w:val="1F2933"/>
                <w:sz w:val="14"/>
              </w:rPr>
              <w:t>uniform_all_sensitive</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0.000000</w:t>
            </w:r>
          </w:p>
        </w:tc>
        <w:tc>
          <w:tcPr>
            <w:tcW w:type="dxa" w:w="1134"/>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0.000</w:t>
            </w:r>
          </w:p>
        </w:tc>
        <w:tc>
          <w:tcPr>
            <w:tcW w:type="dxa" w:w="1191"/>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0.842890</w:t>
            </w:r>
          </w:p>
        </w:tc>
        <w:tc>
          <w:tcPr>
            <w:tcW w:type="dxa" w:w="1020"/>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0.070336</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01:55:45</w:t>
            </w:r>
          </w:p>
        </w:tc>
        <w:tc>
          <w:tcPr>
            <w:tcW w:type="dxa" w:w="1247"/>
            <w:vAlign w:val="center"/>
          </w:tcPr>
          <w:p>
            <w:pPr>
              <w:spacing w:after="0" w:line="252" w:lineRule="auto"/>
              <w:jc w:val="center"/>
            </w:pPr>
            <w:r>
              <w:rPr>
                <w:rFonts w:ascii="微软雅黑" w:hAnsi="微软雅黑" w:eastAsia="微软雅黑"/>
                <w:color w:val="1F2933"/>
                <w:sz w:val="14"/>
              </w:rPr>
            </w:r>
            <w:r>
              <w:rPr>
                <w:rFonts w:ascii="微软雅黑" w:hAnsi="微软雅黑" w:eastAsia="微软雅黑"/>
                <w:b w:val="0"/>
                <w:color w:val="1F2933"/>
                <w:sz w:val="14"/>
              </w:rPr>
              <w:t>00:10:22</w:t>
            </w:r>
          </w:p>
        </w:tc>
        <w:tc>
          <w:tcPr>
            <w:tcW w:type="dxa" w:w="2665"/>
            <w:vAlign w:val="center"/>
          </w:tcPr>
          <w:p>
            <w:pPr>
              <w:spacing w:after="0" w:line="252" w:lineRule="auto"/>
              <w:jc w:val="left"/>
            </w:pPr>
            <w:r>
              <w:rPr>
                <w:rFonts w:ascii="微软雅黑" w:hAnsi="微软雅黑" w:eastAsia="微软雅黑"/>
                <w:color w:val="1F2933"/>
                <w:sz w:val="14"/>
              </w:rPr>
            </w:r>
            <w:r>
              <w:rPr>
                <w:rFonts w:ascii="微软雅黑" w:hAnsi="微软雅黑" w:eastAsia="微软雅黑"/>
                <w:b w:val="0"/>
                <w:color w:val="1F2933"/>
                <w:sz w:val="14"/>
              </w:rPr>
              <w:t>一刀切 layer-wise 设计不佳</w:t>
            </w:r>
          </w:p>
        </w:tc>
      </w:tr>
    </w:tbl>
    <w:p/>
    <w:p>
      <w:pPr>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ablation_accuracy_bar.png"/>
                    <pic:cNvPicPr/>
                  </pic:nvPicPr>
                  <pic:blipFill>
                    <a:blip r:embed="rId12"/>
                    <a:stretch>
                      <a:fillRect/>
                    </a:stretch>
                  </pic:blipFill>
                  <pic:spPr>
                    <a:xfrm>
                      <a:off x="0" y="0"/>
                      <a:ext cx="5760000" cy="3240000"/>
                    </a:xfrm>
                    <a:prstGeom prst="rect"/>
                  </pic:spPr>
                </pic:pic>
              </a:graphicData>
            </a:graphic>
          </wp:inline>
        </w:drawing>
      </w:r>
    </w:p>
    <w:p>
      <w:pPr>
        <w:spacing w:before="40" w:after="140"/>
        <w:jc w:val="center"/>
      </w:pPr>
      <w:r>
        <w:rPr>
          <w:rFonts w:ascii="微软雅黑" w:hAnsi="微软雅黑" w:eastAsia="微软雅黑"/>
          <w:i/>
          <w:color w:val="53606C"/>
          <w:sz w:val="18"/>
        </w:rPr>
        <w:t>图 4：LRB 消融的 utility 对比。</w:t>
      </w:r>
    </w:p>
    <w:tbl>
      <w:tblPr>
        <w:tblW w:type="auto" w:w="0"/>
        <w:jc w:val="center"/>
        <w:tblLook w:firstColumn="1" w:firstRow="1" w:lastColumn="0" w:lastRow="0" w:noHBand="0" w:noVBand="1" w:val="04A0"/>
      </w:tblPr>
      <w:tblGrid>
        <w:gridCol w:w="13742"/>
      </w:tblGrid>
      <w:tr>
        <w:tc>
          <w:tcPr>
            <w:tcW w:type="dxa" w:w="13742"/>
            <w:shd w:fill="EAF5F2"/>
          </w:tcPr>
          <w:p>
            <w:pPr>
              <w:spacing w:after="80"/>
            </w:pPr>
            <w:r>
              <w:rPr>
                <w:rFonts w:ascii="微软雅黑" w:hAnsi="微软雅黑" w:eastAsia="微软雅黑"/>
                <w:b/>
                <w:color w:val="123047"/>
                <w:sz w:val="21"/>
              </w:rPr>
              <w:t>消融给出的关键改口</w:t>
            </w:r>
          </w:p>
          <w:p>
            <w:pPr>
              <w:spacing w:after="40" w:line="259" w:lineRule="auto"/>
            </w:pPr>
            <w:r>
              <w:rPr>
                <w:rFonts w:ascii="微软雅黑" w:hAnsi="微软雅黑" w:eastAsia="微软雅黑"/>
                <w:color w:val="1F2933"/>
                <w:sz w:val="19"/>
              </w:rPr>
              <w:t>不建议再把 full_lrb@0.5 直接写成唯一主方法。更稳的主候选是 Projection-LRB / LRB-lite：layer-wise low-resolution signed_pool projection。</w:t>
            </w:r>
          </w:p>
          <w:p>
            <w:pPr>
              <w:spacing w:after="40" w:line="259" w:lineRule="auto"/>
            </w:pPr>
            <w:r>
              <w:rPr>
                <w:rFonts w:ascii="微软雅黑" w:hAnsi="微软雅黑" w:eastAsia="微软雅黑"/>
                <w:color w:val="1F2933"/>
                <w:sz w:val="19"/>
              </w:rPr>
              <w:t>full_lrb 可保留为强防御 / 过防御对照，用来说明 residual noise 和完整配置并非当前 full-gradient DAGER 的必要主效应。</w:t>
            </w:r>
          </w:p>
        </w:tc>
      </w:tr>
    </w:tbl>
    <w:p/>
    <w:p>
      <w:pPr>
        <w:pStyle w:val="Heading1"/>
        <w:spacing w:before="200" w:after="120"/>
      </w:pPr>
      <w:r>
        <w:t>十四、工程进度与已接通能力</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170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模块</w:t>
            </w:r>
          </w:p>
        </w:tc>
        <w:tc>
          <w:tcPr>
            <w:tcW w:type="dxa" w:w="181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当前状态</w:t>
            </w:r>
          </w:p>
        </w:tc>
        <w:tc>
          <w:tcPr>
            <w:tcW w:type="dxa" w:w="345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已完成能力</w:t>
            </w:r>
          </w:p>
        </w:tc>
        <w:tc>
          <w:tcPr>
            <w:tcW w:type="dxa" w:w="294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主要缺口</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baseline</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已接通并有正式结果</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defense_baselines.sh；collect_experiment_logs.py；n_inputs=100 sweep</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跨数据集/backbone 仍待补</w:t>
            </w:r>
          </w:p>
        </w:tc>
      </w:tr>
      <w:tr>
        <w:tc>
          <w:tcPr>
            <w:tcW w:type="dxa" w:w="170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Full training utility</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已接通</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train.py 支持 full training --defense lrb/topk/compression/noise/dpsgd/mixup</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LRB runtime 和 seed 方差需要优化</w:t>
            </w:r>
          </w:p>
        </w:tc>
      </w:tr>
      <w:tr>
        <w:tc>
          <w:tcPr>
            <w:tcW w:type="dxa" w:w="1701"/>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LRB preset / ablation</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已完成一轮完整消融</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identity/clip/proj/full/pool/rule/empirical/uniform</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keep-ratio sweep 与 projection-only 细消融待补</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PEFT / LoRA</w:t>
            </w:r>
          </w:p>
        </w:tc>
        <w:tc>
          <w:tcPr>
            <w:tcW w:type="dxa" w:w="181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eval-first 最小框架已具备</w:t>
            </w:r>
          </w:p>
        </w:tc>
        <w:tc>
          <w:tcPr>
            <w:tcW w:type="dxa" w:w="345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加载本地 .pt/.pth LoRA checkpoint；支持 none/noise/topk/compression/lrb</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训练期 LoRA defense、BERT PEFT、Adapter/IA3/Prefix 未接通</w:t>
            </w:r>
          </w:p>
        </w:tc>
      </w:tr>
      <w:tr>
        <w:tc>
          <w:tcPr>
            <w:tcW w:type="dxa" w:w="1701"/>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Partial-gradient</w:t>
            </w:r>
          </w:p>
        </w:tc>
        <w:tc>
          <w:tcPr>
            <w:tcW w:type="dxa" w:w="181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文档建模完成，代码入口不足</w:t>
            </w:r>
          </w:p>
        </w:tc>
        <w:tc>
          <w:tcPr>
            <w:tcW w:type="dxa" w:w="345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已有威胁模型和实验计划</w:t>
            </w:r>
          </w:p>
        </w:tc>
        <w:tc>
          <w:tcPr>
            <w:tcW w:type="dxa" w:w="294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需要 gradient_layer_subset / gradient_param_filter 等入口</w:t>
            </w:r>
          </w:p>
        </w:tc>
      </w:tr>
    </w:tbl>
    <w:p/>
    <w:p>
      <w:pPr>
        <w:pStyle w:val="Heading1"/>
        <w:spacing w:before="200" w:after="120"/>
      </w:pPr>
      <w:r>
        <w:t>十五、论文逻辑与图表规划</w:t>
      </w:r>
    </w:p>
    <w:p>
      <w:pPr>
        <w:spacing w:after="100" w:line="276" w:lineRule="auto"/>
        <w:ind w:firstLine="420"/>
      </w:pPr>
      <w:r>
        <w:rPr>
          <w:rFonts w:ascii="微软雅黑" w:hAnsi="微软雅黑" w:eastAsia="微软雅黑"/>
          <w:sz w:val="21"/>
        </w:rPr>
        <w:t>参考用户提供的三张图，当前材料可以组织成五阶段逻辑：任务价值、机制缺陷、替代机制、技术落地、最终交付。现阶段最需要的是把实验事实转换成一组清晰图表，并避免过度宣称。</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737"/>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阶段</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核心问题</w:t>
            </w:r>
          </w:p>
        </w:tc>
        <w:tc>
          <w:tcPr>
            <w:tcW w:type="dxa" w:w="374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当前实质内容</w:t>
            </w:r>
          </w:p>
        </w:tc>
        <w:tc>
          <w:tcPr>
            <w:tcW w:type="dxa" w:w="328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还缺什么证据</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1</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这件事凭什么值得做？</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FedSGD/LLM clean 梯度可被 DAGER 严重恢复；rec_token=0.833506</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Introduction 中补任务价值与强攻击文献 anchor</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2</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能力卡在哪个环节？</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泄露来自梯度/更新中的高分辨率 recoverability 结构</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 gradient 子空间暴露 token 信息讲成明确 problem statement</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3</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别人为什么绕不开？</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noise/DP utility 代价大；topk/compression 强但不是隐私中心设计</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解释压缩类方法在 full-gradient DAGER 上强但泛化性未证</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4</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新机制如何落地？</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Projection-LRB：layer-wise sensitivity -&gt; signed_pool bottleneck -&gt; defended update</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keep-ratio sweep 与 PEFT/partial-gradient 验证</w:t>
            </w:r>
          </w:p>
        </w:tc>
      </w:tr>
      <w:tr>
        <w:tc>
          <w:tcPr>
            <w:tcW w:type="dxa" w:w="737"/>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5</w:t>
            </w:r>
          </w:p>
        </w:tc>
        <w:tc>
          <w:tcPr>
            <w:tcW w:type="dxa" w:w="226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最终交付什么？</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当前可交付方法候选、消融结论、主结果表雏形</w:t>
            </w:r>
          </w:p>
        </w:tc>
        <w:tc>
          <w:tcPr>
            <w:tcW w:type="dxa" w:w="328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跨攻击面主表、复杂度分析、稳定结论</w:t>
            </w:r>
          </w:p>
        </w:tc>
      </w:tr>
    </w:tbl>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209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图表类型</w:t>
            </w:r>
          </w:p>
        </w:tc>
        <w:tc>
          <w:tcPr>
            <w:tcW w:type="dxa" w:w="215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论文位置</w:t>
            </w:r>
          </w:p>
        </w:tc>
        <w:tc>
          <w:tcPr>
            <w:tcW w:type="dxa" w:w="340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核心功能</w:t>
            </w:r>
          </w:p>
        </w:tc>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当前状态</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Main Results 对比表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Main Results</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比较 none/topk/compression/full_lrb/proj_only 等</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已有数据，需纳入 projection 点和强 baseline</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Ablation Study 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Ablation</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证明 projection 是主效应</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已具备完整结果</w:t>
            </w:r>
          </w:p>
        </w:tc>
      </w:tr>
      <w:tr>
        <w:tc>
          <w:tcPr>
            <w:tcW w:type="dxa" w:w="209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Privacy-Utility Pareto 图</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Analysis</w:t>
            </w:r>
          </w:p>
        </w:tc>
        <w:tc>
          <w:tcPr>
            <w:tcW w:type="dxa" w:w="340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同等 privacy 下比较效用</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已有初版，需补 proj_only sweep</w:t>
            </w:r>
          </w:p>
        </w:tc>
      </w:tr>
      <w:tr>
        <w:tc>
          <w:tcPr>
            <w:tcW w:type="dxa" w:w="2098"/>
            <w:vAlign w:val="center"/>
          </w:tcPr>
          <w:p>
            <w:pPr>
              <w:spacing w:after="0" w:line="252" w:lineRule="auto"/>
              <w:jc w:val="left"/>
            </w:pPr>
            <w:r>
              <w:rPr>
                <w:rFonts w:ascii="微软雅黑" w:hAnsi="微软雅黑" w:eastAsia="微软雅黑"/>
                <w:b/>
                <w:color w:val="1F2933"/>
                <w:sz w:val="16"/>
              </w:rPr>
            </w:r>
            <w:r>
              <w:rPr>
                <w:rFonts w:ascii="微软雅黑" w:hAnsi="微软雅黑" w:eastAsia="微软雅黑"/>
                <w:b/>
                <w:color w:val="1F2933"/>
                <w:sz w:val="16"/>
              </w:rPr>
              <w:t>Framework Overview 图</w:t>
            </w:r>
          </w:p>
        </w:tc>
        <w:tc>
          <w:tcPr>
            <w:tcW w:type="dxa" w:w="2154"/>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Method</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30 秒看懂 Projection-LRB 数据流</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需绘制正式论文图</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复杂度分析图</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Analysis</w:t>
            </w:r>
          </w:p>
        </w:tc>
        <w:tc>
          <w:tcPr>
            <w:tcW w:type="dxa" w:w="340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展示 accuracy vs train/attack/proxy runtime</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已有时间数据，需整理</w:t>
            </w:r>
          </w:p>
        </w:tc>
      </w:tr>
      <w:tr>
        <w:tc>
          <w:tcPr>
            <w:tcW w:type="dxa" w:w="209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Transfer / PEFT 表</w:t>
            </w:r>
          </w:p>
        </w:tc>
        <w:tc>
          <w:tcPr>
            <w:tcW w:type="dxa" w:w="2154"/>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Experiments - Transfer</w:t>
            </w:r>
          </w:p>
        </w:tc>
        <w:tc>
          <w:tcPr>
            <w:tcW w:type="dxa" w:w="340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证明跨攻击面泛化</w:t>
            </w:r>
          </w:p>
        </w:tc>
        <w:tc>
          <w:tcPr>
            <w:tcW w:type="dxa" w:w="226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尚待实验</w:t>
            </w:r>
          </w:p>
        </w:tc>
      </w:tr>
    </w:tbl>
    <w:p/>
    <w:p>
      <w:pPr>
        <w:pStyle w:val="Heading1"/>
        <w:spacing w:before="200" w:after="120"/>
      </w:pPr>
      <w:r>
        <w:t>十六、当前不应过度声称的内容</w:t>
      </w:r>
    </w:p>
    <w:p>
      <w:pPr>
        <w:pStyle w:val="ListBullet"/>
        <w:spacing w:after="40" w:line="259" w:lineRule="auto"/>
      </w:pPr>
      <w:r>
        <w:rPr>
          <w:rFonts w:ascii="微软雅黑" w:hAnsi="微软雅黑" w:eastAsia="微软雅黑"/>
          <w:sz w:val="20"/>
        </w:rPr>
        <w:t>不能写成 LRB 已在 SST2/GPT2 上全面优于 topk/compression。当前 full-gradient DAGER 下，topk@0.1 与 compression@8 的经验 tradeoff 更强。</w:t>
      </w:r>
    </w:p>
    <w:p>
      <w:pPr>
        <w:pStyle w:val="ListBullet"/>
        <w:spacing w:after="40" w:line="259" w:lineRule="auto"/>
      </w:pPr>
      <w:r>
        <w:rPr>
          <w:rFonts w:ascii="微软雅黑" w:hAnsi="微软雅黑" w:eastAsia="微软雅黑"/>
          <w:sz w:val="20"/>
        </w:rPr>
        <w:t>不能写成 full_lrb 是最终主方法。消融已经显示 proj_only@0.5 更像当前主候选。</w:t>
      </w:r>
    </w:p>
    <w:p>
      <w:pPr>
        <w:pStyle w:val="ListBullet"/>
        <w:spacing w:after="40" w:line="259" w:lineRule="auto"/>
      </w:pPr>
      <w:r>
        <w:rPr>
          <w:rFonts w:ascii="微软雅黑" w:hAnsi="微软雅黑" w:eastAsia="微软雅黑"/>
          <w:sz w:val="20"/>
        </w:rPr>
        <w:t>不能说 proj_only 在 LoRA/PEFT 或 partial-gradient 下必然最优。这些攻击面还没有完整结果。</w:t>
      </w:r>
    </w:p>
    <w:p>
      <w:pPr>
        <w:pStyle w:val="ListBullet"/>
        <w:spacing w:after="40" w:line="259" w:lineRule="auto"/>
      </w:pPr>
      <w:r>
        <w:rPr>
          <w:rFonts w:ascii="微软雅黑" w:hAnsi="微软雅黑" w:eastAsia="微软雅黑"/>
          <w:sz w:val="20"/>
        </w:rPr>
        <w:t>不能把 LRB 当成严格 DP 方法。它有裁剪和加噪，但没有完整 epsilon/delta 证明。</w:t>
      </w:r>
    </w:p>
    <w:p>
      <w:pPr>
        <w:pStyle w:val="ListBullet"/>
        <w:spacing w:after="40" w:line="259" w:lineRule="auto"/>
      </w:pPr>
      <w:r>
        <w:rPr>
          <w:rFonts w:ascii="微软雅黑" w:hAnsi="微软雅黑" w:eastAsia="微软雅黑"/>
          <w:sz w:val="20"/>
        </w:rPr>
        <w:t>不能把 compression@2 算入稳定成功点。本次 n_inputs=100 在 56/100 处失败。</w:t>
      </w:r>
    </w:p>
    <w:p>
      <w:pPr>
        <w:pStyle w:val="Heading1"/>
        <w:spacing w:before="200" w:after="120"/>
      </w:pPr>
      <w:r>
        <w:t>十七、下一步优先级</w:t>
      </w:r>
    </w:p>
    <w:tbl>
      <w:tblPr>
        <w:tblStyle w:val="TableGrid"/>
        <w:tblW w:type="auto" w:w="0"/>
        <w:jc w:val="center"/>
        <w:tblLook w:firstColumn="1" w:firstRow="1" w:lastColumn="0" w:lastRow="0" w:noHBand="0" w:noVBand="1" w:val="04A0"/>
      </w:tblPr>
      <w:tblGrid>
        <w:gridCol w:w="3435"/>
        <w:gridCol w:w="3435"/>
        <w:gridCol w:w="3435"/>
        <w:gridCol w:w="3435"/>
      </w:tblGrid>
      <w:tr>
        <w:tc>
          <w:tcPr>
            <w:tcW w:type="dxa" w:w="964"/>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优先级</w:t>
            </w:r>
          </w:p>
        </w:tc>
        <w:tc>
          <w:tcPr>
            <w:tcW w:type="dxa" w:w="260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任务</w:t>
            </w:r>
          </w:p>
        </w:tc>
        <w:tc>
          <w:tcPr>
            <w:tcW w:type="dxa" w:w="3742"/>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目标</w:t>
            </w:r>
          </w:p>
        </w:tc>
        <w:tc>
          <w:tcPr>
            <w:tcW w:type="dxa" w:w="2721"/>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建议输出</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把主方法候选切换到 Projection-LRB / proj_only@0.5</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让论文方法与消融证据一致</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主方法描述、main table 新行</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proj_only keep-ratio sweep</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找 DAGER=0 时 utility 最高的最宽松 bottleneck</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k=0.5/0.65/0.75/0.9 曲线</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P0</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projection-only 细消融</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拆开 rule / empirical / uniform / no_empirical 的作用</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proj_rule_only、proj_empirical_only、proj_uniform、proj_no_empirical 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P1</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重做主结果和 Pareto 表</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把 topk/compression/full_lrb/proj_only 同台比较</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main results + Pareto 图</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P1</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LoRA/PEFT 对照</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验证跨实际轻量更新攻击面</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none/proj_only/proj_clip/full_lrb/topk/compression 的 PEFT 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partial-gradient / layer-level leakage</w:t>
            </w:r>
          </w:p>
        </w:tc>
        <w:tc>
          <w:tcPr>
            <w:tcW w:type="dxa" w:w="3742"/>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验证局部更新泄露下的结构性防御价值</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first block / qkv / last layers 等攻击面表</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跨数据集/backbone</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避免单一 SST2/GPT2 偶然性</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cola/rte/gpt2; sst2/bert 等结果</w:t>
            </w:r>
          </w:p>
        </w:tc>
      </w:tr>
      <w:tr>
        <w:tc>
          <w:tcPr>
            <w:tcW w:type="dxa" w:w="964"/>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P2</w:t>
            </w:r>
          </w:p>
        </w:tc>
        <w:tc>
          <w:tcPr>
            <w:tcW w:type="dxa" w:w="2608"/>
            <w:vAlign w:val="center"/>
          </w:tcPr>
          <w:p>
            <w:pPr>
              <w:spacing w:after="0" w:line="252" w:lineRule="auto"/>
              <w:jc w:val="center"/>
            </w:pPr>
            <w:r>
              <w:rPr>
                <w:rFonts w:ascii="微软雅黑" w:hAnsi="微软雅黑" w:eastAsia="微软雅黑"/>
                <w:color w:val="1F2933"/>
                <w:sz w:val="16"/>
              </w:rPr>
            </w:r>
            <w:r>
              <w:rPr>
                <w:rFonts w:ascii="微软雅黑" w:hAnsi="微软雅黑" w:eastAsia="微软雅黑"/>
                <w:b w:val="0"/>
                <w:color w:val="1F2933"/>
                <w:sz w:val="16"/>
              </w:rPr>
              <w:t>runtime 优化</w:t>
            </w:r>
          </w:p>
        </w:tc>
        <w:tc>
          <w:tcPr>
            <w:tcW w:type="dxa" w:w="3742"/>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降低 Projection-LRB 和 full_lrb 实用开销</w:t>
            </w:r>
          </w:p>
        </w:tc>
        <w:tc>
          <w:tcPr>
            <w:tcW w:type="dxa" w:w="2721"/>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train time / attack time / proxy runtime 分析图</w:t>
            </w:r>
          </w:p>
        </w:tc>
      </w:tr>
    </w:tbl>
    <w:p/>
    <w:p>
      <w:pPr>
        <w:pStyle w:val="Heading1"/>
        <w:spacing w:before="200" w:after="120"/>
      </w:pPr>
      <w:r>
        <w:t>十八、可以直接用于汇报的阶段性结论</w:t>
      </w:r>
    </w:p>
    <w:tbl>
      <w:tblPr>
        <w:tblW w:type="auto" w:w="0"/>
        <w:jc w:val="center"/>
        <w:tblLook w:firstColumn="1" w:firstRow="1" w:lastColumn="0" w:lastRow="0" w:noHBand="0" w:noVBand="1" w:val="04A0"/>
      </w:tblPr>
      <w:tblGrid>
        <w:gridCol w:w="13742"/>
      </w:tblGrid>
      <w:tr>
        <w:tc>
          <w:tcPr>
            <w:tcW w:type="dxa" w:w="13742"/>
            <w:shd w:fill="EAF5F2"/>
          </w:tcPr>
          <w:p>
            <w:pPr>
              <w:spacing w:after="80"/>
            </w:pPr>
            <w:r>
              <w:rPr>
                <w:rFonts w:ascii="微软雅黑" w:hAnsi="微软雅黑" w:eastAsia="微软雅黑"/>
                <w:b/>
                <w:color w:val="123047"/>
                <w:sz w:val="21"/>
              </w:rPr>
              <w:t>中文结论</w:t>
            </w:r>
          </w:p>
          <w:p>
            <w:pPr>
              <w:spacing w:after="40" w:line="259" w:lineRule="auto"/>
            </w:pPr>
            <w:r>
              <w:rPr>
                <w:rFonts w:ascii="微软雅黑" w:hAnsi="微软雅黑" w:eastAsia="微软雅黑"/>
                <w:color w:val="1F2933"/>
                <w:sz w:val="19"/>
              </w:rPr>
              <w:t>当前 SST2+GPT2+batch=2 的 full-gradient DAGER 实验表明，clean FedSGD 梯度存在严重文本恢复风险。LRB 完整配置能稳定把 DAGER 恢复压到 0，但其 clipping 和 residual noise 带来了明显 utility 代价。消融进一步显示，低分辨率 signed_pool projection 是当前 LRB 有效性的主因：proj_only@0.5 在不加噪、不做完整裁剪的情况下即可实现 DAGER=0，并保持 clean-level accuracy。因此，下一阶段应把主方法候选从 full_lrb 调整为 Projection-LRB / LRB-lite，并通过 keep-ratio sweep、LoRA/PEFT、partial-gradient 和跨数据集实验验证其泛化价值。</w:t>
            </w:r>
          </w:p>
        </w:tc>
      </w:tr>
    </w:tbl>
    <w:p/>
    <w:tbl>
      <w:tblPr>
        <w:tblW w:type="auto" w:w="0"/>
        <w:jc w:val="center"/>
        <w:tblLook w:firstColumn="1" w:firstRow="1" w:lastColumn="0" w:lastRow="0" w:noHBand="0" w:noVBand="1" w:val="04A0"/>
      </w:tblPr>
      <w:tblGrid>
        <w:gridCol w:w="13742"/>
      </w:tblGrid>
      <w:tr>
        <w:tc>
          <w:tcPr>
            <w:tcW w:type="dxa" w:w="13742"/>
            <w:shd w:fill="F3F8FB"/>
          </w:tcPr>
          <w:p>
            <w:pPr>
              <w:spacing w:after="80"/>
            </w:pPr>
            <w:r>
              <w:rPr>
                <w:rFonts w:ascii="微软雅黑" w:hAnsi="微软雅黑" w:eastAsia="微软雅黑"/>
                <w:b/>
                <w:color w:val="123047"/>
                <w:sz w:val="21"/>
              </w:rPr>
              <w:t>English statement</w:t>
            </w:r>
          </w:p>
          <w:p>
            <w:pPr>
              <w:spacing w:after="40" w:line="259" w:lineRule="auto"/>
            </w:pPr>
            <w:r>
              <w:rPr>
                <w:rFonts w:ascii="微软雅黑" w:hAnsi="微软雅黑" w:eastAsia="微软雅黑"/>
                <w:color w:val="1F2933"/>
                <w:sz w:val="19"/>
              </w:rPr>
              <w:t>In the current SST2/GPT2 full-gradient DAGER setting, the dominant effective component of LRB is the low-resolution signed projection bottleneck. While the full LRB configuration suppresses token recovery to zero, its clipping and residual-space noise introduce unnecessary utility loss. The projection-only variant achieves zero token recovery and zero ROUGE recovery while preserving clean-level accuracy, making Projection-LRB the most promising next method candidate.</w:t>
            </w:r>
          </w:p>
        </w:tc>
      </w:tr>
    </w:tbl>
    <w:p/>
    <w:p>
      <w:pPr>
        <w:pStyle w:val="Heading1"/>
        <w:spacing w:before="200" w:after="120"/>
      </w:pPr>
      <w:r>
        <w:t>十九、材料来源清单</w:t>
      </w:r>
    </w:p>
    <w:tbl>
      <w:tblPr>
        <w:tblStyle w:val="TableGrid"/>
        <w:tblW w:type="auto" w:w="0"/>
        <w:jc w:val="center"/>
        <w:tblLook w:firstColumn="1" w:firstRow="1" w:lastColumn="0" w:lastRow="0" w:noHBand="0" w:noVBand="1" w:val="04A0"/>
      </w:tblPr>
      <w:tblGrid>
        <w:gridCol w:w="6871"/>
        <w:gridCol w:w="6871"/>
      </w:tblGrid>
      <w:tr>
        <w:tc>
          <w:tcPr>
            <w:tcW w:type="dxa" w:w="2268"/>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类别</w:t>
            </w:r>
          </w:p>
        </w:tc>
        <w:tc>
          <w:tcPr>
            <w:tcW w:type="dxa" w:w="7370"/>
            <w:vAlign w:val="center"/>
            <w:shd w:fill="D9EAF7"/>
          </w:tcPr>
          <w:p>
            <w:pPr>
              <w:spacing w:after="0" w:line="252" w:lineRule="auto"/>
              <w:jc w:val="center"/>
            </w:pPr>
            <w:r>
              <w:rPr>
                <w:rFonts w:ascii="微软雅黑" w:hAnsi="微软雅黑" w:eastAsia="微软雅黑"/>
                <w:b/>
                <w:color w:val="123047"/>
                <w:sz w:val="16"/>
              </w:rPr>
            </w:r>
            <w:r>
              <w:rPr>
                <w:rFonts w:ascii="微软雅黑" w:hAnsi="微软雅黑" w:eastAsia="微软雅黑"/>
                <w:b/>
                <w:color w:val="123047"/>
                <w:sz w:val="16"/>
              </w:rPr>
              <w:t>路径</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模板</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D:\code\Projects\FedLLM\docs\初步思路模版.docx</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当前工作分析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D:\code\Projects\FedLLM\docs\CURRENT_WORK_STATUS_ANALYSIS_20260427.md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baseline 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D:\code\Projects\FedLLM\docs\DEFENSE_BASELINES_N100_ANALYSIS_20260502.md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Utility 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D:\code\Projects\FedLLM\docs\UTILITY_RESULTS_ANALYSIS_20260426.md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消融分析</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D:\code\Projects\FedLLM\docs\LRB_ABLATION_ANALYSIS_20260503.md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LRB 方法详解</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D:\code\Projects\FedLLM\docs\LRB_方法详解.md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FL-LLM 原始/整理思路</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D:\code\Projects\FedLLM\docs\FL-LLM.md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PEFT 框架</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D:\code\Projects\FedLLM\docs\PEFT_EVAL.md</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参考材料</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D:\code\Projects\FedLLM\docs\参考</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DAGER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D:\code\Projects\FedLLM\log\runs\defense_baselines_sst2_b2_gpt2_20260501_010024</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Utility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D:\code\Projects\FedLLM\log\runs\utility260426</w:t>
            </w:r>
          </w:p>
        </w:tc>
      </w:tr>
      <w:tr>
        <w:tc>
          <w:tcPr>
            <w:tcW w:type="dxa" w:w="2268"/>
            <w:vAlign w:val="center"/>
          </w:tcPr>
          <w:p>
            <w:pPr>
              <w:spacing w:after="0" w:line="252" w:lineRule="auto"/>
              <w:jc w:val="center"/>
            </w:pPr>
            <w:r>
              <w:rPr>
                <w:rFonts w:ascii="微软雅黑" w:hAnsi="微软雅黑" w:eastAsia="微软雅黑"/>
                <w:b/>
                <w:color w:val="1F2933"/>
                <w:sz w:val="16"/>
              </w:rPr>
            </w:r>
            <w:r>
              <w:rPr>
                <w:rFonts w:ascii="微软雅黑" w:hAnsi="微软雅黑" w:eastAsia="微软雅黑"/>
                <w:b/>
                <w:color w:val="1F2933"/>
                <w:sz w:val="16"/>
              </w:rPr>
              <w:t>Ablation runs</w:t>
            </w:r>
          </w:p>
        </w:tc>
        <w:tc>
          <w:tcPr>
            <w:tcW w:type="dxa" w:w="7370"/>
            <w:vAlign w:val="center"/>
          </w:tcPr>
          <w:p>
            <w:pPr>
              <w:spacing w:after="0" w:line="252" w:lineRule="auto"/>
              <w:jc w:val="left"/>
            </w:pPr>
            <w:r>
              <w:rPr>
                <w:rFonts w:ascii="微软雅黑" w:hAnsi="微软雅黑" w:eastAsia="微软雅黑"/>
                <w:color w:val="1F2933"/>
                <w:sz w:val="16"/>
              </w:rPr>
            </w:r>
            <w:r>
              <w:rPr>
                <w:rFonts w:ascii="微软雅黑" w:hAnsi="微软雅黑" w:eastAsia="微软雅黑"/>
                <w:b w:val="0"/>
                <w:color w:val="1F2933"/>
                <w:sz w:val="16"/>
              </w:rPr>
              <w:t>D:\code\Projects\FedLLM\log\runs\lrb_ablation_sst2_b2_gpt2_k0.5_20260501_004737</w:t>
            </w:r>
          </w:p>
        </w:tc>
      </w:tr>
    </w:tbl>
    <w:p/>
    <w:sectPr w:rsidR="00FC693F" w:rsidRPr="0006063C" w:rsidSect="00034616">
      <w:footerReference w:type="default" r:id="rId13"/>
      <w:pgSz w:w="15840" w:h="12240" w:orient="landscape"/>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color w:val="6B7280"/>
        <w:sz w:val="16"/>
      </w:rPr>
      <w:t>FedLLM / LRB 阶段性工作进展汇总 - 2026-05-05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2304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23047"/>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230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微软雅黑" w:hAnsi="微软雅黑" w:eastAsia="微软雅黑"/>
      <w:b/>
      <w:color w:val="1230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