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FedLLM / Projection-LRB 阶段性工作进展与论文整理稿</w:t>
      </w:r>
    </w:p>
    <w:p>
      <w:pPr>
        <w:jc w:val="center"/>
      </w:pPr>
      <w:r>
        <w:rPr>
          <w:rFonts w:ascii="Microsoft YaHei" w:hAnsi="Microsoft YaHei" w:eastAsia="Microsoft YaHei"/>
          <w:color w:val="526070"/>
          <w:sz w:val="21"/>
        </w:rPr>
        <w:t>基于现有实验、初步思路模板与 agent 建议整理；不包含 Overleaf / LaTeX 生成</w:t>
      </w:r>
    </w:p>
    <w:tbl>
      <w:tblPr>
        <w:tblStyle w:val="TableGrid"/>
        <w:tblW w:type="auto" w:w="0"/>
        <w:jc w:val="center"/>
        <w:tblLook w:firstColumn="1" w:firstRow="1" w:lastColumn="0" w:lastRow="0" w:noHBand="0" w:noVBand="1" w:val="04A0"/>
        <w:tblBorders>
          <w:top w:val="single" w:sz="6" w:space="0" w:color="D4DBE3"/>
          <w:left w:val="single" w:sz="6" w:space="0" w:color="D4DBE3"/>
          <w:bottom w:val="single" w:sz="6" w:space="0" w:color="D4DBE3"/>
          <w:right w:val="single" w:sz="6" w:space="0" w:color="D4DBE3"/>
          <w:insideH w:val="single" w:sz="6" w:space="0" w:color="D4DBE3"/>
          <w:insideV w:val="single" w:sz="6" w:space="0" w:color="D4DBE3"/>
        </w:tblBorders>
      </w:tblPr>
      <w:tblGrid>
        <w:gridCol w:w="5018"/>
        <w:gridCol w:w="5018"/>
      </w:tblGrid>
      <w:tr>
        <w:trPr>
          <w:tblHeader w:val="true"/>
        </w:trPr>
        <w:tc>
          <w:tcPr>
            <w:tcW w:type="dxa" w:w="2268"/>
            <w:shd w:fill="D9EAF7"/>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color w:val="17365D"/>
                <w:sz w:val="18"/>
              </w:rPr>
              <w:t>项目</w:t>
            </w:r>
          </w:p>
        </w:tc>
        <w:tc>
          <w:tcPr>
            <w:tcW w:type="dxa" w:w="7030"/>
            <w:shd w:fill="D9EAF7"/>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color w:val="17365D"/>
                <w:sz w:val="18"/>
              </w:rPr>
              <w:t>内容</w:t>
            </w:r>
          </w:p>
        </w:tc>
      </w:tr>
      <w:tr>
        <w:tc>
          <w:tcPr>
            <w:tcW w:type="dxa" w:w="2268"/>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8"/>
              </w:rPr>
              <w:t>整理日期</w:t>
            </w:r>
          </w:p>
        </w:tc>
        <w:tc>
          <w:tcPr>
            <w:tcW w:type="dxa" w:w="7030"/>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8"/>
              </w:rPr>
              <w:t>2026-05-05 / 2026-05-06 更新</w:t>
            </w:r>
          </w:p>
        </w:tc>
      </w:tr>
      <w:tr>
        <w:tc>
          <w:tcPr>
            <w:tcW w:type="dxa" w:w="2268"/>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8"/>
              </w:rPr>
              <w:t>文档定位</w:t>
            </w:r>
          </w:p>
        </w:tc>
        <w:tc>
          <w:tcPr>
            <w:tcW w:type="dxa" w:w="7030"/>
            <w:shd w:fill="F7FAFC"/>
            <w:tcMar>
              <w:top w:w="80" w:type="dxa"/>
              <w:start w:w="90" w:type="dxa"/>
              <w:bottom w:w="80" w:type="dxa"/>
              <w:end w:w="90" w:type="dxa"/>
            </w:tcMar>
            <w:vAlign w:val="center"/>
          </w:tcPr>
          <w:p>
            <w:pPr>
              <w:spacing w:after="0" w:line="259" w:lineRule="auto"/>
              <w:jc w:val="left"/>
            </w:pPr>
            <w:r/>
            <w:r>
              <w:rPr>
                <w:rFonts w:ascii="Microsoft YaHei" w:hAnsi="Microsoft YaHei" w:eastAsia="Microsoft YaHei"/>
                <w:b w:val="0"/>
                <w:color w:val="1F2933"/>
                <w:sz w:val="18"/>
              </w:rPr>
              <w:t>阶段性研究进展与论文前期整理稿，不生成 Overleaf / LaTeX</w:t>
            </w:r>
          </w:p>
        </w:tc>
      </w:tr>
      <w:tr>
        <w:tc>
          <w:tcPr>
            <w:tcW w:type="dxa" w:w="2268"/>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8"/>
              </w:rPr>
              <w:t>主数据集 / 模型</w:t>
            </w:r>
          </w:p>
        </w:tc>
        <w:tc>
          <w:tcPr>
            <w:tcW w:type="dxa" w:w="7030"/>
            <w:tcMar>
              <w:top w:w="80" w:type="dxa"/>
              <w:start w:w="90" w:type="dxa"/>
              <w:bottom w:w="80" w:type="dxa"/>
              <w:end w:w="90" w:type="dxa"/>
            </w:tcMar>
            <w:vAlign w:val="center"/>
          </w:tcPr>
          <w:p>
            <w:pPr>
              <w:spacing w:after="0" w:line="259" w:lineRule="auto"/>
              <w:jc w:val="left"/>
            </w:pPr>
            <w:r/>
            <w:r>
              <w:rPr>
                <w:rFonts w:ascii="Microsoft YaHei" w:hAnsi="Microsoft YaHei" w:eastAsia="Microsoft YaHei"/>
                <w:b w:val="0"/>
                <w:color w:val="1F2933"/>
                <w:sz w:val="18"/>
              </w:rPr>
              <w:t>SST2 / GPT-2 fine-tuned checkpoint</w:t>
            </w:r>
          </w:p>
        </w:tc>
      </w:tr>
      <w:tr>
        <w:tc>
          <w:tcPr>
            <w:tcW w:type="dxa" w:w="2268"/>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8"/>
              </w:rPr>
              <w:t>主攻击面</w:t>
            </w:r>
          </w:p>
        </w:tc>
        <w:tc>
          <w:tcPr>
            <w:tcW w:type="dxa" w:w="7030"/>
            <w:shd w:fill="F7FAFC"/>
            <w:tcMar>
              <w:top w:w="80" w:type="dxa"/>
              <w:start w:w="90" w:type="dxa"/>
              <w:bottom w:w="80" w:type="dxa"/>
              <w:end w:w="90" w:type="dxa"/>
            </w:tcMar>
            <w:vAlign w:val="center"/>
          </w:tcPr>
          <w:p>
            <w:pPr>
              <w:spacing w:after="0" w:line="259" w:lineRule="auto"/>
              <w:jc w:val="left"/>
            </w:pPr>
            <w:r/>
            <w:r>
              <w:rPr>
                <w:rFonts w:ascii="Microsoft YaHei" w:hAnsi="Microsoft YaHei" w:eastAsia="Microsoft YaHei"/>
                <w:b w:val="0"/>
                <w:color w:val="1F2933"/>
                <w:sz w:val="18"/>
              </w:rPr>
              <w:t>Full-gradient DAGER, batch=2, n_inputs=100</w:t>
            </w:r>
          </w:p>
        </w:tc>
      </w:tr>
      <w:tr>
        <w:tc>
          <w:tcPr>
            <w:tcW w:type="dxa" w:w="2268"/>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8"/>
              </w:rPr>
              <w:t>主方法身份</w:t>
            </w:r>
          </w:p>
        </w:tc>
        <w:tc>
          <w:tcPr>
            <w:tcW w:type="dxa" w:w="7030"/>
            <w:tcMar>
              <w:top w:w="80" w:type="dxa"/>
              <w:start w:w="90" w:type="dxa"/>
              <w:bottom w:w="80" w:type="dxa"/>
              <w:end w:w="90" w:type="dxa"/>
            </w:tcMar>
            <w:vAlign w:val="center"/>
          </w:tcPr>
          <w:p>
            <w:pPr>
              <w:spacing w:after="0" w:line="259" w:lineRule="auto"/>
              <w:jc w:val="left"/>
            </w:pPr>
            <w:r/>
            <w:r>
              <w:rPr>
                <w:rFonts w:ascii="Microsoft YaHei" w:hAnsi="Microsoft YaHei" w:eastAsia="Microsoft YaHei"/>
                <w:b w:val="0"/>
                <w:color w:val="1F2933"/>
                <w:sz w:val="18"/>
              </w:rPr>
              <w:t>Projection-LRB / LRB-lite, 由 low-resolution signed projection 消融证据支持</w:t>
            </w:r>
          </w:p>
        </w:tc>
      </w:tr>
      <w:tr>
        <w:tc>
          <w:tcPr>
            <w:tcW w:type="dxa" w:w="2268"/>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8"/>
              </w:rPr>
              <w:t>主要日志来源</w:t>
            </w:r>
          </w:p>
        </w:tc>
        <w:tc>
          <w:tcPr>
            <w:tcW w:type="dxa" w:w="7030"/>
            <w:shd w:fill="F7FAFC"/>
            <w:tcMar>
              <w:top w:w="80" w:type="dxa"/>
              <w:start w:w="90" w:type="dxa"/>
              <w:bottom w:w="80" w:type="dxa"/>
              <w:end w:w="90" w:type="dxa"/>
            </w:tcMar>
            <w:vAlign w:val="center"/>
          </w:tcPr>
          <w:p>
            <w:pPr>
              <w:spacing w:after="0" w:line="259" w:lineRule="auto"/>
              <w:jc w:val="left"/>
            </w:pPr>
            <w:r/>
            <w:r>
              <w:rPr>
                <w:rFonts w:ascii="Microsoft YaHei" w:hAnsi="Microsoft YaHei" w:eastAsia="Microsoft YaHei"/>
                <w:b w:val="0"/>
                <w:color w:val="1F2933"/>
                <w:sz w:val="18"/>
              </w:rPr>
              <w:t>defense_baselines_sst2_b2_gpt2_20260501_010024; utility260426; lrb_ablation_sst2_b2_gpt2_k0.5_20260501_004737</w:t>
            </w:r>
          </w:p>
        </w:tc>
      </w:tr>
    </w:tbl>
    <w:p/>
    <w:tbl>
      <w:tblPr>
        <w:tblW w:type="auto" w:w="0"/>
        <w:jc w:val="center"/>
        <w:tblLook w:firstColumn="1" w:firstRow="1" w:lastColumn="0" w:lastRow="0" w:noHBand="0" w:noVBand="1" w:val="04A0"/>
        <w:tblBorders>
          <w:top w:val="single" w:sz="6" w:space="0" w:color="B7C6D8"/>
          <w:left w:val="single" w:sz="6" w:space="0" w:color="B7C6D8"/>
          <w:bottom w:val="single" w:sz="6" w:space="0" w:color="B7C6D8"/>
          <w:right w:val="single" w:sz="6" w:space="0" w:color="B7C6D8"/>
          <w:insideH w:val="single" w:sz="6" w:space="0" w:color="B7C6D8"/>
          <w:insideV w:val="single" w:sz="6" w:space="0" w:color="B7C6D8"/>
        </w:tblBorders>
      </w:tblPr>
      <w:tblGrid>
        <w:gridCol w:w="10036"/>
      </w:tblGrid>
      <w:tr>
        <w:tc>
          <w:tcPr>
            <w:tcW w:type="dxa" w:w="10036"/>
            <w:shd w:fill="EEF5FB"/>
            <w:tcMar>
              <w:top w:w="120" w:type="dxa"/>
              <w:start w:w="160" w:type="dxa"/>
              <w:bottom w:w="120" w:type="dxa"/>
              <w:end w:w="160" w:type="dxa"/>
            </w:tcMar>
          </w:tcPr>
          <w:p>
            <w:pPr>
              <w:spacing w:after="60"/>
            </w:pPr>
            <w:r>
              <w:rPr>
                <w:rFonts w:ascii="Microsoft YaHei" w:hAnsi="Microsoft YaHei" w:eastAsia="Microsoft YaHei"/>
                <w:b/>
                <w:color w:val="1F4E79"/>
                <w:sz w:val="20"/>
              </w:rPr>
              <w:t>核心结论先行</w:t>
            </w:r>
          </w:p>
          <w:p>
            <w:pPr>
              <w:spacing w:after="40"/>
            </w:pPr>
            <w:r>
              <w:rPr>
                <w:rFonts w:ascii="Microsoft YaHei" w:hAnsi="Microsoft YaHei" w:eastAsia="Microsoft YaHei"/>
                <w:sz w:val="18"/>
              </w:rPr>
              <w:t>当前工作已经形成 DAGER 攻击、防御 baseline、utility、LRB 机制消融的闭环证据，但强证据边界主要是 SST2+GPT2+batch=2 的 full-gradient DAGER。</w:t>
            </w:r>
          </w:p>
          <w:p>
            <w:pPr>
              <w:spacing w:after="40"/>
            </w:pPr>
            <w:r>
              <w:rPr>
                <w:rFonts w:ascii="Microsoft YaHei" w:hAnsi="Microsoft YaHei" w:eastAsia="Microsoft YaHei"/>
                <w:sz w:val="18"/>
              </w:rPr>
              <w:t>Clean FedSGD 泄露严重；LRB、topk、compression 均可在若干点上把当前 DAGER 恢复打到 0，但这不等价于形式化隐私保证。</w:t>
            </w:r>
          </w:p>
          <w:p>
            <w:pPr>
              <w:spacing w:after="40"/>
            </w:pPr>
            <w:r>
              <w:rPr>
                <w:rFonts w:ascii="Microsoft YaHei" w:hAnsi="Microsoft YaHei" w:eastAsia="Microsoft YaHei"/>
                <w:sz w:val="18"/>
              </w:rPr>
              <w:t>仅看 full-gradient DAGER，topk@0.1 与 compression@8 仍是更强经验 tradeoff；full_lrb@0.5 已改善 utility，但仍偏重。</w:t>
            </w:r>
          </w:p>
          <w:p>
            <w:pPr>
              <w:spacing w:after="40"/>
            </w:pPr>
            <w:r>
              <w:rPr>
                <w:rFonts w:ascii="Microsoft YaHei" w:hAnsi="Microsoft YaHei" w:eastAsia="Microsoft YaHei"/>
                <w:sz w:val="18"/>
              </w:rPr>
              <w:t>消融显示 projection bottleneck 是主效应：proj_only@0.5 在单次消融运行中达到 DAGER=0 并保持 clean-level utility，因此下一阶段应把主方法收束为 Projection-LRB。</w:t>
            </w:r>
          </w:p>
        </w:tc>
      </w:tr>
    </w:tbl>
    <w:p/>
    <w:p>
      <w:pPr>
        <w:pStyle w:val="Heading1"/>
      </w:pPr>
      <w:r>
        <w:t>一、文档定位与当前工作状态</w:t>
      </w:r>
    </w:p>
    <w:p>
      <w:pPr>
        <w:spacing w:after="100" w:line="278" w:lineRule="auto"/>
        <w:ind w:firstLine="420"/>
      </w:pPr>
      <w:r>
        <w:rPr>
          <w:rFonts w:ascii="Microsoft YaHei" w:hAnsi="Microsoft YaHei" w:eastAsia="Microsoft YaHei"/>
          <w:sz w:val="21"/>
        </w:rPr>
        <w:t>本文将现有阶段性汇总进一步整理成可继续写论文的研究稿。它保留已有实验事实，但把主线从泛称 LRB 调整为 Projection-LRB / LRB-lite，并按照初步思路模板补上关键的 Gap - Novelty - Contribution - Evidence 映射。</w:t>
      </w:r>
    </w:p>
    <w:p>
      <w:pPr>
        <w:spacing w:after="100" w:line="278" w:lineRule="auto"/>
        <w:ind w:firstLine="420"/>
      </w:pPr>
      <w:r>
        <w:rPr>
          <w:rFonts w:ascii="Microsoft YaHei" w:hAnsi="Microsoft YaHei" w:eastAsia="Microsoft YaHei"/>
          <w:sz w:val="21"/>
        </w:rPr>
        <w:t>截至 2026-05-05，项目已经从复现 DAGER 与枚举 baseline 推进到更清晰的阶段：full-gradient DAGER 风险已被量化，多个 defense 的 privacy/utility 已经有结果，LRB 的主要组件也通过完整消融被拆开。当前最重要的变化是：主线不再是证明 DAGER 可以被打掉，而是证明哪一种 recoverability bottleneck 能在相近 privacy 下保留更多效用。</w:t>
      </w:r>
    </w:p>
    <w:tbl>
      <w:tblPr>
        <w:tblW w:type="auto" w:w="0"/>
        <w:jc w:val="center"/>
        <w:tblLook w:firstColumn="1" w:firstRow="1" w:lastColumn="0" w:lastRow="0" w:noHBand="0" w:noVBand="1" w:val="04A0"/>
        <w:tblBorders>
          <w:top w:val="single" w:sz="6" w:space="0" w:color="B7C6D8"/>
          <w:left w:val="single" w:sz="6" w:space="0" w:color="B7C6D8"/>
          <w:bottom w:val="single" w:sz="6" w:space="0" w:color="B7C6D8"/>
          <w:right w:val="single" w:sz="6" w:space="0" w:color="B7C6D8"/>
          <w:insideH w:val="single" w:sz="6" w:space="0" w:color="B7C6D8"/>
          <w:insideV w:val="single" w:sz="6" w:space="0" w:color="B7C6D8"/>
        </w:tblBorders>
      </w:tblPr>
      <w:tblGrid>
        <w:gridCol w:w="10036"/>
      </w:tblGrid>
      <w:tr>
        <w:tc>
          <w:tcPr>
            <w:tcW w:type="dxa" w:w="10036"/>
            <w:shd w:fill="EEF5FB"/>
            <w:tcMar>
              <w:top w:w="120" w:type="dxa"/>
              <w:start w:w="160" w:type="dxa"/>
              <w:bottom w:w="120" w:type="dxa"/>
              <w:end w:w="160" w:type="dxa"/>
            </w:tcMar>
          </w:tcPr>
          <w:p>
            <w:pPr>
              <w:spacing w:after="60"/>
            </w:pPr>
            <w:r>
              <w:rPr>
                <w:rFonts w:ascii="Microsoft YaHei" w:hAnsi="Microsoft YaHei" w:eastAsia="Microsoft YaHei"/>
                <w:b/>
                <w:color w:val="1F4E79"/>
                <w:sz w:val="20"/>
              </w:rPr>
              <w:t>审稿口径下的证据边界</w:t>
            </w:r>
          </w:p>
          <w:p>
            <w:pPr>
              <w:spacing w:after="40"/>
            </w:pPr>
            <w:r>
              <w:rPr>
                <w:rFonts w:ascii="Microsoft YaHei" w:hAnsi="Microsoft YaHei" w:eastAsia="Microsoft YaHei"/>
                <w:sz w:val="18"/>
              </w:rPr>
              <w:t>已经完成并可较强支撑：SST2 + GPT2 fine-tuned checkpoint + batch=2 + n_inputs=100 的 full-gradient DAGER attack-time privacy；full training utility fixed points；一次完整 LRB ablation。</w:t>
            </w:r>
          </w:p>
          <w:p>
            <w:pPr>
              <w:spacing w:after="40"/>
            </w:pPr>
            <w:r>
              <w:rPr>
                <w:rFonts w:ascii="Microsoft YaHei" w:hAnsi="Microsoft YaHei" w:eastAsia="Microsoft YaHei"/>
                <w:sz w:val="18"/>
              </w:rPr>
              <w:t>尚不能直接外推：LoRA/PEFT 训练期 defense、partial-gradient attack、跨数据集/backbone、多 seed 统计显著性、adaptive attack 与严格 DP accounting。</w:t>
            </w:r>
          </w:p>
          <w:p>
            <w:pPr>
              <w:spacing w:after="40"/>
            </w:pPr>
            <w:r>
              <w:rPr>
                <w:rFonts w:ascii="Microsoft YaHei" w:hAnsi="Microsoft YaHei" w:eastAsia="Microsoft YaHei"/>
                <w:sz w:val="18"/>
              </w:rPr>
              <w:t>因此当前论文主张应写成：Projection-LRB 是由 full-gradient DAGER 与消融结果支持的主方法候选，而不是已经在所有 FL-LLM 场景全面优于压缩类 baseline。</w:t>
            </w:r>
          </w:p>
        </w:tc>
      </w:tr>
    </w:tbl>
    <w:p/>
    <w:p>
      <w:pPr>
        <w:pStyle w:val="Heading1"/>
      </w:pPr>
      <w:r>
        <w:t>二、背景与动机</w:t>
      </w:r>
    </w:p>
    <w:p>
      <w:pPr>
        <w:spacing w:after="100" w:line="278" w:lineRule="auto"/>
        <w:ind w:firstLine="420"/>
      </w:pPr>
      <w:r>
        <w:rPr>
          <w:rFonts w:ascii="Microsoft YaHei" w:hAnsi="Microsoft YaHei" w:eastAsia="Microsoft YaHei"/>
          <w:sz w:val="21"/>
        </w:rPr>
        <w:t>大模型微调正在从集中式数据汇聚转向联邦学习、跨机构协作训练和 PEFT adapter 共享。这样的设置看起来天然适合隐私场景：医疗文本、金融评论、企业客服、用户输入日志等原始文本不离开本地，只上传梯度、模型更新或轻量参数更新。但梯度反演与文本恢复攻击表明，不上传原文并不等价于原文不可恢复。</w:t>
      </w:r>
    </w:p>
    <w:p>
      <w:pPr>
        <w:spacing w:after="100" w:line="278" w:lineRule="auto"/>
        <w:ind w:firstLine="420"/>
      </w:pPr>
      <w:r>
        <w:rPr>
          <w:rFonts w:ascii="Microsoft YaHei" w:hAnsi="Microsoft YaHei" w:eastAsia="Microsoft YaHei"/>
          <w:sz w:val="21"/>
        </w:rPr>
        <w:t>本项目当前 clean DAGER 结果给出了直接动机：在 SST2 + GPT2 + batch=2 + n_inputs=100 的设置下，未防御 FedSGD 梯度的 rec_token_mean 达到 0.833506，ROUGE-1+ROUGE-2 达到 141.710856。这说明攻击者并不是只能恢复模糊主题，而是能够恢复大量 token 级文本信息。</w:t>
      </w:r>
    </w:p>
    <w:p>
      <w:pPr>
        <w:spacing w:after="100" w:line="278" w:lineRule="auto"/>
        <w:ind w:firstLine="420"/>
      </w:pPr>
      <w:r>
        <w:rPr>
          <w:rFonts w:ascii="Microsoft YaHei" w:hAnsi="Microsoft YaHei" w:eastAsia="Microsoft YaHei"/>
          <w:sz w:val="21"/>
        </w:rPr>
        <w:t>进一步的动机来自 privacy-utility 冲突：简单把 DAGER 打到 0 并不困难，困难在于保留训练效用。当前实验显示，完整 LRB 能稳定抑制 DAGER，但 utility 代价偏高；topk/compression 在 full-gradient DAGER 下很强，却更像通信压缩副作用而不是针对文本 recoverability 的机制解释。</w:t>
      </w:r>
    </w:p>
    <w:p>
      <w:pPr>
        <w:pStyle w:val="Heading1"/>
      </w:pPr>
      <w:r>
        <w:t>三、前人工作局限性与创新位置</w:t>
      </w:r>
    </w:p>
    <w:p>
      <w:pPr>
        <w:spacing w:after="100" w:line="278" w:lineRule="auto"/>
        <w:ind w:firstLine="420"/>
      </w:pPr>
      <w:r>
        <w:rPr>
          <w:rFonts w:ascii="Microsoft YaHei" w:hAnsi="Microsoft YaHei" w:eastAsia="Microsoft YaHei"/>
          <w:sz w:val="21"/>
        </w:rPr>
        <w:t>已有工作为本项目提供了攻击、隐私和压缩三类重要参照，但各自都留下了适合本工作切入的缺口。当前实验也印证了这些局限：强扰动方法通常牺牲 utility，通信压缩方法在当前 DAGER 下表现强但机制目标不完全对齐，表示扰动和训练侧混合方法在 GPT2/FedSGD 设置中并不稳定。</w:t>
      </w:r>
    </w:p>
    <w:tbl>
      <w:tblPr>
        <w:tblStyle w:val="TableGrid"/>
        <w:tblW w:type="auto" w:w="0"/>
        <w:jc w:val="center"/>
        <w:tblLook w:firstColumn="1" w:firstRow="1" w:lastColumn="0" w:lastRow="0" w:noHBand="0" w:noVBand="1" w:val="04A0"/>
        <w:tblBorders>
          <w:top w:val="single" w:sz="6" w:space="0" w:color="D4DBE3"/>
          <w:left w:val="single" w:sz="6" w:space="0" w:color="D4DBE3"/>
          <w:bottom w:val="single" w:sz="6" w:space="0" w:color="D4DBE3"/>
          <w:right w:val="single" w:sz="6" w:space="0" w:color="D4DBE3"/>
          <w:insideH w:val="single" w:sz="6" w:space="0" w:color="D4DBE3"/>
          <w:insideV w:val="single" w:sz="6" w:space="0" w:color="D4DBE3"/>
        </w:tblBorders>
      </w:tblPr>
      <w:tblGrid>
        <w:gridCol w:w="2509"/>
        <w:gridCol w:w="2509"/>
        <w:gridCol w:w="2509"/>
        <w:gridCol w:w="2509"/>
      </w:tblGrid>
      <w:tr>
        <w:trPr>
          <w:tblHeader w:val="true"/>
        </w:trPr>
        <w:tc>
          <w:tcPr>
            <w:tcW w:type="dxa" w:w="1701"/>
            <w:shd w:fill="D9EAF7"/>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color w:val="17365D"/>
                <w:sz w:val="16"/>
              </w:rPr>
              <w:t>方向</w:t>
            </w:r>
          </w:p>
        </w:tc>
        <w:tc>
          <w:tcPr>
            <w:tcW w:type="dxa" w:w="2324"/>
            <w:shd w:fill="D9EAF7"/>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color w:val="17365D"/>
                <w:sz w:val="16"/>
              </w:rPr>
              <w:t>代表思路</w:t>
            </w:r>
          </w:p>
        </w:tc>
        <w:tc>
          <w:tcPr>
            <w:tcW w:type="dxa" w:w="2778"/>
            <w:shd w:fill="D9EAF7"/>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color w:val="17365D"/>
                <w:sz w:val="16"/>
              </w:rPr>
              <w:t>当前局限</w:t>
            </w:r>
          </w:p>
        </w:tc>
        <w:tc>
          <w:tcPr>
            <w:tcW w:type="dxa" w:w="2608"/>
            <w:shd w:fill="D9EAF7"/>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color w:val="17365D"/>
                <w:sz w:val="16"/>
              </w:rPr>
              <w:t>对本工作的启发</w:t>
            </w:r>
          </w:p>
        </w:tc>
      </w:tr>
      <w:tr>
        <w:tc>
          <w:tcPr>
            <w:tcW w:type="dxa" w:w="1701"/>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6"/>
              </w:rPr>
              <w:t>梯度/文本恢复攻击</w:t>
            </w:r>
          </w:p>
        </w:tc>
        <w:tc>
          <w:tcPr>
            <w:tcW w:type="dxa" w:w="2324"/>
            <w:tcMar>
              <w:top w:w="80" w:type="dxa"/>
              <w:start w:w="90" w:type="dxa"/>
              <w:bottom w:w="80" w:type="dxa"/>
              <w:end w:w="90" w:type="dxa"/>
            </w:tcMar>
            <w:vAlign w:val="center"/>
          </w:tcPr>
          <w:p>
            <w:pPr>
              <w:spacing w:after="0" w:line="259" w:lineRule="auto"/>
              <w:jc w:val="left"/>
            </w:pPr>
            <w:r/>
            <w:r>
              <w:rPr>
                <w:rFonts w:ascii="Microsoft YaHei" w:hAnsi="Microsoft YaHei" w:eastAsia="Microsoft YaHei"/>
                <w:b w:val="0"/>
                <w:color w:val="1F2933"/>
                <w:sz w:val="16"/>
              </w:rPr>
              <w:t>DLG, Inverting Gradients, TAG, LAMP, DAGER</w:t>
            </w:r>
          </w:p>
        </w:tc>
        <w:tc>
          <w:tcPr>
            <w:tcW w:type="dxa" w:w="2778"/>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6"/>
              </w:rPr>
              <w:t>支撑 shared gradients / LLM updates 可能泄露文本；DAGER 是当前主攻击框架。</w:t>
            </w:r>
          </w:p>
        </w:tc>
        <w:tc>
          <w:tcPr>
            <w:tcW w:type="dxa" w:w="2509"/>
          </w:tcPr>
          <w:p/>
        </w:tc>
      </w:tr>
      <w:tr>
        <w:tc>
          <w:tcPr>
            <w:tcW w:type="dxa" w:w="1701"/>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6"/>
              </w:rPr>
              <w:t>通用隐私/扰动</w:t>
            </w:r>
          </w:p>
        </w:tc>
        <w:tc>
          <w:tcPr>
            <w:tcW w:type="dxa" w:w="2324"/>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6"/>
              </w:rPr>
              <w:t>DP-SGD, Gaussian noise</w:t>
            </w:r>
          </w:p>
        </w:tc>
        <w:tc>
          <w:tcPr>
            <w:tcW w:type="dxa" w:w="2778"/>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6"/>
              </w:rPr>
              <w:t>理论或简单扰动 baseline；当前实验显示 utility 代价较大，且没有在本文中做完整 DP accounting。</w:t>
            </w:r>
          </w:p>
        </w:tc>
        <w:tc>
          <w:tcPr>
            <w:tcW w:type="dxa" w:w="2509"/>
          </w:tcPr>
          <w:p/>
        </w:tc>
      </w:tr>
      <w:tr>
        <w:tc>
          <w:tcPr>
            <w:tcW w:type="dxa" w:w="1701"/>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6"/>
              </w:rPr>
              <w:t>通信压缩 baseline</w:t>
            </w:r>
          </w:p>
        </w:tc>
        <w:tc>
          <w:tcPr>
            <w:tcW w:type="dxa" w:w="2324"/>
            <w:tcMar>
              <w:top w:w="80" w:type="dxa"/>
              <w:start w:w="90" w:type="dxa"/>
              <w:bottom w:w="80" w:type="dxa"/>
              <w:end w:w="90" w:type="dxa"/>
            </w:tcMar>
            <w:vAlign w:val="center"/>
          </w:tcPr>
          <w:p>
            <w:pPr>
              <w:spacing w:after="0" w:line="259" w:lineRule="auto"/>
              <w:jc w:val="left"/>
            </w:pPr>
            <w:r/>
            <w:r>
              <w:rPr>
                <w:rFonts w:ascii="Microsoft YaHei" w:hAnsi="Microsoft YaHei" w:eastAsia="Microsoft YaHei"/>
                <w:b w:val="0"/>
                <w:color w:val="1F2933"/>
                <w:sz w:val="16"/>
              </w:rPr>
              <w:t>Top-k sparsification, Deep Gradient Compression, QSGD</w:t>
            </w:r>
          </w:p>
        </w:tc>
        <w:tc>
          <w:tcPr>
            <w:tcW w:type="dxa" w:w="2778"/>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6"/>
              </w:rPr>
              <w:t>当前 full-gradient DAGER 下的强经验对手；应正面比较，但不要把它们写成隐私中心设计。</w:t>
            </w:r>
          </w:p>
        </w:tc>
        <w:tc>
          <w:tcPr>
            <w:tcW w:type="dxa" w:w="2509"/>
          </w:tcPr>
          <w:p/>
        </w:tc>
      </w:tr>
      <w:tr>
        <w:tc>
          <w:tcPr>
            <w:tcW w:type="dxa" w:w="1701"/>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6"/>
              </w:rPr>
              <w:t>表示/训练侧防御</w:t>
            </w:r>
          </w:p>
        </w:tc>
        <w:tc>
          <w:tcPr>
            <w:tcW w:type="dxa" w:w="2324"/>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6"/>
              </w:rPr>
              <w:t>Soteria, mixup</w:t>
            </w:r>
          </w:p>
        </w:tc>
        <w:tc>
          <w:tcPr>
            <w:tcW w:type="dxa" w:w="2778"/>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6"/>
              </w:rPr>
              <w:t>提供覆盖性 baseline；当前 GPT2/FedSGD 设置下 privacy 表现不稳定或失败。</w:t>
            </w:r>
          </w:p>
        </w:tc>
        <w:tc>
          <w:tcPr>
            <w:tcW w:type="dxa" w:w="2509"/>
          </w:tcPr>
          <w:p/>
        </w:tc>
      </w:tr>
      <w:tr>
        <w:tc>
          <w:tcPr>
            <w:tcW w:type="dxa" w:w="1701"/>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6"/>
              </w:rPr>
              <w:t>PEFT / partial-gradient 场景</w:t>
            </w:r>
          </w:p>
        </w:tc>
        <w:tc>
          <w:tcPr>
            <w:tcW w:type="dxa" w:w="2324"/>
            <w:tcMar>
              <w:top w:w="80" w:type="dxa"/>
              <w:start w:w="90" w:type="dxa"/>
              <w:bottom w:w="80" w:type="dxa"/>
              <w:end w:w="90" w:type="dxa"/>
            </w:tcMar>
            <w:vAlign w:val="center"/>
          </w:tcPr>
          <w:p>
            <w:pPr>
              <w:spacing w:after="0" w:line="259" w:lineRule="auto"/>
              <w:jc w:val="left"/>
            </w:pPr>
            <w:r/>
            <w:r>
              <w:rPr>
                <w:rFonts w:ascii="Microsoft YaHei" w:hAnsi="Microsoft YaHei" w:eastAsia="Microsoft YaHei"/>
                <w:b w:val="0"/>
                <w:color w:val="1F2933"/>
                <w:sz w:val="16"/>
              </w:rPr>
              <w:t>LoRA, Gradient Inversion Attacks on PEFT, ReCIT, Partial Transformer Gradients</w:t>
            </w:r>
          </w:p>
        </w:tc>
        <w:tc>
          <w:tcPr>
            <w:tcW w:type="dxa" w:w="2778"/>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6"/>
              </w:rPr>
              <w:t>用于动机和后续泛化实验，不写成已完成结果。</w:t>
            </w:r>
          </w:p>
        </w:tc>
        <w:tc>
          <w:tcPr>
            <w:tcW w:type="dxa" w:w="2509"/>
          </w:tcPr>
          <w:p/>
        </w:tc>
      </w:tr>
    </w:tbl>
    <w:p/>
    <w:p>
      <w:pPr>
        <w:pStyle w:val="Heading1"/>
      </w:pPr>
      <w:r>
        <w:t>四、关键映射表：Gap - Novelty - Contribution - Evidence</w:t>
      </w:r>
    </w:p>
    <w:p>
      <w:pPr>
        <w:spacing w:after="100" w:line="278" w:lineRule="auto"/>
        <w:ind w:firstLine="420"/>
      </w:pPr>
      <w:r>
        <w:rPr>
          <w:rFonts w:ascii="Microsoft YaHei" w:hAnsi="Microsoft YaHei" w:eastAsia="Microsoft YaHei"/>
          <w:sz w:val="21"/>
        </w:rPr>
        <w:t>这是模板中最关键、此前缺失的映射表。它把研究瓶颈、创新动作、贡献证据和当前实验事实对应起来，便于后续直接转成 Introduction 的 contribution 段或论文主表叙事。</w:t>
      </w:r>
    </w:p>
    <w:tbl>
      <w:tblPr>
        <w:tblStyle w:val="TableGrid"/>
        <w:tblW w:type="auto" w:w="0"/>
        <w:jc w:val="center"/>
        <w:tblLook w:firstColumn="1" w:firstRow="1" w:lastColumn="0" w:lastRow="0" w:noHBand="0" w:noVBand="1" w:val="04A0"/>
        <w:tblBorders>
          <w:top w:val="single" w:sz="6" w:space="0" w:color="D4DBE3"/>
          <w:left w:val="single" w:sz="6" w:space="0" w:color="D4DBE3"/>
          <w:bottom w:val="single" w:sz="6" w:space="0" w:color="D4DBE3"/>
          <w:right w:val="single" w:sz="6" w:space="0" w:color="D4DBE3"/>
          <w:insideH w:val="single" w:sz="6" w:space="0" w:color="D4DBE3"/>
          <w:insideV w:val="single" w:sz="6" w:space="0" w:color="D4DBE3"/>
        </w:tblBorders>
      </w:tblPr>
      <w:tblGrid>
        <w:gridCol w:w="2509"/>
        <w:gridCol w:w="2509"/>
        <w:gridCol w:w="2509"/>
        <w:gridCol w:w="2509"/>
      </w:tblGrid>
      <w:tr>
        <w:trPr>
          <w:tblHeader w:val="true"/>
        </w:trPr>
        <w:tc>
          <w:tcPr>
            <w:tcW w:type="dxa" w:w="2268"/>
            <w:shd w:fill="D9EAF7"/>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color w:val="17365D"/>
                <w:sz w:val="15"/>
              </w:rPr>
              <w:t>Gap / 瓶颈</w:t>
            </w:r>
          </w:p>
        </w:tc>
        <w:tc>
          <w:tcPr>
            <w:tcW w:type="dxa" w:w="2438"/>
            <w:shd w:fill="D9EAF7"/>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color w:val="17365D"/>
                <w:sz w:val="15"/>
              </w:rPr>
              <w:t>Novelty / 创新动作</w:t>
            </w:r>
          </w:p>
        </w:tc>
        <w:tc>
          <w:tcPr>
            <w:tcW w:type="dxa" w:w="2438"/>
            <w:shd w:fill="D9EAF7"/>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color w:val="17365D"/>
                <w:sz w:val="15"/>
              </w:rPr>
              <w:t>Contribution / 贡献</w:t>
            </w:r>
          </w:p>
        </w:tc>
        <w:tc>
          <w:tcPr>
            <w:tcW w:type="dxa" w:w="2324"/>
            <w:shd w:fill="D9EAF7"/>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color w:val="17365D"/>
                <w:sz w:val="15"/>
              </w:rPr>
              <w:t>Evidence / 已有证据</w:t>
            </w:r>
          </w:p>
        </w:tc>
      </w:tr>
      <w:tr>
        <w:tc>
          <w:tcPr>
            <w:tcW w:type="dxa" w:w="2268"/>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FL-LLM 中间更新存在文本 recoverability 风险</w:t>
            </w:r>
          </w:p>
        </w:tc>
        <w:tc>
          <w:tcPr>
            <w:tcW w:type="dxa" w:w="2438"/>
            <w:tcMar>
              <w:top w:w="80" w:type="dxa"/>
              <w:start w:w="90" w:type="dxa"/>
              <w:bottom w:w="80" w:type="dxa"/>
              <w:end w:w="90" w:type="dxa"/>
            </w:tcMar>
            <w:vAlign w:val="center"/>
          </w:tcPr>
          <w:p>
            <w:pPr>
              <w:spacing w:after="0" w:line="259" w:lineRule="auto"/>
              <w:jc w:val="left"/>
            </w:pPr>
            <w:r/>
            <w:r>
              <w:rPr>
                <w:rFonts w:ascii="Microsoft YaHei" w:hAnsi="Microsoft YaHei" w:eastAsia="Microsoft YaHei"/>
                <w:b w:val="0"/>
                <w:color w:val="1F2933"/>
                <w:sz w:val="15"/>
              </w:rPr>
              <w:t>将防御目标从 generic perturbation 转为 suppress recoverability bottleneck</w:t>
            </w:r>
          </w:p>
        </w:tc>
        <w:tc>
          <w:tcPr>
            <w:tcW w:type="dxa" w:w="2438"/>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把问题从是否共享原文推进到共享更新是否携带可恢复文本结构</w:t>
            </w:r>
          </w:p>
        </w:tc>
        <w:tc>
          <w:tcPr>
            <w:tcW w:type="dxa" w:w="2324"/>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clean DAGER rec_token_mean=0.833506, R1+R2=141.710856</w:t>
            </w:r>
          </w:p>
        </w:tc>
      </w:tr>
      <w:tr>
        <w:tc>
          <w:tcPr>
            <w:tcW w:type="dxa" w:w="2268"/>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topk/compression 在 full-gradient DAGER 下很强，但机制目标偏通信压缩</w:t>
            </w:r>
          </w:p>
        </w:tc>
        <w:tc>
          <w:tcPr>
            <w:tcW w:type="dxa" w:w="2438"/>
            <w:shd w:fill="F7FAFC"/>
            <w:tcMar>
              <w:top w:w="80" w:type="dxa"/>
              <w:start w:w="90" w:type="dxa"/>
              <w:bottom w:w="80" w:type="dxa"/>
              <w:end w:w="90" w:type="dxa"/>
            </w:tcMar>
            <w:vAlign w:val="center"/>
          </w:tcPr>
          <w:p>
            <w:pPr>
              <w:spacing w:after="0" w:line="259" w:lineRule="auto"/>
              <w:jc w:val="left"/>
            </w:pPr>
            <w:r/>
            <w:r>
              <w:rPr>
                <w:rFonts w:ascii="Microsoft YaHei" w:hAnsi="Microsoft YaHei" w:eastAsia="Microsoft YaHei"/>
                <w:b w:val="0"/>
                <w:color w:val="1F2933"/>
                <w:sz w:val="15"/>
              </w:rPr>
              <w:t>Projection-LRB 用 layer-wise low-resolution signed projection 建立机制性瓶颈</w:t>
            </w:r>
          </w:p>
        </w:tc>
        <w:tc>
          <w:tcPr>
            <w:tcW w:type="dxa" w:w="2438"/>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提供区别于少传/量化的隐私机制叙事，并保留与强 baseline 的正面对比</w:t>
            </w:r>
          </w:p>
        </w:tc>
        <w:tc>
          <w:tcPr>
            <w:tcW w:type="dxa" w:w="2324"/>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topk@0.1 和 compression@8 当前 tradeoff 很强；proj_only@0.5 显示新方法空间</w:t>
            </w:r>
          </w:p>
        </w:tc>
      </w:tr>
      <w:tr>
        <w:tc>
          <w:tcPr>
            <w:tcW w:type="dxa" w:w="2268"/>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full_lrb 虽能强防御，但 clipping/noise 不是当前主效应且 utility 偏重</w:t>
            </w:r>
          </w:p>
        </w:tc>
        <w:tc>
          <w:tcPr>
            <w:tcW w:type="dxa" w:w="2438"/>
            <w:tcMar>
              <w:top w:w="80" w:type="dxa"/>
              <w:start w:w="90" w:type="dxa"/>
              <w:bottom w:w="80" w:type="dxa"/>
              <w:end w:w="90" w:type="dxa"/>
            </w:tcMar>
            <w:vAlign w:val="center"/>
          </w:tcPr>
          <w:p>
            <w:pPr>
              <w:spacing w:after="0" w:line="259" w:lineRule="auto"/>
              <w:jc w:val="left"/>
            </w:pPr>
            <w:r/>
            <w:r>
              <w:rPr>
                <w:rFonts w:ascii="Microsoft YaHei" w:hAnsi="Microsoft YaHei" w:eastAsia="Microsoft YaHei"/>
                <w:b w:val="0"/>
                <w:color w:val="1F2933"/>
                <w:sz w:val="15"/>
              </w:rPr>
              <w:t>通过 ablation 将主方法从 full_lrb 收束为 projection-only / Projection-LRB</w:t>
            </w:r>
          </w:p>
        </w:tc>
        <w:tc>
          <w:tcPr>
            <w:tcW w:type="dxa" w:w="2438"/>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避免把过防御配置写成最终方法，使论文主张与消融证据一致</w:t>
            </w:r>
          </w:p>
        </w:tc>
        <w:tc>
          <w:tcPr>
            <w:tcW w:type="dxa" w:w="2324"/>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clip_only 几乎不阻断恢复；proj_only@0.5 DAGER=0 且 clean-level utility；full_lrb@0.5 drop=0.020642</w:t>
            </w:r>
          </w:p>
        </w:tc>
      </w:tr>
    </w:tbl>
    <w:p/>
    <w:p>
      <w:pPr>
        <w:pStyle w:val="Heading1"/>
      </w:pPr>
      <w:r>
        <w:t>五、希望解决的问题与应用意义</w:t>
      </w:r>
    </w:p>
    <w:p>
      <w:pPr>
        <w:spacing w:after="100" w:line="278" w:lineRule="auto"/>
        <w:ind w:firstLine="420"/>
      </w:pPr>
      <w:r>
        <w:rPr>
          <w:rFonts w:ascii="Microsoft YaHei" w:hAnsi="Microsoft YaHei" w:eastAsia="Microsoft YaHei"/>
          <w:sz w:val="21"/>
        </w:rPr>
        <w:t>本工作希望解决的不是单一实验点上的攻击是否成功问题，而是 FL-LLM 中间更新如何在可训练与不可恢复之间取得平衡的问题。研究问题应拆成风险成立、防御有效、效用可接受、机制清楚和场景泛化五个层次。</w:t>
      </w:r>
    </w:p>
    <w:tbl>
      <w:tblPr>
        <w:tblStyle w:val="TableGrid"/>
        <w:tblW w:type="auto" w:w="0"/>
        <w:jc w:val="center"/>
        <w:tblLook w:firstColumn="1" w:firstRow="1" w:lastColumn="0" w:lastRow="0" w:noHBand="0" w:noVBand="1" w:val="04A0"/>
        <w:tblBorders>
          <w:top w:val="single" w:sz="6" w:space="0" w:color="D4DBE3"/>
          <w:left w:val="single" w:sz="6" w:space="0" w:color="D4DBE3"/>
          <w:bottom w:val="single" w:sz="6" w:space="0" w:color="D4DBE3"/>
          <w:right w:val="single" w:sz="6" w:space="0" w:color="D4DBE3"/>
          <w:insideH w:val="single" w:sz="6" w:space="0" w:color="D4DBE3"/>
          <w:insideV w:val="single" w:sz="6" w:space="0" w:color="D4DBE3"/>
        </w:tblBorders>
      </w:tblPr>
      <w:tblGrid>
        <w:gridCol w:w="2509"/>
        <w:gridCol w:w="2509"/>
        <w:gridCol w:w="2509"/>
        <w:gridCol w:w="2509"/>
      </w:tblGrid>
      <w:tr>
        <w:trPr>
          <w:tblHeader w:val="true"/>
        </w:trPr>
        <w:tc>
          <w:tcPr>
            <w:tcW w:type="dxa" w:w="1587"/>
            <w:shd w:fill="D9EAF7"/>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color w:val="17365D"/>
                <w:sz w:val="15"/>
              </w:rPr>
              <w:t>问题层次</w:t>
            </w:r>
          </w:p>
        </w:tc>
        <w:tc>
          <w:tcPr>
            <w:tcW w:type="dxa" w:w="2665"/>
            <w:shd w:fill="D9EAF7"/>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color w:val="17365D"/>
                <w:sz w:val="15"/>
              </w:rPr>
              <w:t>要回答的问题</w:t>
            </w:r>
          </w:p>
        </w:tc>
        <w:tc>
          <w:tcPr>
            <w:tcW w:type="dxa" w:w="2665"/>
            <w:shd w:fill="D9EAF7"/>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color w:val="17365D"/>
                <w:sz w:val="15"/>
              </w:rPr>
              <w:t>当前已有依据</w:t>
            </w:r>
          </w:p>
        </w:tc>
        <w:tc>
          <w:tcPr>
            <w:tcW w:type="dxa" w:w="2381"/>
            <w:shd w:fill="D9EAF7"/>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color w:val="17365D"/>
                <w:sz w:val="15"/>
              </w:rPr>
              <w:t>下一步补强</w:t>
            </w:r>
          </w:p>
        </w:tc>
      </w:tr>
      <w:tr>
        <w:tc>
          <w:tcPr>
            <w:tcW w:type="dxa" w:w="1587"/>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风险是否成立</w:t>
            </w:r>
          </w:p>
        </w:tc>
        <w:tc>
          <w:tcPr>
            <w:tcW w:type="dxa" w:w="2665"/>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客户端只上传梯度/更新时，攻击者是否仍能恢复文本？</w:t>
            </w:r>
          </w:p>
        </w:tc>
        <w:tc>
          <w:tcPr>
            <w:tcW w:type="dxa" w:w="2665"/>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clean DAGER rec_token_mean=0.833506, R1+R2=141.710856</w:t>
            </w:r>
          </w:p>
        </w:tc>
        <w:tc>
          <w:tcPr>
            <w:tcW w:type="dxa" w:w="2381"/>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跨数据集/backbone 复核</w:t>
            </w:r>
          </w:p>
        </w:tc>
      </w:tr>
      <w:tr>
        <w:tc>
          <w:tcPr>
            <w:tcW w:type="dxa" w:w="1587"/>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防御是否有效</w:t>
            </w:r>
          </w:p>
        </w:tc>
        <w:tc>
          <w:tcPr>
            <w:tcW w:type="dxa" w:w="2665"/>
            <w:shd w:fill="F7FAFC"/>
            <w:tcMar>
              <w:top w:w="80" w:type="dxa"/>
              <w:start w:w="90" w:type="dxa"/>
              <w:bottom w:w="80" w:type="dxa"/>
              <w:end w:w="90" w:type="dxa"/>
            </w:tcMar>
            <w:vAlign w:val="center"/>
          </w:tcPr>
          <w:p>
            <w:pPr>
              <w:spacing w:after="0" w:line="259" w:lineRule="auto"/>
              <w:jc w:val="left"/>
            </w:pPr>
            <w:r/>
            <w:r>
              <w:rPr>
                <w:rFonts w:ascii="Microsoft YaHei" w:hAnsi="Microsoft YaHei" w:eastAsia="Microsoft YaHei"/>
                <w:b w:val="0"/>
                <w:color w:val="1F2933"/>
                <w:sz w:val="15"/>
              </w:rPr>
              <w:t>哪些方法能把 token recovery 和 ROUGE recovery 压到接近 0？</w:t>
            </w:r>
          </w:p>
        </w:tc>
        <w:tc>
          <w:tcPr>
            <w:tcW w:type="dxa" w:w="2665"/>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LRB, topk, compression 多个点可达到 DAGER=0</w:t>
            </w:r>
          </w:p>
        </w:tc>
        <w:tc>
          <w:tcPr>
            <w:tcW w:type="dxa" w:w="2381"/>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说明 DAGER=0 的边界，不等同形式化安全</w:t>
            </w:r>
          </w:p>
        </w:tc>
      </w:tr>
      <w:tr>
        <w:tc>
          <w:tcPr>
            <w:tcW w:type="dxa" w:w="1587"/>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效用是否可接受</w:t>
            </w:r>
          </w:p>
        </w:tc>
        <w:tc>
          <w:tcPr>
            <w:tcW w:type="dxa" w:w="2665"/>
            <w:tcMar>
              <w:top w:w="80" w:type="dxa"/>
              <w:start w:w="90" w:type="dxa"/>
              <w:bottom w:w="80" w:type="dxa"/>
              <w:end w:w="90" w:type="dxa"/>
            </w:tcMar>
            <w:vAlign w:val="center"/>
          </w:tcPr>
          <w:p>
            <w:pPr>
              <w:spacing w:after="0" w:line="259" w:lineRule="auto"/>
              <w:jc w:val="left"/>
            </w:pPr>
            <w:r/>
            <w:r>
              <w:rPr>
                <w:rFonts w:ascii="Microsoft YaHei" w:hAnsi="Microsoft YaHei" w:eastAsia="Microsoft YaHei"/>
                <w:b w:val="0"/>
                <w:color w:val="1F2933"/>
                <w:sz w:val="15"/>
              </w:rPr>
              <w:t>同等 privacy 下哪个 defense 保留最多 task accuracy？</w:t>
            </w:r>
          </w:p>
        </w:tc>
        <w:tc>
          <w:tcPr>
            <w:tcW w:type="dxa" w:w="2665"/>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topk@0.1 与 compression@8 当前 fixed points 很强</w:t>
            </w:r>
          </w:p>
        </w:tc>
        <w:tc>
          <w:tcPr>
            <w:tcW w:type="dxa" w:w="2381"/>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把 Projection-LRB 纳入 main result 和多 seed</w:t>
            </w:r>
          </w:p>
        </w:tc>
      </w:tr>
      <w:tr>
        <w:tc>
          <w:tcPr>
            <w:tcW w:type="dxa" w:w="1587"/>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机制是否清楚</w:t>
            </w:r>
          </w:p>
        </w:tc>
        <w:tc>
          <w:tcPr>
            <w:tcW w:type="dxa" w:w="2665"/>
            <w:shd w:fill="F7FAFC"/>
            <w:tcMar>
              <w:top w:w="80" w:type="dxa"/>
              <w:start w:w="90" w:type="dxa"/>
              <w:bottom w:w="80" w:type="dxa"/>
              <w:end w:w="90" w:type="dxa"/>
            </w:tcMar>
            <w:vAlign w:val="center"/>
          </w:tcPr>
          <w:p>
            <w:pPr>
              <w:spacing w:after="0" w:line="259" w:lineRule="auto"/>
              <w:jc w:val="left"/>
            </w:pPr>
            <w:r/>
            <w:r>
              <w:rPr>
                <w:rFonts w:ascii="Microsoft YaHei" w:hAnsi="Microsoft YaHei" w:eastAsia="Microsoft YaHei"/>
                <w:b w:val="0"/>
                <w:color w:val="1F2933"/>
                <w:sz w:val="15"/>
              </w:rPr>
              <w:t>防御效果来自 clipping, projection, noise 还是 layer sensitivity？</w:t>
            </w:r>
          </w:p>
        </w:tc>
        <w:tc>
          <w:tcPr>
            <w:tcW w:type="dxa" w:w="2665"/>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proj_only@0.5 DAGER=0 且 accuracy=0.915520</w:t>
            </w:r>
          </w:p>
        </w:tc>
        <w:tc>
          <w:tcPr>
            <w:tcW w:type="dxa" w:w="2381"/>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keep-ratio sweep 与 projection-only 细消融</w:t>
            </w:r>
          </w:p>
        </w:tc>
      </w:tr>
      <w:tr>
        <w:tc>
          <w:tcPr>
            <w:tcW w:type="dxa" w:w="1587"/>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场景是否泛化</w:t>
            </w:r>
          </w:p>
        </w:tc>
        <w:tc>
          <w:tcPr>
            <w:tcW w:type="dxa" w:w="2665"/>
            <w:tcMar>
              <w:top w:w="80" w:type="dxa"/>
              <w:start w:w="90" w:type="dxa"/>
              <w:bottom w:w="80" w:type="dxa"/>
              <w:end w:w="90" w:type="dxa"/>
            </w:tcMar>
            <w:vAlign w:val="center"/>
          </w:tcPr>
          <w:p>
            <w:pPr>
              <w:spacing w:after="0" w:line="259" w:lineRule="auto"/>
              <w:jc w:val="left"/>
            </w:pPr>
            <w:r/>
            <w:r>
              <w:rPr>
                <w:rFonts w:ascii="Microsoft YaHei" w:hAnsi="Microsoft YaHei" w:eastAsia="Microsoft YaHei"/>
                <w:b w:val="0"/>
                <w:color w:val="1F2933"/>
                <w:sz w:val="15"/>
              </w:rPr>
              <w:t>是否适用于 PEFT/LoRA, partial-gradient 和真实联邦微调？</w:t>
            </w:r>
          </w:p>
        </w:tc>
        <w:tc>
          <w:tcPr>
            <w:tcW w:type="dxa" w:w="2665"/>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PEFT eval-first 框架已有，partial-gradient 威胁已建模</w:t>
            </w:r>
          </w:p>
        </w:tc>
        <w:tc>
          <w:tcPr>
            <w:tcW w:type="dxa" w:w="2381"/>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补 LoRA 训练期 defense 和 partial-gradient 攻击入口</w:t>
            </w:r>
          </w:p>
        </w:tc>
      </w:tr>
    </w:tbl>
    <w:p/>
    <w:p>
      <w:pPr>
        <w:spacing w:after="100" w:line="278" w:lineRule="auto"/>
        <w:ind w:firstLine="420"/>
      </w:pPr>
      <w:r>
        <w:rPr>
          <w:rFonts w:ascii="Microsoft YaHei" w:hAnsi="Microsoft YaHei" w:eastAsia="Microsoft YaHei"/>
          <w:sz w:val="21"/>
        </w:rPr>
        <w:t>该问题对应的真实场景是多方拥有敏感文本、但又需要共同微调或适配语言模型的协作训练，例如医院之间联合训练临床文本分类模型、金融机构联合优化舆情或风控文本模型、企业之间共享客服/工单语义能力，以及移动端或边缘端更新个性化语言模型。</w:t>
      </w:r>
    </w:p>
    <w:p>
      <w:pPr>
        <w:pStyle w:val="Heading1"/>
      </w:pPr>
      <w:r>
        <w:t>六、威胁模型与评价对象</w:t>
      </w:r>
    </w:p>
    <w:p>
      <w:pPr>
        <w:spacing w:after="100" w:line="278" w:lineRule="auto"/>
        <w:ind w:firstLine="420"/>
      </w:pPr>
      <w:r>
        <w:rPr>
          <w:rFonts w:ascii="Microsoft YaHei" w:hAnsi="Microsoft YaHei" w:eastAsia="Microsoft YaHei"/>
          <w:sz w:val="21"/>
        </w:rPr>
        <w:t>本工作关注大模型联邦训练或分布式微调过程中由中间更新信息导致的数据泄露。客户端不上传原始文本，但会上传梯度、模型更新或 PEFT adapter 更新；攻击者可能据此恢复训练样本。关键不在于数据有没有直接共享，而在于共享更新本身是否携带足以恢复原始文本的高分辨率信息。</w:t>
      </w:r>
    </w:p>
    <w:tbl>
      <w:tblPr>
        <w:tblStyle w:val="TableGrid"/>
        <w:tblW w:type="auto" w:w="0"/>
        <w:jc w:val="center"/>
        <w:tblLook w:firstColumn="1" w:firstRow="1" w:lastColumn="0" w:lastRow="0" w:noHBand="0" w:noVBand="1" w:val="04A0"/>
        <w:tblBorders>
          <w:top w:val="single" w:sz="6" w:space="0" w:color="D4DBE3"/>
          <w:left w:val="single" w:sz="6" w:space="0" w:color="D4DBE3"/>
          <w:bottom w:val="single" w:sz="6" w:space="0" w:color="D4DBE3"/>
          <w:right w:val="single" w:sz="6" w:space="0" w:color="D4DBE3"/>
          <w:insideH w:val="single" w:sz="6" w:space="0" w:color="D4DBE3"/>
          <w:insideV w:val="single" w:sz="6" w:space="0" w:color="D4DBE3"/>
        </w:tblBorders>
      </w:tblPr>
      <w:tblGrid>
        <w:gridCol w:w="3345"/>
        <w:gridCol w:w="3345"/>
        <w:gridCol w:w="3345"/>
      </w:tblGrid>
      <w:tr>
        <w:trPr>
          <w:tblHeader w:val="true"/>
        </w:trPr>
        <w:tc>
          <w:tcPr>
            <w:tcW w:type="dxa" w:w="1814"/>
            <w:shd w:fill="D9EAF7"/>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color w:val="17365D"/>
                <w:sz w:val="16"/>
              </w:rPr>
              <w:t>威胁模型要素</w:t>
            </w:r>
          </w:p>
        </w:tc>
        <w:tc>
          <w:tcPr>
            <w:tcW w:type="dxa" w:w="3742"/>
            <w:shd w:fill="D9EAF7"/>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color w:val="17365D"/>
                <w:sz w:val="16"/>
              </w:rPr>
              <w:t>当前实验默认假设</w:t>
            </w:r>
          </w:p>
        </w:tc>
        <w:tc>
          <w:tcPr>
            <w:tcW w:type="dxa" w:w="3628"/>
            <w:shd w:fill="D9EAF7"/>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color w:val="17365D"/>
                <w:sz w:val="16"/>
              </w:rPr>
              <w:t>审稿风险 / 后续补充</w:t>
            </w:r>
          </w:p>
        </w:tc>
      </w:tr>
      <w:tr>
        <w:tc>
          <w:tcPr>
            <w:tcW w:type="dxa" w:w="1814"/>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6"/>
              </w:rPr>
              <w:t>攻击者能力</w:t>
            </w:r>
          </w:p>
        </w:tc>
        <w:tc>
          <w:tcPr>
            <w:tcW w:type="dxa" w:w="3742"/>
            <w:tcMar>
              <w:top w:w="80" w:type="dxa"/>
              <w:start w:w="90" w:type="dxa"/>
              <w:bottom w:w="80" w:type="dxa"/>
              <w:end w:w="90" w:type="dxa"/>
            </w:tcMar>
            <w:vAlign w:val="center"/>
          </w:tcPr>
          <w:p>
            <w:pPr>
              <w:spacing w:after="0" w:line="259" w:lineRule="auto"/>
              <w:jc w:val="left"/>
            </w:pPr>
            <w:r/>
            <w:r>
              <w:rPr>
                <w:rFonts w:ascii="Microsoft YaHei" w:hAnsi="Microsoft YaHei" w:eastAsia="Microsoft YaHei"/>
                <w:b w:val="0"/>
                <w:color w:val="1F2933"/>
                <w:sz w:val="16"/>
              </w:rPr>
              <w:t>半诚实服务端或聚合方可观察单轮 full-gradient 更新，并运行 DAGER 类白盒恢复攻击</w:t>
            </w:r>
          </w:p>
        </w:tc>
        <w:tc>
          <w:tcPr>
            <w:tcW w:type="dxa" w:w="3628"/>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6"/>
              </w:rPr>
              <w:t>不是 secure aggregation 后只见总和的场景；多客户端聚合需另设实验</w:t>
            </w:r>
          </w:p>
        </w:tc>
      </w:tr>
      <w:tr>
        <w:tc>
          <w:tcPr>
            <w:tcW w:type="dxa" w:w="1814"/>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6"/>
              </w:rPr>
              <w:t>攻击者知识</w:t>
            </w:r>
          </w:p>
        </w:tc>
        <w:tc>
          <w:tcPr>
            <w:tcW w:type="dxa" w:w="3742"/>
            <w:shd w:fill="F7FAFC"/>
            <w:tcMar>
              <w:top w:w="80" w:type="dxa"/>
              <w:start w:w="90" w:type="dxa"/>
              <w:bottom w:w="80" w:type="dxa"/>
              <w:end w:w="90" w:type="dxa"/>
            </w:tcMar>
            <w:vAlign w:val="center"/>
          </w:tcPr>
          <w:p>
            <w:pPr>
              <w:spacing w:after="0" w:line="259" w:lineRule="auto"/>
              <w:jc w:val="left"/>
            </w:pPr>
            <w:r/>
            <w:r>
              <w:rPr>
                <w:rFonts w:ascii="Microsoft YaHei" w:hAnsi="Microsoft YaHei" w:eastAsia="Microsoft YaHei"/>
                <w:b w:val="0"/>
                <w:color w:val="1F2933"/>
                <w:sz w:val="16"/>
              </w:rPr>
              <w:t>知道模型结构、当前权重、tokenizer、任务形式和 batch size</w:t>
            </w:r>
          </w:p>
        </w:tc>
        <w:tc>
          <w:tcPr>
            <w:tcW w:type="dxa" w:w="3628"/>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6"/>
              </w:rPr>
              <w:t>label / batch size / client sampling 未知时需敏感性分析</w:t>
            </w:r>
          </w:p>
        </w:tc>
      </w:tr>
      <w:tr>
        <w:tc>
          <w:tcPr>
            <w:tcW w:type="dxa" w:w="1814"/>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6"/>
              </w:rPr>
              <w:t>被保护对象</w:t>
            </w:r>
          </w:p>
        </w:tc>
        <w:tc>
          <w:tcPr>
            <w:tcW w:type="dxa" w:w="3742"/>
            <w:tcMar>
              <w:top w:w="80" w:type="dxa"/>
              <w:start w:w="90" w:type="dxa"/>
              <w:bottom w:w="80" w:type="dxa"/>
              <w:end w:w="90" w:type="dxa"/>
            </w:tcMar>
            <w:vAlign w:val="center"/>
          </w:tcPr>
          <w:p>
            <w:pPr>
              <w:spacing w:after="0" w:line="259" w:lineRule="auto"/>
              <w:jc w:val="left"/>
            </w:pPr>
            <w:r/>
            <w:r>
              <w:rPr>
                <w:rFonts w:ascii="Microsoft YaHei" w:hAnsi="Microsoft YaHei" w:eastAsia="Microsoft YaHei"/>
                <w:b w:val="0"/>
                <w:color w:val="1F2933"/>
                <w:sz w:val="16"/>
              </w:rPr>
              <w:t>客户端本地 batch 中的原始文本 token / sequence</w:t>
            </w:r>
          </w:p>
        </w:tc>
        <w:tc>
          <w:tcPr>
            <w:tcW w:type="dxa" w:w="3628"/>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6"/>
              </w:rPr>
              <w:t>rec_token_mean 与 ROUGE 衡量文本内容恢复，不是 DP privacy loss</w:t>
            </w:r>
          </w:p>
        </w:tc>
      </w:tr>
      <w:tr>
        <w:tc>
          <w:tcPr>
            <w:tcW w:type="dxa" w:w="1814"/>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6"/>
              </w:rPr>
              <w:t>当前主攻击面</w:t>
            </w:r>
          </w:p>
        </w:tc>
        <w:tc>
          <w:tcPr>
            <w:tcW w:type="dxa" w:w="3742"/>
            <w:shd w:fill="F7FAFC"/>
            <w:tcMar>
              <w:top w:w="80" w:type="dxa"/>
              <w:start w:w="90" w:type="dxa"/>
              <w:bottom w:w="80" w:type="dxa"/>
              <w:end w:w="90" w:type="dxa"/>
            </w:tcMar>
            <w:vAlign w:val="center"/>
          </w:tcPr>
          <w:p>
            <w:pPr>
              <w:spacing w:after="0" w:line="259" w:lineRule="auto"/>
              <w:jc w:val="left"/>
            </w:pPr>
            <w:r/>
            <w:r>
              <w:rPr>
                <w:rFonts w:ascii="Microsoft YaHei" w:hAnsi="Microsoft YaHei" w:eastAsia="Microsoft YaHei"/>
                <w:b w:val="0"/>
                <w:color w:val="1F2933"/>
                <w:sz w:val="16"/>
              </w:rPr>
              <w:t>SST2 + GPT2 fine-tuned checkpoint + batch=2 + n_inputs=100 的 full-gradient DAGER</w:t>
            </w:r>
          </w:p>
        </w:tc>
        <w:tc>
          <w:tcPr>
            <w:tcW w:type="dxa" w:w="3628"/>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6"/>
              </w:rPr>
              <w:t>PEFT/partial/backbone transfer 不应写成已完成结论</w:t>
            </w:r>
          </w:p>
        </w:tc>
      </w:tr>
      <w:tr>
        <w:tc>
          <w:tcPr>
            <w:tcW w:type="dxa" w:w="1814"/>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6"/>
              </w:rPr>
              <w:t>防御目标</w:t>
            </w:r>
          </w:p>
        </w:tc>
        <w:tc>
          <w:tcPr>
            <w:tcW w:type="dxa" w:w="3742"/>
            <w:tcMar>
              <w:top w:w="80" w:type="dxa"/>
              <w:start w:w="90" w:type="dxa"/>
              <w:bottom w:w="80" w:type="dxa"/>
              <w:end w:w="90" w:type="dxa"/>
            </w:tcMar>
            <w:vAlign w:val="center"/>
          </w:tcPr>
          <w:p>
            <w:pPr>
              <w:spacing w:after="0" w:line="259" w:lineRule="auto"/>
              <w:jc w:val="left"/>
            </w:pPr>
            <w:r/>
            <w:r>
              <w:rPr>
                <w:rFonts w:ascii="Microsoft YaHei" w:hAnsi="Microsoft YaHei" w:eastAsia="Microsoft YaHei"/>
                <w:b w:val="0"/>
                <w:color w:val="1F2933"/>
                <w:sz w:val="16"/>
              </w:rPr>
              <w:t>降低中间更新 recoverability，同时保持 downstream accuracy / macro-F1</w:t>
            </w:r>
          </w:p>
        </w:tc>
        <w:tc>
          <w:tcPr>
            <w:tcW w:type="dxa" w:w="3628"/>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6"/>
              </w:rPr>
              <w:t>与 topk/compression 在相同 attack budget 和 privacy target 下比较</w:t>
            </w:r>
          </w:p>
        </w:tc>
      </w:tr>
    </w:tbl>
    <w:p/>
    <w:p>
      <w:pPr>
        <w:pStyle w:val="Heading1"/>
      </w:pPr>
      <w:r>
        <w:t>七、Projection-LRB 方法机制</w:t>
      </w:r>
    </w:p>
    <w:p>
      <w:pPr>
        <w:spacing w:after="100" w:line="278" w:lineRule="auto"/>
        <w:ind w:firstLine="420"/>
      </w:pPr>
      <w:r>
        <w:rPr>
          <w:rFonts w:ascii="Microsoft YaHei" w:hAnsi="Microsoft YaHei" w:eastAsia="Microsoft YaHei"/>
          <w:sz w:val="21"/>
        </w:rPr>
        <w:t>根据当前消融证据，文档中的主方法应从泛称 LRB 收束为 Projection-LRB：一个面向 recoverability 的 layer-wise gradient projection defense。full_lrb 仍作为强防御 / 过防御对照保留，用来说明 clipping 与 residual-space noise 并不是当前 full-gradient DAGER 设置下的必要主效应。</w:t>
      </w:r>
    </w:p>
    <w:p>
      <w:pPr>
        <w:spacing w:after="100" w:line="278" w:lineRule="auto"/>
        <w:ind w:firstLine="420"/>
      </w:pPr>
      <w:r>
        <w:rPr>
          <w:rFonts w:ascii="Microsoft YaHei" w:hAnsi="Microsoft YaHei" w:eastAsia="Microsoft YaHei"/>
          <w:sz w:val="21"/>
        </w:rPr>
        <w:t>更适合论文的方法表述是：对每层梯度 g_l，先根据结构先验与当前 batch 梯度统计估计敏感度 s_l，再用 keep ratio k_l 控制低分辨率 signed_pool 投影 P_{k_l}(g_l)。Projection-LRB 的核心更新可写作 \tilde{g}_l=P_{k_l}(g_l)，其中高敏感层使用更低分辨率 bottleneck；full_lrb 则在此基础上额外加入 clipping 与 residual-space noise。</w:t>
      </w:r>
    </w:p>
    <w:tbl>
      <w:tblPr>
        <w:tblStyle w:val="TableGrid"/>
        <w:tblW w:type="auto" w:w="0"/>
        <w:jc w:val="center"/>
        <w:tblLook w:firstColumn="1" w:firstRow="1" w:lastColumn="0" w:lastRow="0" w:noHBand="0" w:noVBand="1" w:val="04A0"/>
        <w:tblBorders>
          <w:top w:val="single" w:sz="6" w:space="0" w:color="D4DBE3"/>
          <w:left w:val="single" w:sz="6" w:space="0" w:color="D4DBE3"/>
          <w:bottom w:val="single" w:sz="6" w:space="0" w:color="D4DBE3"/>
          <w:right w:val="single" w:sz="6" w:space="0" w:color="D4DBE3"/>
          <w:insideH w:val="single" w:sz="6" w:space="0" w:color="D4DBE3"/>
          <w:insideV w:val="single" w:sz="6" w:space="0" w:color="D4DBE3"/>
        </w:tblBorders>
      </w:tblPr>
      <w:tblGrid>
        <w:gridCol w:w="2509"/>
        <w:gridCol w:w="2509"/>
        <w:gridCol w:w="2509"/>
        <w:gridCol w:w="2509"/>
      </w:tblGrid>
      <w:tr>
        <w:trPr>
          <w:tblHeader w:val="true"/>
        </w:trPr>
        <w:tc>
          <w:tcPr>
            <w:tcW w:type="dxa" w:w="1984"/>
            <w:shd w:fill="D9EAF7"/>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color w:val="17365D"/>
                <w:sz w:val="16"/>
              </w:rPr>
              <w:t>模块</w:t>
            </w:r>
          </w:p>
        </w:tc>
        <w:tc>
          <w:tcPr>
            <w:tcW w:type="dxa" w:w="2721"/>
            <w:shd w:fill="D9EAF7"/>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color w:val="17365D"/>
                <w:sz w:val="16"/>
              </w:rPr>
              <w:t>当前实现</w:t>
            </w:r>
          </w:p>
        </w:tc>
        <w:tc>
          <w:tcPr>
            <w:tcW w:type="dxa" w:w="2721"/>
            <w:shd w:fill="D9EAF7"/>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color w:val="17365D"/>
                <w:sz w:val="16"/>
              </w:rPr>
              <w:t>核心作用</w:t>
            </w:r>
          </w:p>
        </w:tc>
        <w:tc>
          <w:tcPr>
            <w:tcW w:type="dxa" w:w="1928"/>
            <w:shd w:fill="D9EAF7"/>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color w:val="17365D"/>
                <w:sz w:val="16"/>
              </w:rPr>
              <w:t>消融关注点</w:t>
            </w:r>
          </w:p>
        </w:tc>
      </w:tr>
      <w:tr>
        <w:tc>
          <w:tcPr>
            <w:tcW w:type="dxa" w:w="1984"/>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6"/>
              </w:rPr>
              <w:t>Layer-wise sensitivity</w:t>
            </w:r>
          </w:p>
        </w:tc>
        <w:tc>
          <w:tcPr>
            <w:tcW w:type="dxa" w:w="2721"/>
            <w:tcMar>
              <w:top w:w="80" w:type="dxa"/>
              <w:start w:w="90" w:type="dxa"/>
              <w:bottom w:w="80" w:type="dxa"/>
              <w:end w:w="90" w:type="dxa"/>
            </w:tcMar>
            <w:vAlign w:val="center"/>
          </w:tcPr>
          <w:p>
            <w:pPr>
              <w:spacing w:after="0" w:line="259" w:lineRule="auto"/>
              <w:jc w:val="left"/>
            </w:pPr>
            <w:r/>
            <w:r>
              <w:rPr>
                <w:rFonts w:ascii="Microsoft YaHei" w:hAnsi="Microsoft YaHei" w:eastAsia="Microsoft YaHei"/>
                <w:b w:val="0"/>
                <w:color w:val="1F2933"/>
                <w:sz w:val="16"/>
              </w:rPr>
              <w:t>结构先验 + 当前 batch 梯度统计，默认 empirical_weight=0.6</w:t>
            </w:r>
          </w:p>
        </w:tc>
        <w:tc>
          <w:tcPr>
            <w:tcW w:type="dxa" w:w="2721"/>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6"/>
              </w:rPr>
              <w:t>识别更可能泄露 token 细节的层</w:t>
            </w:r>
          </w:p>
        </w:tc>
        <w:tc>
          <w:tcPr>
            <w:tcW w:type="dxa" w:w="1928"/>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6"/>
              </w:rPr>
              <w:t>rule_only / empirical_only / uniform_all_sensitive</w:t>
            </w:r>
          </w:p>
        </w:tc>
      </w:tr>
      <w:tr>
        <w:tc>
          <w:tcPr>
            <w:tcW w:type="dxa" w:w="1984"/>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6"/>
              </w:rPr>
              <w:t>Low-resolution signed_pool projection</w:t>
            </w:r>
          </w:p>
        </w:tc>
        <w:tc>
          <w:tcPr>
            <w:tcW w:type="dxa" w:w="2721"/>
            <w:shd w:fill="F7FAFC"/>
            <w:tcMar>
              <w:top w:w="80" w:type="dxa"/>
              <w:start w:w="90" w:type="dxa"/>
              <w:bottom w:w="80" w:type="dxa"/>
              <w:end w:w="90" w:type="dxa"/>
            </w:tcMar>
            <w:vAlign w:val="center"/>
          </w:tcPr>
          <w:p>
            <w:pPr>
              <w:spacing w:after="0" w:line="259" w:lineRule="auto"/>
              <w:jc w:val="left"/>
            </w:pPr>
            <w:r/>
            <w:r>
              <w:rPr>
                <w:rFonts w:ascii="Microsoft YaHei" w:hAnsi="Microsoft YaHei" w:eastAsia="Microsoft YaHei"/>
                <w:b w:val="0"/>
                <w:color w:val="1F2933"/>
                <w:sz w:val="16"/>
              </w:rPr>
              <w:t>随机符号翻转后做 pooling / interpolation 低分辨率重建</w:t>
            </w:r>
          </w:p>
        </w:tc>
        <w:tc>
          <w:tcPr>
            <w:tcW w:type="dxa" w:w="2721"/>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6"/>
              </w:rPr>
              <w:t>Projection-LRB 主体；保留粗结构，移除高分辨率样本细节</w:t>
            </w:r>
          </w:p>
        </w:tc>
        <w:tc>
          <w:tcPr>
            <w:tcW w:type="dxa" w:w="1928"/>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6"/>
              </w:rPr>
              <w:t>proj_only / proj_clip / pool_full</w:t>
            </w:r>
          </w:p>
        </w:tc>
      </w:tr>
      <w:tr>
        <w:tc>
          <w:tcPr>
            <w:tcW w:type="dxa" w:w="1984"/>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6"/>
              </w:rPr>
              <w:t>Layer-wise clipping</w:t>
            </w:r>
          </w:p>
        </w:tc>
        <w:tc>
          <w:tcPr>
            <w:tcW w:type="dxa" w:w="2721"/>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6"/>
              </w:rPr>
              <w:t>按所有层范数中位数设置每层裁剪阈值</w:t>
            </w:r>
          </w:p>
        </w:tc>
        <w:tc>
          <w:tcPr>
            <w:tcW w:type="dxa" w:w="2721"/>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6"/>
              </w:rPr>
              <w:t>full_lrb 附加约束；限制个别层大幅信息流</w:t>
            </w:r>
          </w:p>
        </w:tc>
        <w:tc>
          <w:tcPr>
            <w:tcW w:type="dxa" w:w="1928"/>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6"/>
              </w:rPr>
              <w:t>clip_only / proj_clip</w:t>
            </w:r>
          </w:p>
        </w:tc>
      </w:tr>
      <w:tr>
        <w:tc>
          <w:tcPr>
            <w:tcW w:type="dxa" w:w="1984"/>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6"/>
              </w:rPr>
              <w:t>Residual-space noise</w:t>
            </w:r>
          </w:p>
        </w:tc>
        <w:tc>
          <w:tcPr>
            <w:tcW w:type="dxa" w:w="2721"/>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6"/>
              </w:rPr>
              <w:t>噪声主要加在低分辨率表示之外的残差方向</w:t>
            </w:r>
          </w:p>
        </w:tc>
        <w:tc>
          <w:tcPr>
            <w:tcW w:type="dxa" w:w="2721"/>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6"/>
              </w:rPr>
              <w:t>full_lrb 强防御组件；进一步污染攻击依赖的细节方向</w:t>
            </w:r>
          </w:p>
        </w:tc>
        <w:tc>
          <w:tcPr>
            <w:tcW w:type="dxa" w:w="1928"/>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6"/>
              </w:rPr>
              <w:t>full_lrb vs proj_only</w:t>
            </w:r>
          </w:p>
        </w:tc>
      </w:tr>
    </w:tbl>
    <w:p/>
    <w:tbl>
      <w:tblPr>
        <w:tblW w:type="auto" w:w="0"/>
        <w:jc w:val="center"/>
        <w:tblLook w:firstColumn="1" w:firstRow="1" w:lastColumn="0" w:lastRow="0" w:noHBand="0" w:noVBand="1" w:val="04A0"/>
        <w:tblBorders>
          <w:top w:val="single" w:sz="6" w:space="0" w:color="B7C6D8"/>
          <w:left w:val="single" w:sz="6" w:space="0" w:color="B7C6D8"/>
          <w:bottom w:val="single" w:sz="6" w:space="0" w:color="B7C6D8"/>
          <w:right w:val="single" w:sz="6" w:space="0" w:color="B7C6D8"/>
          <w:insideH w:val="single" w:sz="6" w:space="0" w:color="B7C6D8"/>
          <w:insideV w:val="single" w:sz="6" w:space="0" w:color="B7C6D8"/>
        </w:tblBorders>
      </w:tblPr>
      <w:tblGrid>
        <w:gridCol w:w="10036"/>
      </w:tblGrid>
      <w:tr>
        <w:tc>
          <w:tcPr>
            <w:tcW w:type="dxa" w:w="10036"/>
            <w:shd w:fill="F5F8EC"/>
            <w:tcMar>
              <w:top w:w="120" w:type="dxa"/>
              <w:start w:w="160" w:type="dxa"/>
              <w:bottom w:w="120" w:type="dxa"/>
              <w:end w:w="160" w:type="dxa"/>
            </w:tcMar>
          </w:tcPr>
          <w:p>
            <w:pPr>
              <w:spacing w:after="60"/>
            </w:pPr>
            <w:r>
              <w:rPr>
                <w:rFonts w:ascii="Microsoft YaHei" w:hAnsi="Microsoft YaHei" w:eastAsia="Microsoft YaHei"/>
                <w:b/>
                <w:color w:val="1F4E79"/>
                <w:sz w:val="20"/>
              </w:rPr>
              <w:t>推荐当前方法表述</w:t>
            </w:r>
          </w:p>
          <w:p>
            <w:pPr>
              <w:spacing w:after="40"/>
            </w:pPr>
            <w:r>
              <w:rPr>
                <w:rFonts w:ascii="Microsoft YaHei" w:hAnsi="Microsoft YaHei" w:eastAsia="Microsoft YaHei"/>
                <w:sz w:val="18"/>
              </w:rPr>
              <w:t>Projection-LRB is a layer-wise adaptive gradient projection defense that suppresses recoverability by mapping sensitive-layer gradients into a low-resolution signed pooling subspace.</w:t>
            </w:r>
          </w:p>
          <w:p>
            <w:pPr>
              <w:spacing w:after="40"/>
            </w:pPr>
            <w:r>
              <w:rPr>
                <w:rFonts w:ascii="Microsoft YaHei" w:hAnsi="Microsoft YaHei" w:eastAsia="Microsoft YaHei"/>
                <w:sz w:val="18"/>
              </w:rPr>
              <w:t>full_lrb 可作为包含 clipping 与 residual-space noise 的强防御对照；当前不建议把 full_lrb 写成最终主方法。</w:t>
            </w:r>
          </w:p>
        </w:tc>
      </w:tr>
    </w:tbl>
    <w:p/>
    <w:p>
      <w:pPr>
        <w:pStyle w:val="Heading1"/>
      </w:pPr>
      <w:r>
        <w:t>八、实验设置与指标</w:t>
      </w:r>
    </w:p>
    <w:tbl>
      <w:tblPr>
        <w:tblStyle w:val="TableGrid"/>
        <w:tblW w:type="auto" w:w="0"/>
        <w:jc w:val="center"/>
        <w:tblLook w:firstColumn="1" w:firstRow="1" w:lastColumn="0" w:lastRow="0" w:noHBand="0" w:noVBand="1" w:val="04A0"/>
        <w:tblBorders>
          <w:top w:val="single" w:sz="6" w:space="0" w:color="D4DBE3"/>
          <w:left w:val="single" w:sz="6" w:space="0" w:color="D4DBE3"/>
          <w:bottom w:val="single" w:sz="6" w:space="0" w:color="D4DBE3"/>
          <w:right w:val="single" w:sz="6" w:space="0" w:color="D4DBE3"/>
          <w:insideH w:val="single" w:sz="6" w:space="0" w:color="D4DBE3"/>
          <w:insideV w:val="single" w:sz="6" w:space="0" w:color="D4DBE3"/>
        </w:tblBorders>
      </w:tblPr>
      <w:tblGrid>
        <w:gridCol w:w="2509"/>
        <w:gridCol w:w="2509"/>
        <w:gridCol w:w="2509"/>
        <w:gridCol w:w="2509"/>
      </w:tblGrid>
      <w:tr>
        <w:trPr>
          <w:tblHeader w:val="true"/>
        </w:trPr>
        <w:tc>
          <w:tcPr>
            <w:tcW w:type="dxa" w:w="1701"/>
            <w:shd w:fill="D9EAF7"/>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color w:val="17365D"/>
                <w:sz w:val="15"/>
              </w:rPr>
              <w:t>实验块</w:t>
            </w:r>
          </w:p>
        </w:tc>
        <w:tc>
          <w:tcPr>
            <w:tcW w:type="dxa" w:w="2835"/>
            <w:shd w:fill="D9EAF7"/>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color w:val="17365D"/>
                <w:sz w:val="15"/>
              </w:rPr>
              <w:t>日志目录 / 文档</w:t>
            </w:r>
          </w:p>
        </w:tc>
        <w:tc>
          <w:tcPr>
            <w:tcW w:type="dxa" w:w="2665"/>
            <w:shd w:fill="D9EAF7"/>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color w:val="17365D"/>
                <w:sz w:val="15"/>
              </w:rPr>
              <w:t>关键设置</w:t>
            </w:r>
          </w:p>
        </w:tc>
        <w:tc>
          <w:tcPr>
            <w:tcW w:type="dxa" w:w="2154"/>
            <w:shd w:fill="D9EAF7"/>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color w:val="17365D"/>
                <w:sz w:val="15"/>
              </w:rPr>
              <w:t>用途</w:t>
            </w:r>
          </w:p>
        </w:tc>
      </w:tr>
      <w:tr>
        <w:tc>
          <w:tcPr>
            <w:tcW w:type="dxa" w:w="1701"/>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DAGER defense baselines</w:t>
            </w:r>
          </w:p>
        </w:tc>
        <w:tc>
          <w:tcPr>
            <w:tcW w:type="dxa" w:w="2835"/>
            <w:tcMar>
              <w:top w:w="80" w:type="dxa"/>
              <w:start w:w="90" w:type="dxa"/>
              <w:bottom w:w="80" w:type="dxa"/>
              <w:end w:w="90" w:type="dxa"/>
            </w:tcMar>
            <w:vAlign w:val="center"/>
          </w:tcPr>
          <w:p>
            <w:pPr>
              <w:spacing w:after="0" w:line="259" w:lineRule="auto"/>
              <w:jc w:val="left"/>
            </w:pPr>
            <w:r/>
            <w:r>
              <w:rPr>
                <w:rFonts w:ascii="Microsoft YaHei" w:hAnsi="Microsoft YaHei" w:eastAsia="Microsoft YaHei"/>
                <w:b w:val="0"/>
                <w:color w:val="1F2933"/>
                <w:sz w:val="15"/>
              </w:rPr>
              <w:t>log/runs/defense_baselines_sst2_b2_gpt2_20260501_010024</w:t>
            </w:r>
          </w:p>
        </w:tc>
        <w:tc>
          <w:tcPr>
            <w:tcW w:type="dxa" w:w="2665"/>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sst2, gpt2, ./models/gpt2-ft-rt, batch=2, n_inputs=100</w:t>
            </w:r>
          </w:p>
        </w:tc>
        <w:tc>
          <w:tcPr>
            <w:tcW w:type="dxa" w:w="2154"/>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量化 clean 泄露与各 defense attack-time privacy</w:t>
            </w:r>
          </w:p>
        </w:tc>
      </w:tr>
      <w:tr>
        <w:tc>
          <w:tcPr>
            <w:tcW w:type="dxa" w:w="1701"/>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Utility focused runs</w:t>
            </w:r>
          </w:p>
        </w:tc>
        <w:tc>
          <w:tcPr>
            <w:tcW w:type="dxa" w:w="2835"/>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log/runs/utility260426</w:t>
            </w:r>
          </w:p>
        </w:tc>
        <w:tc>
          <w:tcPr>
            <w:tcW w:type="dxa" w:w="2665"/>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full training, epoch=1, seeds=101/202/303</w:t>
            </w:r>
          </w:p>
        </w:tc>
        <w:tc>
          <w:tcPr>
            <w:tcW w:type="dxa" w:w="2154"/>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评估 defense 对 accuracy/F1/loss/runtime 的影响</w:t>
            </w:r>
          </w:p>
        </w:tc>
      </w:tr>
      <w:tr>
        <w:tc>
          <w:tcPr>
            <w:tcW w:type="dxa" w:w="1701"/>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LRB ablation</w:t>
            </w:r>
          </w:p>
        </w:tc>
        <w:tc>
          <w:tcPr>
            <w:tcW w:type="dxa" w:w="2835"/>
            <w:tcMar>
              <w:top w:w="80" w:type="dxa"/>
              <w:start w:w="90" w:type="dxa"/>
              <w:bottom w:w="80" w:type="dxa"/>
              <w:end w:w="90" w:type="dxa"/>
            </w:tcMar>
            <w:vAlign w:val="center"/>
          </w:tcPr>
          <w:p>
            <w:pPr>
              <w:spacing w:after="0" w:line="259" w:lineRule="auto"/>
              <w:jc w:val="left"/>
            </w:pPr>
            <w:r/>
            <w:r>
              <w:rPr>
                <w:rFonts w:ascii="Microsoft YaHei" w:hAnsi="Microsoft YaHei" w:eastAsia="Microsoft YaHei"/>
                <w:b w:val="0"/>
                <w:color w:val="1F2933"/>
                <w:sz w:val="15"/>
              </w:rPr>
              <w:t>log/runs/lrb_ablation_sst2_b2_gpt2_k0.5_20260501_004737</w:t>
            </w:r>
          </w:p>
        </w:tc>
        <w:tc>
          <w:tcPr>
            <w:tcW w:type="dxa" w:w="2665"/>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variants=none/identity/clip/proj/full/pool/rule/empirical/uniform, n_inputs=100</w:t>
            </w:r>
          </w:p>
        </w:tc>
        <w:tc>
          <w:tcPr>
            <w:tcW w:type="dxa" w:w="2154"/>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拆解 LRB 主效应来自哪个模块</w:t>
            </w:r>
          </w:p>
        </w:tc>
      </w:tr>
      <w:tr>
        <w:tc>
          <w:tcPr>
            <w:tcW w:type="dxa" w:w="1701"/>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分析文档</w:t>
            </w:r>
          </w:p>
        </w:tc>
        <w:tc>
          <w:tcPr>
            <w:tcW w:type="dxa" w:w="2835"/>
            <w:shd w:fill="F7FAFC"/>
            <w:tcMar>
              <w:top w:w="80" w:type="dxa"/>
              <w:start w:w="90" w:type="dxa"/>
              <w:bottom w:w="80" w:type="dxa"/>
              <w:end w:w="90" w:type="dxa"/>
            </w:tcMar>
            <w:vAlign w:val="center"/>
          </w:tcPr>
          <w:p>
            <w:pPr>
              <w:spacing w:after="0" w:line="259" w:lineRule="auto"/>
              <w:jc w:val="left"/>
            </w:pPr>
            <w:r/>
            <w:r>
              <w:rPr>
                <w:rFonts w:ascii="Microsoft YaHei" w:hAnsi="Microsoft YaHei" w:eastAsia="Microsoft YaHei"/>
                <w:b w:val="0"/>
                <w:color w:val="1F2933"/>
                <w:sz w:val="15"/>
              </w:rPr>
              <w:t>docs/*.md; docs/参考/*; docs/聊天记录20260505.md</w:t>
            </w:r>
          </w:p>
        </w:tc>
        <w:tc>
          <w:tcPr>
            <w:tcW w:type="dxa" w:w="2665"/>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当前工作状态、方法详解、utility、defense、消融、论文图表建议</w:t>
            </w:r>
          </w:p>
        </w:tc>
        <w:tc>
          <w:tcPr>
            <w:tcW w:type="dxa" w:w="2154"/>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统一论文叙事和下一步路线</w:t>
            </w:r>
          </w:p>
        </w:tc>
      </w:tr>
    </w:tbl>
    <w:p/>
    <w:tbl>
      <w:tblPr>
        <w:tblStyle w:val="TableGrid"/>
        <w:tblW w:type="auto" w:w="0"/>
        <w:jc w:val="center"/>
        <w:tblLook w:firstColumn="1" w:firstRow="1" w:lastColumn="0" w:lastRow="0" w:noHBand="0" w:noVBand="1" w:val="04A0"/>
        <w:tblBorders>
          <w:top w:val="single" w:sz="6" w:space="0" w:color="D4DBE3"/>
          <w:left w:val="single" w:sz="6" w:space="0" w:color="D4DBE3"/>
          <w:bottom w:val="single" w:sz="6" w:space="0" w:color="D4DBE3"/>
          <w:right w:val="single" w:sz="6" w:space="0" w:color="D4DBE3"/>
          <w:insideH w:val="single" w:sz="6" w:space="0" w:color="D4DBE3"/>
          <w:insideV w:val="single" w:sz="6" w:space="0" w:color="D4DBE3"/>
        </w:tblBorders>
      </w:tblPr>
      <w:tblGrid>
        <w:gridCol w:w="3345"/>
        <w:gridCol w:w="3345"/>
        <w:gridCol w:w="3345"/>
      </w:tblGrid>
      <w:tr>
        <w:trPr>
          <w:tblHeader w:val="true"/>
        </w:trPr>
        <w:tc>
          <w:tcPr>
            <w:tcW w:type="dxa" w:w="1814"/>
            <w:shd w:fill="D9EAF7"/>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color w:val="17365D"/>
                <w:sz w:val="16"/>
              </w:rPr>
              <w:t>指标</w:t>
            </w:r>
          </w:p>
        </w:tc>
        <w:tc>
          <w:tcPr>
            <w:tcW w:type="dxa" w:w="4082"/>
            <w:shd w:fill="D9EAF7"/>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color w:val="17365D"/>
                <w:sz w:val="16"/>
              </w:rPr>
              <w:t>含义</w:t>
            </w:r>
          </w:p>
        </w:tc>
        <w:tc>
          <w:tcPr>
            <w:tcW w:type="dxa" w:w="3288"/>
            <w:shd w:fill="D9EAF7"/>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color w:val="17365D"/>
                <w:sz w:val="16"/>
              </w:rPr>
              <w:t>解读注意</w:t>
            </w:r>
          </w:p>
        </w:tc>
      </w:tr>
      <w:tr>
        <w:tc>
          <w:tcPr>
            <w:tcW w:type="dxa" w:w="1814"/>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6"/>
              </w:rPr>
              <w:t>rec_token_mean</w:t>
            </w:r>
          </w:p>
        </w:tc>
        <w:tc>
          <w:tcPr>
            <w:tcW w:type="dxa" w:w="4082"/>
            <w:tcMar>
              <w:top w:w="80" w:type="dxa"/>
              <w:start w:w="90" w:type="dxa"/>
              <w:bottom w:w="80" w:type="dxa"/>
              <w:end w:w="90" w:type="dxa"/>
            </w:tcMar>
            <w:vAlign w:val="center"/>
          </w:tcPr>
          <w:p>
            <w:pPr>
              <w:spacing w:after="0" w:line="259" w:lineRule="auto"/>
              <w:jc w:val="left"/>
            </w:pPr>
            <w:r/>
            <w:r>
              <w:rPr>
                <w:rFonts w:ascii="Microsoft YaHei" w:hAnsi="Microsoft YaHei" w:eastAsia="Microsoft YaHei"/>
                <w:b w:val="0"/>
                <w:color w:val="1F2933"/>
                <w:sz w:val="16"/>
              </w:rPr>
              <w:t>DAGER 恢复文本与真实文本在 token 级别的平均恢复程度，越低越好</w:t>
            </w:r>
          </w:p>
        </w:tc>
        <w:tc>
          <w:tcPr>
            <w:tcW w:type="dxa" w:w="3288"/>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6"/>
              </w:rPr>
              <w:t>0 表示当前攻击和阈值下未恢复 token，不等于形式化安全</w:t>
            </w:r>
          </w:p>
        </w:tc>
      </w:tr>
      <w:tr>
        <w:tc>
          <w:tcPr>
            <w:tcW w:type="dxa" w:w="1814"/>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6"/>
              </w:rPr>
              <w:t>ROUGE-1 + ROUGE-2</w:t>
            </w:r>
          </w:p>
        </w:tc>
        <w:tc>
          <w:tcPr>
            <w:tcW w:type="dxa" w:w="4082"/>
            <w:shd w:fill="F7FAFC"/>
            <w:tcMar>
              <w:top w:w="80" w:type="dxa"/>
              <w:start w:w="90" w:type="dxa"/>
              <w:bottom w:w="80" w:type="dxa"/>
              <w:end w:w="90" w:type="dxa"/>
            </w:tcMar>
            <w:vAlign w:val="center"/>
          </w:tcPr>
          <w:p>
            <w:pPr>
              <w:spacing w:after="0" w:line="259" w:lineRule="auto"/>
              <w:jc w:val="left"/>
            </w:pPr>
            <w:r/>
            <w:r>
              <w:rPr>
                <w:rFonts w:ascii="Microsoft YaHei" w:hAnsi="Microsoft YaHei" w:eastAsia="Microsoft YaHei"/>
                <w:b w:val="0"/>
                <w:color w:val="1F2933"/>
                <w:sz w:val="16"/>
              </w:rPr>
              <w:t>恢复文本与真实文本的 n-gram overlap 汇总，越低越好</w:t>
            </w:r>
          </w:p>
        </w:tc>
        <w:tc>
          <w:tcPr>
            <w:tcW w:type="dxa" w:w="3288"/>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6"/>
              </w:rPr>
              <w:t>与 token recovery 一起说明当前攻击是否失效</w:t>
            </w:r>
          </w:p>
        </w:tc>
      </w:tr>
      <w:tr>
        <w:tc>
          <w:tcPr>
            <w:tcW w:type="dxa" w:w="1814"/>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6"/>
              </w:rPr>
              <w:t>eval_accuracy / macro-F1</w:t>
            </w:r>
          </w:p>
        </w:tc>
        <w:tc>
          <w:tcPr>
            <w:tcW w:type="dxa" w:w="4082"/>
            <w:tcMar>
              <w:top w:w="80" w:type="dxa"/>
              <w:start w:w="90" w:type="dxa"/>
              <w:bottom w:w="80" w:type="dxa"/>
              <w:end w:w="90" w:type="dxa"/>
            </w:tcMar>
            <w:vAlign w:val="center"/>
          </w:tcPr>
          <w:p>
            <w:pPr>
              <w:spacing w:after="0" w:line="259" w:lineRule="auto"/>
              <w:jc w:val="left"/>
            </w:pPr>
            <w:r/>
            <w:r>
              <w:rPr>
                <w:rFonts w:ascii="Microsoft YaHei" w:hAnsi="Microsoft YaHei" w:eastAsia="Microsoft YaHei"/>
                <w:b w:val="0"/>
                <w:color w:val="1F2933"/>
                <w:sz w:val="16"/>
              </w:rPr>
              <w:t>defense 后完整训练或评估在 SST2 分类任务上的 utility</w:t>
            </w:r>
          </w:p>
        </w:tc>
        <w:tc>
          <w:tcPr>
            <w:tcW w:type="dxa" w:w="3288"/>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6"/>
              </w:rPr>
              <w:t>小幅高于 clean 的结果只能写成 clean-level utility</w:t>
            </w:r>
          </w:p>
        </w:tc>
      </w:tr>
      <w:tr>
        <w:tc>
          <w:tcPr>
            <w:tcW w:type="dxa" w:w="1814"/>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6"/>
              </w:rPr>
              <w:t>utility_drop</w:t>
            </w:r>
          </w:p>
        </w:tc>
        <w:tc>
          <w:tcPr>
            <w:tcW w:type="dxa" w:w="4082"/>
            <w:shd w:fill="F7FAFC"/>
            <w:tcMar>
              <w:top w:w="80" w:type="dxa"/>
              <w:start w:w="90" w:type="dxa"/>
              <w:bottom w:w="80" w:type="dxa"/>
              <w:end w:w="90" w:type="dxa"/>
            </w:tcMar>
            <w:vAlign w:val="center"/>
          </w:tcPr>
          <w:p>
            <w:pPr>
              <w:spacing w:after="0" w:line="259" w:lineRule="auto"/>
              <w:jc w:val="left"/>
            </w:pPr>
            <w:r/>
            <w:r>
              <w:rPr>
                <w:rFonts w:ascii="Microsoft YaHei" w:hAnsi="Microsoft YaHei" w:eastAsia="Microsoft YaHei"/>
                <w:b w:val="0"/>
                <w:color w:val="1F2933"/>
                <w:sz w:val="16"/>
              </w:rPr>
              <w:t>相对 clean accuracy 的下降幅度，越低越好</w:t>
            </w:r>
          </w:p>
        </w:tc>
        <w:tc>
          <w:tcPr>
            <w:tcW w:type="dxa" w:w="3288"/>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6"/>
              </w:rPr>
              <w:t>负值通常反映随机波动或训练方差，不作为显著提升证据</w:t>
            </w:r>
          </w:p>
        </w:tc>
      </w:tr>
      <w:tr>
        <w:tc>
          <w:tcPr>
            <w:tcW w:type="dxa" w:w="1814"/>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6"/>
              </w:rPr>
              <w:t>train_time / attack_time</w:t>
            </w:r>
          </w:p>
        </w:tc>
        <w:tc>
          <w:tcPr>
            <w:tcW w:type="dxa" w:w="4082"/>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6"/>
              </w:rPr>
              <w:t>defense 训练和攻击评估耗时</w:t>
            </w:r>
          </w:p>
        </w:tc>
        <w:tc>
          <w:tcPr>
            <w:tcW w:type="dxa" w:w="3288"/>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6"/>
              </w:rPr>
              <w:t>用于复杂度与实用性分析，尤其比较 Projection-LRB 与 full_lrb 开销</w:t>
            </w:r>
          </w:p>
        </w:tc>
      </w:tr>
    </w:tbl>
    <w:p/>
    <w:p>
      <w:pPr>
        <w:pStyle w:val="Heading1"/>
      </w:pPr>
      <w:r>
        <w:t>九、DAGER Defense Baselines：privacy 结果</w:t>
      </w:r>
    </w:p>
    <w:p>
      <w:pPr>
        <w:spacing w:after="100" w:line="278" w:lineRule="auto"/>
        <w:ind w:firstLine="420"/>
      </w:pPr>
      <w:r>
        <w:rPr>
          <w:rFonts w:ascii="Microsoft YaHei" w:hAnsi="Microsoft YaHei" w:eastAsia="Microsoft YaHei"/>
          <w:sz w:val="21"/>
        </w:rPr>
        <w:t>正式 n_inputs=100 结果强化了一个判断：在 SST2+GPT2+batch=2 的 full-gradient DAGER 设置下，clean FedSGD 泄露非常严重。真正进入 strong privacy baseline 的主要是 LRB、Top-k 和 Compression 三类，但 DAGER=0 只表示当前攻击未恢复，不等价于严格隐私保证。</w:t>
      </w:r>
    </w:p>
    <w:tbl>
      <w:tblPr>
        <w:tblStyle w:val="TableGrid"/>
        <w:tblW w:type="auto" w:w="0"/>
        <w:jc w:val="center"/>
        <w:tblLook w:firstColumn="1" w:firstRow="1" w:lastColumn="0" w:lastRow="0" w:noHBand="0" w:noVBand="1" w:val="04A0"/>
        <w:tblBorders>
          <w:top w:val="single" w:sz="6" w:space="0" w:color="D4DBE3"/>
          <w:left w:val="single" w:sz="6" w:space="0" w:color="D4DBE3"/>
          <w:bottom w:val="single" w:sz="6" w:space="0" w:color="D4DBE3"/>
          <w:right w:val="single" w:sz="6" w:space="0" w:color="D4DBE3"/>
          <w:insideH w:val="single" w:sz="6" w:space="0" w:color="D4DBE3"/>
          <w:insideV w:val="single" w:sz="6" w:space="0" w:color="D4DBE3"/>
        </w:tblBorders>
      </w:tblPr>
      <w:tblGrid>
        <w:gridCol w:w="2007"/>
        <w:gridCol w:w="2007"/>
        <w:gridCol w:w="2007"/>
        <w:gridCol w:w="2007"/>
        <w:gridCol w:w="2007"/>
      </w:tblGrid>
      <w:tr>
        <w:trPr>
          <w:tblHeader w:val="true"/>
        </w:trPr>
        <w:tc>
          <w:tcPr>
            <w:tcW w:type="dxa" w:w="1361"/>
            <w:shd w:fill="D9EAF7"/>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color w:val="17365D"/>
                <w:sz w:val="15"/>
              </w:rPr>
              <w:t>defense</w:t>
            </w:r>
          </w:p>
        </w:tc>
        <w:tc>
          <w:tcPr>
            <w:tcW w:type="dxa" w:w="2381"/>
            <w:shd w:fill="D9EAF7"/>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color w:val="17365D"/>
                <w:sz w:val="15"/>
              </w:rPr>
              <w:t>参数区间 / 关键点</w:t>
            </w:r>
          </w:p>
        </w:tc>
        <w:tc>
          <w:tcPr>
            <w:tcW w:type="dxa" w:w="1701"/>
            <w:shd w:fill="D9EAF7"/>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color w:val="17365D"/>
                <w:sz w:val="15"/>
              </w:rPr>
              <w:t>rec_token_mean</w:t>
            </w:r>
          </w:p>
        </w:tc>
        <w:tc>
          <w:tcPr>
            <w:tcW w:type="dxa" w:w="1531"/>
            <w:shd w:fill="D9EAF7"/>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color w:val="17365D"/>
                <w:sz w:val="15"/>
              </w:rPr>
              <w:t>R1+R2</w:t>
            </w:r>
          </w:p>
        </w:tc>
        <w:tc>
          <w:tcPr>
            <w:tcW w:type="dxa" w:w="2438"/>
            <w:shd w:fill="D9EAF7"/>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color w:val="17365D"/>
                <w:sz w:val="15"/>
              </w:rPr>
              <w:t>结论</w:t>
            </w:r>
          </w:p>
        </w:tc>
      </w:tr>
      <w:tr>
        <w:tc>
          <w:tcPr>
            <w:tcW w:type="dxa" w:w="1361"/>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none</w:t>
            </w:r>
          </w:p>
        </w:tc>
        <w:tc>
          <w:tcPr>
            <w:tcW w:type="dxa" w:w="2381"/>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n/a</w:t>
            </w:r>
          </w:p>
        </w:tc>
        <w:tc>
          <w:tcPr>
            <w:tcW w:type="dxa" w:w="1701"/>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0.833506</w:t>
            </w:r>
          </w:p>
        </w:tc>
        <w:tc>
          <w:tcPr>
            <w:tcW w:type="dxa" w:w="1531"/>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141.711</w:t>
            </w:r>
          </w:p>
        </w:tc>
        <w:tc>
          <w:tcPr>
            <w:tcW w:type="dxa" w:w="2438"/>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clean 更新泄露严重，作为风险锚点</w:t>
            </w:r>
          </w:p>
        </w:tc>
      </w:tr>
      <w:tr>
        <w:tc>
          <w:tcPr>
            <w:tcW w:type="dxa" w:w="1361"/>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lrb</w:t>
            </w:r>
          </w:p>
        </w:tc>
        <w:tc>
          <w:tcPr>
            <w:tcW w:type="dxa" w:w="2381"/>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0.05/0.1/0.2/0.35/0.5</w:t>
            </w:r>
          </w:p>
        </w:tc>
        <w:tc>
          <w:tcPr>
            <w:tcW w:type="dxa" w:w="1701"/>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0.000000</w:t>
            </w:r>
          </w:p>
        </w:tc>
        <w:tc>
          <w:tcPr>
            <w:tcW w:type="dxa" w:w="1531"/>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0.000</w:t>
            </w:r>
          </w:p>
        </w:tc>
        <w:tc>
          <w:tcPr>
            <w:tcW w:type="dxa" w:w="2438"/>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全部 DAGER=0，privacy 已饱和</w:t>
            </w:r>
          </w:p>
        </w:tc>
      </w:tr>
      <w:tr>
        <w:tc>
          <w:tcPr>
            <w:tcW w:type="dxa" w:w="1361"/>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topk</w:t>
            </w:r>
          </w:p>
        </w:tc>
        <w:tc>
          <w:tcPr>
            <w:tcW w:type="dxa" w:w="2381"/>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0.01/0.05/0.1/0.3</w:t>
            </w:r>
          </w:p>
        </w:tc>
        <w:tc>
          <w:tcPr>
            <w:tcW w:type="dxa" w:w="1701"/>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0.000000</w:t>
            </w:r>
          </w:p>
        </w:tc>
        <w:tc>
          <w:tcPr>
            <w:tcW w:type="dxa" w:w="1531"/>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0.000</w:t>
            </w:r>
          </w:p>
        </w:tc>
        <w:tc>
          <w:tcPr>
            <w:tcW w:type="dxa" w:w="2438"/>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安全区到 0.3；0.5/0.7/0.9 开始泄露</w:t>
            </w:r>
          </w:p>
        </w:tc>
      </w:tr>
      <w:tr>
        <w:tc>
          <w:tcPr>
            <w:tcW w:type="dxa" w:w="1361"/>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compression</w:t>
            </w:r>
          </w:p>
        </w:tc>
        <w:tc>
          <w:tcPr>
            <w:tcW w:type="dxa" w:w="2381"/>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4/8/16</w:t>
            </w:r>
          </w:p>
        </w:tc>
        <w:tc>
          <w:tcPr>
            <w:tcW w:type="dxa" w:w="1701"/>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0.000000</w:t>
            </w:r>
          </w:p>
        </w:tc>
        <w:tc>
          <w:tcPr>
            <w:tcW w:type="dxa" w:w="1531"/>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0.000</w:t>
            </w:r>
          </w:p>
        </w:tc>
        <w:tc>
          <w:tcPr>
            <w:tcW w:type="dxa" w:w="2438"/>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稳定成功点；2bit 在 56/100 SVD 失败，不计入稳定点</w:t>
            </w:r>
          </w:p>
        </w:tc>
      </w:tr>
      <w:tr>
        <w:tc>
          <w:tcPr>
            <w:tcW w:type="dxa" w:w="1361"/>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noise</w:t>
            </w:r>
          </w:p>
        </w:tc>
        <w:tc>
          <w:tcPr>
            <w:tcW w:type="dxa" w:w="2381"/>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1e-6 -&gt; 1e-3</w:t>
            </w:r>
          </w:p>
        </w:tc>
        <w:tc>
          <w:tcPr>
            <w:tcW w:type="dxa" w:w="1701"/>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0.953319 -&gt; 0.173061</w:t>
            </w:r>
          </w:p>
        </w:tc>
        <w:tc>
          <w:tcPr>
            <w:tcW w:type="dxa" w:w="1531"/>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19.180 -&gt; 5.524</w:t>
            </w:r>
          </w:p>
        </w:tc>
        <w:tc>
          <w:tcPr>
            <w:tcW w:type="dxa" w:w="2438"/>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ROUGE 降低但 token 仍有残留</w:t>
            </w:r>
          </w:p>
        </w:tc>
      </w:tr>
      <w:tr>
        <w:tc>
          <w:tcPr>
            <w:tcW w:type="dxa" w:w="1361"/>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dpsgd</w:t>
            </w:r>
          </w:p>
        </w:tc>
        <w:tc>
          <w:tcPr>
            <w:tcW w:type="dxa" w:w="2381"/>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1e-6 -&gt; 1e-3</w:t>
            </w:r>
          </w:p>
        </w:tc>
        <w:tc>
          <w:tcPr>
            <w:tcW w:type="dxa" w:w="1701"/>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0.966569 -&gt; 0.077848</w:t>
            </w:r>
          </w:p>
        </w:tc>
        <w:tc>
          <w:tcPr>
            <w:tcW w:type="dxa" w:w="1531"/>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15.737 -&gt; 0.583</w:t>
            </w:r>
          </w:p>
        </w:tc>
        <w:tc>
          <w:tcPr>
            <w:tcW w:type="dxa" w:w="2438"/>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privacy 随噪声增强，但 utility 风险大</w:t>
            </w:r>
          </w:p>
        </w:tc>
      </w:tr>
      <w:tr>
        <w:tc>
          <w:tcPr>
            <w:tcW w:type="dxa" w:w="1361"/>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mixup</w:t>
            </w:r>
          </w:p>
        </w:tc>
        <w:tc>
          <w:tcPr>
            <w:tcW w:type="dxa" w:w="2381"/>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0.1~2.0</w:t>
            </w:r>
          </w:p>
        </w:tc>
        <w:tc>
          <w:tcPr>
            <w:tcW w:type="dxa" w:w="1701"/>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0.882837~0.929118</w:t>
            </w:r>
          </w:p>
        </w:tc>
        <w:tc>
          <w:tcPr>
            <w:tcW w:type="dxa" w:w="1531"/>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154.743~168.821</w:t>
            </w:r>
          </w:p>
        </w:tc>
        <w:tc>
          <w:tcPr>
            <w:tcW w:type="dxa" w:w="2438"/>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比 none 更差，不是 privacy defense</w:t>
            </w:r>
          </w:p>
        </w:tc>
      </w:tr>
      <w:tr>
        <w:tc>
          <w:tcPr>
            <w:tcW w:type="dxa" w:w="1361"/>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soteria</w:t>
            </w:r>
          </w:p>
        </w:tc>
        <w:tc>
          <w:tcPr>
            <w:tcW w:type="dxa" w:w="2381"/>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10~90</w:t>
            </w:r>
          </w:p>
        </w:tc>
        <w:tc>
          <w:tcPr>
            <w:tcW w:type="dxa" w:w="1701"/>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0.996217~1.000000</w:t>
            </w:r>
          </w:p>
        </w:tc>
        <w:tc>
          <w:tcPr>
            <w:tcW w:type="dxa" w:w="1531"/>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189.384~193.500</w:t>
            </w:r>
          </w:p>
        </w:tc>
        <w:tc>
          <w:tcPr>
            <w:tcW w:type="dxa" w:w="2438"/>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显著恶化，适合作弱 baseline/附录对照</w:t>
            </w:r>
          </w:p>
        </w:tc>
      </w:tr>
    </w:tbl>
    <w:p/>
    <w:p>
      <w:pPr>
        <w:pStyle w:val="Heading1"/>
      </w:pPr>
      <w:r>
        <w:t>十、End-to-End Utility 与 Pareto 判断</w:t>
      </w:r>
    </w:p>
    <w:p>
      <w:pPr>
        <w:spacing w:after="100" w:line="278" w:lineRule="auto"/>
        <w:ind w:firstLine="420"/>
      </w:pPr>
      <w:r>
        <w:rPr>
          <w:rFonts w:ascii="Microsoft YaHei" w:hAnsi="Microsoft YaHei" w:eastAsia="Microsoft YaHei"/>
          <w:sz w:val="21"/>
        </w:rPr>
        <w:t>Utility 结果说明，能够把 DAGER 打到 0 并不自动意味着 defense 好。当前 fixed-point 下，topk@0.1 与 compression@8 在保持 DAGER=0 的同时几乎不损失 accuracy；full_lrb@0.5 明显改善了 utility，却仍弱于 topk/compression 的强经验点。</w:t>
      </w:r>
    </w:p>
    <w:tbl>
      <w:tblPr>
        <w:tblStyle w:val="TableGrid"/>
        <w:tblW w:type="auto" w:w="0"/>
        <w:jc w:val="center"/>
        <w:tblLook w:firstColumn="1" w:firstRow="1" w:lastColumn="0" w:lastRow="0" w:noHBand="0" w:noVBand="1" w:val="04A0"/>
        <w:tblBorders>
          <w:top w:val="single" w:sz="6" w:space="0" w:color="D4DBE3"/>
          <w:left w:val="single" w:sz="6" w:space="0" w:color="D4DBE3"/>
          <w:bottom w:val="single" w:sz="6" w:space="0" w:color="D4DBE3"/>
          <w:right w:val="single" w:sz="6" w:space="0" w:color="D4DBE3"/>
          <w:insideH w:val="single" w:sz="6" w:space="0" w:color="D4DBE3"/>
          <w:insideV w:val="single" w:sz="6" w:space="0" w:color="D4DBE3"/>
        </w:tblBorders>
      </w:tblPr>
      <w:tblGrid>
        <w:gridCol w:w="1434"/>
        <w:gridCol w:w="1434"/>
        <w:gridCol w:w="1434"/>
        <w:gridCol w:w="1434"/>
        <w:gridCol w:w="1434"/>
        <w:gridCol w:w="1434"/>
        <w:gridCol w:w="1434"/>
      </w:tblGrid>
      <w:tr>
        <w:trPr>
          <w:tblHeader w:val="true"/>
        </w:trPr>
        <w:tc>
          <w:tcPr>
            <w:tcW w:type="dxa" w:w="1247"/>
            <w:shd w:fill="D9EAF7"/>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color w:val="17365D"/>
                <w:sz w:val="15"/>
              </w:rPr>
              <w:t>defense</w:t>
            </w:r>
          </w:p>
        </w:tc>
        <w:tc>
          <w:tcPr>
            <w:tcW w:type="dxa" w:w="907"/>
            <w:shd w:fill="D9EAF7"/>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color w:val="17365D"/>
                <w:sz w:val="15"/>
              </w:rPr>
              <w:t>param</w:t>
            </w:r>
          </w:p>
        </w:tc>
        <w:tc>
          <w:tcPr>
            <w:tcW w:type="dxa" w:w="1247"/>
            <w:shd w:fill="D9EAF7"/>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color w:val="17365D"/>
                <w:sz w:val="15"/>
              </w:rPr>
              <w:t>accuracy</w:t>
            </w:r>
          </w:p>
        </w:tc>
        <w:tc>
          <w:tcPr>
            <w:tcW w:type="dxa" w:w="1247"/>
            <w:shd w:fill="D9EAF7"/>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color w:val="17365D"/>
                <w:sz w:val="15"/>
              </w:rPr>
              <w:t>macro-F1</w:t>
            </w:r>
          </w:p>
        </w:tc>
        <w:tc>
          <w:tcPr>
            <w:tcW w:type="dxa" w:w="1191"/>
            <w:shd w:fill="D9EAF7"/>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color w:val="17365D"/>
                <w:sz w:val="15"/>
              </w:rPr>
              <w:t>loss</w:t>
            </w:r>
          </w:p>
        </w:tc>
        <w:tc>
          <w:tcPr>
            <w:tcW w:type="dxa" w:w="1247"/>
            <w:shd w:fill="D9EAF7"/>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color w:val="17365D"/>
                <w:sz w:val="15"/>
              </w:rPr>
              <w:t>utility_drop</w:t>
            </w:r>
          </w:p>
        </w:tc>
        <w:tc>
          <w:tcPr>
            <w:tcW w:type="dxa" w:w="1304"/>
            <w:shd w:fill="D9EAF7"/>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color w:val="17365D"/>
                <w:sz w:val="15"/>
              </w:rPr>
              <w:t>train_time</w:t>
            </w:r>
          </w:p>
        </w:tc>
      </w:tr>
      <w:tr>
        <w:tc>
          <w:tcPr>
            <w:tcW w:type="dxa" w:w="1247"/>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none</w:t>
            </w:r>
          </w:p>
        </w:tc>
        <w:tc>
          <w:tcPr>
            <w:tcW w:type="dxa" w:w="907"/>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n/a</w:t>
            </w:r>
          </w:p>
        </w:tc>
        <w:tc>
          <w:tcPr>
            <w:tcW w:type="dxa" w:w="1247"/>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0.913226</w:t>
            </w:r>
          </w:p>
        </w:tc>
        <w:tc>
          <w:tcPr>
            <w:tcW w:type="dxa" w:w="1247"/>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0.913184</w:t>
            </w:r>
          </w:p>
        </w:tc>
        <w:tc>
          <w:tcPr>
            <w:tcW w:type="dxa" w:w="1191"/>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0.246637</w:t>
            </w:r>
          </w:p>
        </w:tc>
        <w:tc>
          <w:tcPr>
            <w:tcW w:type="dxa" w:w="1247"/>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0.000000</w:t>
            </w:r>
          </w:p>
        </w:tc>
        <w:tc>
          <w:tcPr>
            <w:tcW w:type="dxa" w:w="1304"/>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00:42:51</w:t>
            </w:r>
          </w:p>
        </w:tc>
      </w:tr>
      <w:tr>
        <w:tc>
          <w:tcPr>
            <w:tcW w:type="dxa" w:w="1247"/>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topk</w:t>
            </w:r>
          </w:p>
        </w:tc>
        <w:tc>
          <w:tcPr>
            <w:tcW w:type="dxa" w:w="907"/>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0.1</w:t>
            </w:r>
          </w:p>
        </w:tc>
        <w:tc>
          <w:tcPr>
            <w:tcW w:type="dxa" w:w="1247"/>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0.912462</w:t>
            </w:r>
          </w:p>
        </w:tc>
        <w:tc>
          <w:tcPr>
            <w:tcW w:type="dxa" w:w="1247"/>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0.912430</w:t>
            </w:r>
          </w:p>
        </w:tc>
        <w:tc>
          <w:tcPr>
            <w:tcW w:type="dxa" w:w="1191"/>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0.243324</w:t>
            </w:r>
          </w:p>
        </w:tc>
        <w:tc>
          <w:tcPr>
            <w:tcW w:type="dxa" w:w="1247"/>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0.000764</w:t>
            </w:r>
          </w:p>
        </w:tc>
        <w:tc>
          <w:tcPr>
            <w:tcW w:type="dxa" w:w="1304"/>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06:03:08</w:t>
            </w:r>
          </w:p>
        </w:tc>
      </w:tr>
      <w:tr>
        <w:tc>
          <w:tcPr>
            <w:tcW w:type="dxa" w:w="1247"/>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compression</w:t>
            </w:r>
          </w:p>
        </w:tc>
        <w:tc>
          <w:tcPr>
            <w:tcW w:type="dxa" w:w="907"/>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8</w:t>
            </w:r>
          </w:p>
        </w:tc>
        <w:tc>
          <w:tcPr>
            <w:tcW w:type="dxa" w:w="1247"/>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0.911315</w:t>
            </w:r>
          </w:p>
        </w:tc>
        <w:tc>
          <w:tcPr>
            <w:tcW w:type="dxa" w:w="1247"/>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0.911290</w:t>
            </w:r>
          </w:p>
        </w:tc>
        <w:tc>
          <w:tcPr>
            <w:tcW w:type="dxa" w:w="1191"/>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0.263210</w:t>
            </w:r>
          </w:p>
        </w:tc>
        <w:tc>
          <w:tcPr>
            <w:tcW w:type="dxa" w:w="1247"/>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0.001911</w:t>
            </w:r>
          </w:p>
        </w:tc>
        <w:tc>
          <w:tcPr>
            <w:tcW w:type="dxa" w:w="1304"/>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07:07:37</w:t>
            </w:r>
          </w:p>
        </w:tc>
      </w:tr>
      <w:tr>
        <w:tc>
          <w:tcPr>
            <w:tcW w:type="dxa" w:w="1247"/>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mixup</w:t>
            </w:r>
          </w:p>
        </w:tc>
        <w:tc>
          <w:tcPr>
            <w:tcW w:type="dxa" w:w="907"/>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0.3</w:t>
            </w:r>
          </w:p>
        </w:tc>
        <w:tc>
          <w:tcPr>
            <w:tcW w:type="dxa" w:w="1247"/>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0.910933</w:t>
            </w:r>
          </w:p>
        </w:tc>
        <w:tc>
          <w:tcPr>
            <w:tcW w:type="dxa" w:w="1247"/>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0.910906</w:t>
            </w:r>
          </w:p>
        </w:tc>
        <w:tc>
          <w:tcPr>
            <w:tcW w:type="dxa" w:w="1191"/>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0.239469</w:t>
            </w:r>
          </w:p>
        </w:tc>
        <w:tc>
          <w:tcPr>
            <w:tcW w:type="dxa" w:w="1247"/>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0.002293</w:t>
            </w:r>
          </w:p>
        </w:tc>
        <w:tc>
          <w:tcPr>
            <w:tcW w:type="dxa" w:w="1304"/>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00:48:40</w:t>
            </w:r>
          </w:p>
        </w:tc>
      </w:tr>
      <w:tr>
        <w:tc>
          <w:tcPr>
            <w:tcW w:type="dxa" w:w="1247"/>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lrb</w:t>
            </w:r>
          </w:p>
        </w:tc>
        <w:tc>
          <w:tcPr>
            <w:tcW w:type="dxa" w:w="907"/>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0.2</w:t>
            </w:r>
          </w:p>
        </w:tc>
        <w:tc>
          <w:tcPr>
            <w:tcW w:type="dxa" w:w="1247"/>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0.821865</w:t>
            </w:r>
          </w:p>
        </w:tc>
        <w:tc>
          <w:tcPr>
            <w:tcW w:type="dxa" w:w="1247"/>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0.821360</w:t>
            </w:r>
          </w:p>
        </w:tc>
        <w:tc>
          <w:tcPr>
            <w:tcW w:type="dxa" w:w="1191"/>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0.441765</w:t>
            </w:r>
          </w:p>
        </w:tc>
        <w:tc>
          <w:tcPr>
            <w:tcW w:type="dxa" w:w="1247"/>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0.091361</w:t>
            </w:r>
          </w:p>
        </w:tc>
        <w:tc>
          <w:tcPr>
            <w:tcW w:type="dxa" w:w="1304"/>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08:52:41</w:t>
            </w:r>
          </w:p>
        </w:tc>
      </w:tr>
      <w:tr>
        <w:tc>
          <w:tcPr>
            <w:tcW w:type="dxa" w:w="1247"/>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noise</w:t>
            </w:r>
          </w:p>
        </w:tc>
        <w:tc>
          <w:tcPr>
            <w:tcW w:type="dxa" w:w="907"/>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5e-4</w:t>
            </w:r>
          </w:p>
        </w:tc>
        <w:tc>
          <w:tcPr>
            <w:tcW w:type="dxa" w:w="1247"/>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0.715979</w:t>
            </w:r>
          </w:p>
        </w:tc>
        <w:tc>
          <w:tcPr>
            <w:tcW w:type="dxa" w:w="1247"/>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0.715617</w:t>
            </w:r>
          </w:p>
        </w:tc>
        <w:tc>
          <w:tcPr>
            <w:tcW w:type="dxa" w:w="1191"/>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0.552434</w:t>
            </w:r>
          </w:p>
        </w:tc>
        <w:tc>
          <w:tcPr>
            <w:tcW w:type="dxa" w:w="1247"/>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0.197247</w:t>
            </w:r>
          </w:p>
        </w:tc>
        <w:tc>
          <w:tcPr>
            <w:tcW w:type="dxa" w:w="1304"/>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01:54:29</w:t>
            </w:r>
          </w:p>
        </w:tc>
      </w:tr>
      <w:tr>
        <w:tc>
          <w:tcPr>
            <w:tcW w:type="dxa" w:w="1247"/>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dpsgd</w:t>
            </w:r>
          </w:p>
        </w:tc>
        <w:tc>
          <w:tcPr>
            <w:tcW w:type="dxa" w:w="907"/>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5e-4</w:t>
            </w:r>
          </w:p>
        </w:tc>
        <w:tc>
          <w:tcPr>
            <w:tcW w:type="dxa" w:w="1247"/>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0.504205</w:t>
            </w:r>
          </w:p>
        </w:tc>
        <w:tc>
          <w:tcPr>
            <w:tcW w:type="dxa" w:w="1247"/>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0.366347</w:t>
            </w:r>
          </w:p>
        </w:tc>
        <w:tc>
          <w:tcPr>
            <w:tcW w:type="dxa" w:w="1191"/>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2.612275</w:t>
            </w:r>
          </w:p>
        </w:tc>
        <w:tc>
          <w:tcPr>
            <w:tcW w:type="dxa" w:w="1247"/>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0.409021</w:t>
            </w:r>
          </w:p>
        </w:tc>
        <w:tc>
          <w:tcPr>
            <w:tcW w:type="dxa" w:w="1304"/>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03:29:31</w:t>
            </w:r>
          </w:p>
        </w:tc>
      </w:tr>
      <w:tr>
        <w:tc>
          <w:tcPr>
            <w:tcW w:type="dxa" w:w="1247"/>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lrb</w:t>
            </w:r>
          </w:p>
        </w:tc>
        <w:tc>
          <w:tcPr>
            <w:tcW w:type="dxa" w:w="907"/>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0.35</w:t>
            </w:r>
          </w:p>
        </w:tc>
        <w:tc>
          <w:tcPr>
            <w:tcW w:type="dxa" w:w="1247"/>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0.868119</w:t>
            </w:r>
          </w:p>
        </w:tc>
        <w:tc>
          <w:tcPr>
            <w:tcW w:type="dxa" w:w="1247"/>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0.868010</w:t>
            </w:r>
          </w:p>
        </w:tc>
        <w:tc>
          <w:tcPr>
            <w:tcW w:type="dxa" w:w="1191"/>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0.356615</w:t>
            </w:r>
          </w:p>
        </w:tc>
        <w:tc>
          <w:tcPr>
            <w:tcW w:type="dxa" w:w="1247"/>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0.045107</w:t>
            </w:r>
          </w:p>
        </w:tc>
        <w:tc>
          <w:tcPr>
            <w:tcW w:type="dxa" w:w="1304"/>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05:29:49</w:t>
            </w:r>
          </w:p>
        </w:tc>
      </w:tr>
      <w:tr>
        <w:tc>
          <w:tcPr>
            <w:tcW w:type="dxa" w:w="1247"/>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lrb</w:t>
            </w:r>
          </w:p>
        </w:tc>
        <w:tc>
          <w:tcPr>
            <w:tcW w:type="dxa" w:w="907"/>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0.5</w:t>
            </w:r>
          </w:p>
        </w:tc>
        <w:tc>
          <w:tcPr>
            <w:tcW w:type="dxa" w:w="1247"/>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0.892584</w:t>
            </w:r>
          </w:p>
        </w:tc>
        <w:tc>
          <w:tcPr>
            <w:tcW w:type="dxa" w:w="1247"/>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0.892472</w:t>
            </w:r>
          </w:p>
        </w:tc>
        <w:tc>
          <w:tcPr>
            <w:tcW w:type="dxa" w:w="1191"/>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0.321702</w:t>
            </w:r>
          </w:p>
        </w:tc>
        <w:tc>
          <w:tcPr>
            <w:tcW w:type="dxa" w:w="1247"/>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0.020642</w:t>
            </w:r>
          </w:p>
        </w:tc>
        <w:tc>
          <w:tcPr>
            <w:tcW w:type="dxa" w:w="1304"/>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01:56:47</w:t>
            </w:r>
          </w:p>
        </w:tc>
      </w:tr>
      <w:tr>
        <w:tc>
          <w:tcPr>
            <w:tcW w:type="dxa" w:w="1247"/>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topk</w:t>
            </w:r>
          </w:p>
        </w:tc>
        <w:tc>
          <w:tcPr>
            <w:tcW w:type="dxa" w:w="907"/>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0.3</w:t>
            </w:r>
          </w:p>
        </w:tc>
        <w:tc>
          <w:tcPr>
            <w:tcW w:type="dxa" w:w="1247"/>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0.910933</w:t>
            </w:r>
          </w:p>
        </w:tc>
        <w:tc>
          <w:tcPr>
            <w:tcW w:type="dxa" w:w="1247"/>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0.910913</w:t>
            </w:r>
          </w:p>
        </w:tc>
        <w:tc>
          <w:tcPr>
            <w:tcW w:type="dxa" w:w="1191"/>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0.256373</w:t>
            </w:r>
          </w:p>
        </w:tc>
        <w:tc>
          <w:tcPr>
            <w:tcW w:type="dxa" w:w="1247"/>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0.002293</w:t>
            </w:r>
          </w:p>
        </w:tc>
        <w:tc>
          <w:tcPr>
            <w:tcW w:type="dxa" w:w="1304"/>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01:16:24</w:t>
            </w:r>
          </w:p>
        </w:tc>
      </w:tr>
      <w:tr>
        <w:tc>
          <w:tcPr>
            <w:tcW w:type="dxa" w:w="1247"/>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compression</w:t>
            </w:r>
          </w:p>
        </w:tc>
        <w:tc>
          <w:tcPr>
            <w:tcW w:type="dxa" w:w="907"/>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16</w:t>
            </w:r>
          </w:p>
        </w:tc>
        <w:tc>
          <w:tcPr>
            <w:tcW w:type="dxa" w:w="1247"/>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0.909021</w:t>
            </w:r>
          </w:p>
        </w:tc>
        <w:tc>
          <w:tcPr>
            <w:tcW w:type="dxa" w:w="1247"/>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0.909012</w:t>
            </w:r>
          </w:p>
        </w:tc>
        <w:tc>
          <w:tcPr>
            <w:tcW w:type="dxa" w:w="1191"/>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0.245559</w:t>
            </w:r>
          </w:p>
        </w:tc>
        <w:tc>
          <w:tcPr>
            <w:tcW w:type="dxa" w:w="1247"/>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0.004205</w:t>
            </w:r>
          </w:p>
        </w:tc>
        <w:tc>
          <w:tcPr>
            <w:tcW w:type="dxa" w:w="1304"/>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02:03:04</w:t>
            </w:r>
          </w:p>
        </w:tc>
      </w:tr>
    </w:tbl>
    <w:p/>
    <w:tbl>
      <w:tblPr>
        <w:tblStyle w:val="TableGrid"/>
        <w:tblW w:type="auto" w:w="0"/>
        <w:jc w:val="center"/>
        <w:tblLook w:firstColumn="1" w:firstRow="1" w:lastColumn="0" w:lastRow="0" w:noHBand="0" w:noVBand="1" w:val="04A0"/>
        <w:tblBorders>
          <w:top w:val="single" w:sz="6" w:space="0" w:color="D4DBE3"/>
          <w:left w:val="single" w:sz="6" w:space="0" w:color="D4DBE3"/>
          <w:bottom w:val="single" w:sz="6" w:space="0" w:color="D4DBE3"/>
          <w:right w:val="single" w:sz="6" w:space="0" w:color="D4DBE3"/>
          <w:insideH w:val="single" w:sz="6" w:space="0" w:color="D4DBE3"/>
          <w:insideV w:val="single" w:sz="6" w:space="0" w:color="D4DBE3"/>
        </w:tblBorders>
      </w:tblPr>
      <w:tblGrid>
        <w:gridCol w:w="2509"/>
        <w:gridCol w:w="2509"/>
        <w:gridCol w:w="2509"/>
        <w:gridCol w:w="2509"/>
      </w:tblGrid>
      <w:tr>
        <w:trPr>
          <w:tblHeader w:val="true"/>
        </w:trPr>
        <w:tc>
          <w:tcPr>
            <w:tcW w:type="dxa" w:w="1361"/>
            <w:shd w:fill="D9EAF7"/>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color w:val="17365D"/>
                <w:sz w:val="15"/>
              </w:rPr>
              <w:t>层级</w:t>
            </w:r>
          </w:p>
        </w:tc>
        <w:tc>
          <w:tcPr>
            <w:tcW w:type="dxa" w:w="2268"/>
            <w:shd w:fill="D9EAF7"/>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color w:val="17365D"/>
                <w:sz w:val="15"/>
              </w:rPr>
              <w:t>方法</w:t>
            </w:r>
          </w:p>
        </w:tc>
        <w:tc>
          <w:tcPr>
            <w:tcW w:type="dxa" w:w="2835"/>
            <w:shd w:fill="D9EAF7"/>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color w:val="17365D"/>
                <w:sz w:val="15"/>
              </w:rPr>
              <w:t>事实依据</w:t>
            </w:r>
          </w:p>
        </w:tc>
        <w:tc>
          <w:tcPr>
            <w:tcW w:type="dxa" w:w="2835"/>
            <w:shd w:fill="D9EAF7"/>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color w:val="17365D"/>
                <w:sz w:val="15"/>
              </w:rPr>
              <w:t>当前判断</w:t>
            </w:r>
          </w:p>
        </w:tc>
      </w:tr>
      <w:tr>
        <w:tc>
          <w:tcPr>
            <w:tcW w:type="dxa" w:w="1361"/>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第一层</w:t>
            </w:r>
          </w:p>
        </w:tc>
        <w:tc>
          <w:tcPr>
            <w:tcW w:type="dxa" w:w="2268"/>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topk@0.1; compression@8</w:t>
            </w:r>
          </w:p>
        </w:tc>
        <w:tc>
          <w:tcPr>
            <w:tcW w:type="dxa" w:w="2835"/>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DAGER=0; accuracy=0.912462 / 0.911315</w:t>
            </w:r>
          </w:p>
        </w:tc>
        <w:tc>
          <w:tcPr>
            <w:tcW w:type="dxa" w:w="2835"/>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full-gradient DAGER 下当前最强经验 tradeoff</w:t>
            </w:r>
          </w:p>
        </w:tc>
      </w:tr>
      <w:tr>
        <w:tc>
          <w:tcPr>
            <w:tcW w:type="dxa" w:w="1361"/>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第二层</w:t>
            </w:r>
          </w:p>
        </w:tc>
        <w:tc>
          <w:tcPr>
            <w:tcW w:type="dxa" w:w="2268"/>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topk@0.3; compression@16</w:t>
            </w:r>
          </w:p>
        </w:tc>
        <w:tc>
          <w:tcPr>
            <w:tcW w:type="dxa" w:w="2835"/>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DAGER=0; accuracy=0.910933 / 0.909021</w:t>
            </w:r>
          </w:p>
        </w:tc>
        <w:tc>
          <w:tcPr>
            <w:tcW w:type="dxa" w:w="2835"/>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已补齐但未反超强点</w:t>
            </w:r>
          </w:p>
        </w:tc>
      </w:tr>
      <w:tr>
        <w:tc>
          <w:tcPr>
            <w:tcW w:type="dxa" w:w="1361"/>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候选主方法</w:t>
            </w:r>
          </w:p>
        </w:tc>
        <w:tc>
          <w:tcPr>
            <w:tcW w:type="dxa" w:w="2268"/>
            <w:tcMar>
              <w:top w:w="80" w:type="dxa"/>
              <w:start w:w="90" w:type="dxa"/>
              <w:bottom w:w="80" w:type="dxa"/>
              <w:end w:w="90" w:type="dxa"/>
            </w:tcMar>
            <w:vAlign w:val="center"/>
          </w:tcPr>
          <w:p>
            <w:pPr>
              <w:spacing w:after="0" w:line="259" w:lineRule="auto"/>
              <w:jc w:val="left"/>
            </w:pPr>
            <w:r/>
            <w:r>
              <w:rPr>
                <w:rFonts w:ascii="Microsoft YaHei" w:hAnsi="Microsoft YaHei" w:eastAsia="Microsoft YaHei"/>
                <w:b w:val="0"/>
                <w:color w:val="1F2933"/>
                <w:sz w:val="15"/>
              </w:rPr>
              <w:t>proj_only@0.5 / Projection-LRB</w:t>
            </w:r>
          </w:p>
        </w:tc>
        <w:tc>
          <w:tcPr>
            <w:tcW w:type="dxa" w:w="2835"/>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Ablation: DAGER=0; accuracy=0.915520; drop=-0.002294</w:t>
            </w:r>
          </w:p>
        </w:tc>
        <w:tc>
          <w:tcPr>
            <w:tcW w:type="dxa" w:w="2835"/>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单次消融显示 clean-level utility，需纳入正式 main result 和多 seed</w:t>
            </w:r>
          </w:p>
        </w:tc>
      </w:tr>
      <w:tr>
        <w:tc>
          <w:tcPr>
            <w:tcW w:type="dxa" w:w="1361"/>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第三层</w:t>
            </w:r>
          </w:p>
        </w:tc>
        <w:tc>
          <w:tcPr>
            <w:tcW w:type="dxa" w:w="2268"/>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full_lrb@0.5</w:t>
            </w:r>
          </w:p>
        </w:tc>
        <w:tc>
          <w:tcPr>
            <w:tcW w:type="dxa" w:w="2835"/>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DAGER=0; accuracy=0.892584; drop=0.020642</w:t>
            </w:r>
          </w:p>
        </w:tc>
        <w:tc>
          <w:tcPr>
            <w:tcW w:type="dxa" w:w="2835"/>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完整 LRB 当前最好 utility 点，但仍偏重</w:t>
            </w:r>
          </w:p>
        </w:tc>
      </w:tr>
      <w:tr>
        <w:tc>
          <w:tcPr>
            <w:tcW w:type="dxa" w:w="1361"/>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第四层</w:t>
            </w:r>
          </w:p>
        </w:tc>
        <w:tc>
          <w:tcPr>
            <w:tcW w:type="dxa" w:w="2268"/>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lrb@0.2/0.35</w:t>
            </w:r>
          </w:p>
        </w:tc>
        <w:tc>
          <w:tcPr>
            <w:tcW w:type="dxa" w:w="2835"/>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DAGER=0; drop=0.091361 / 0.045107</w:t>
            </w:r>
          </w:p>
        </w:tc>
        <w:tc>
          <w:tcPr>
            <w:tcW w:type="dxa" w:w="2835"/>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privacy 饱和，utility 不足</w:t>
            </w:r>
          </w:p>
        </w:tc>
      </w:tr>
      <w:tr>
        <w:tc>
          <w:tcPr>
            <w:tcW w:type="dxa" w:w="1361"/>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失败/附录层</w:t>
            </w:r>
          </w:p>
        </w:tc>
        <w:tc>
          <w:tcPr>
            <w:tcW w:type="dxa" w:w="2268"/>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mixup/noise/dpsgd/soteria</w:t>
            </w:r>
          </w:p>
        </w:tc>
        <w:tc>
          <w:tcPr>
            <w:tcW w:type="dxa" w:w="2835"/>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要么 privacy 不成立，要么 utility 代价过大</w:t>
            </w:r>
          </w:p>
        </w:tc>
        <w:tc>
          <w:tcPr>
            <w:tcW w:type="dxa" w:w="2835"/>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作为 baseline coverage 保留，不宜做主竞争点</w:t>
            </w:r>
          </w:p>
        </w:tc>
      </w:tr>
    </w:tbl>
    <w:p/>
    <w:p>
      <w:pPr>
        <w:pStyle w:val="Heading1"/>
      </w:pPr>
      <w:r>
        <w:t>十一、LRB 消融：projection 是主效应</w:t>
      </w:r>
    </w:p>
    <w:p>
      <w:pPr>
        <w:spacing w:after="100" w:line="278" w:lineRule="auto"/>
        <w:ind w:firstLine="420"/>
      </w:pPr>
      <w:r>
        <w:rPr>
          <w:rFonts w:ascii="Microsoft YaHei" w:hAnsi="Microsoft YaHei" w:eastAsia="Microsoft YaHei"/>
          <w:sz w:val="21"/>
        </w:rPr>
        <w:t>完整消融结果是当前最有价值的新证据。它显示 full_lrb 并不是当前最优形式：真正的主效应来自低分辨率 signed_pool projection。proj_only@0.5 在不加 residual noise、不做额外 clipping 的情况下已经把 DAGER rec_token_mean 和 ROUGE 恢复全部降到 0，并在该次运行中保持 clean-level accuracy。</w:t>
      </w:r>
    </w:p>
    <w:tbl>
      <w:tblPr>
        <w:tblStyle w:val="TableGrid"/>
        <w:tblW w:type="auto" w:w="0"/>
        <w:jc w:val="center"/>
        <w:tblLook w:firstColumn="1" w:firstRow="1" w:lastColumn="0" w:lastRow="0" w:noHBand="0" w:noVBand="1" w:val="04A0"/>
        <w:tblBorders>
          <w:top w:val="single" w:sz="6" w:space="0" w:color="D4DBE3"/>
          <w:left w:val="single" w:sz="6" w:space="0" w:color="D4DBE3"/>
          <w:bottom w:val="single" w:sz="6" w:space="0" w:color="D4DBE3"/>
          <w:right w:val="single" w:sz="6" w:space="0" w:color="D4DBE3"/>
          <w:insideH w:val="single" w:sz="6" w:space="0" w:color="D4DBE3"/>
          <w:insideV w:val="single" w:sz="6" w:space="0" w:color="D4DBE3"/>
        </w:tblBorders>
      </w:tblPr>
      <w:tblGrid>
        <w:gridCol w:w="1254"/>
        <w:gridCol w:w="1254"/>
        <w:gridCol w:w="1254"/>
        <w:gridCol w:w="1254"/>
        <w:gridCol w:w="1254"/>
        <w:gridCol w:w="1254"/>
        <w:gridCol w:w="1254"/>
        <w:gridCol w:w="1254"/>
      </w:tblGrid>
      <w:tr>
        <w:trPr>
          <w:tblHeader w:val="true"/>
        </w:trPr>
        <w:tc>
          <w:tcPr>
            <w:tcW w:type="dxa" w:w="1587"/>
            <w:shd w:fill="D9EAF7"/>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color w:val="17365D"/>
                <w:sz w:val="14"/>
              </w:rPr>
              <w:t>variant</w:t>
            </w:r>
          </w:p>
        </w:tc>
        <w:tc>
          <w:tcPr>
            <w:tcW w:type="dxa" w:w="1020"/>
            <w:shd w:fill="D9EAF7"/>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color w:val="17365D"/>
                <w:sz w:val="14"/>
              </w:rPr>
              <w:t>rec_token</w:t>
            </w:r>
          </w:p>
        </w:tc>
        <w:tc>
          <w:tcPr>
            <w:tcW w:type="dxa" w:w="1020"/>
            <w:shd w:fill="D9EAF7"/>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color w:val="17365D"/>
                <w:sz w:val="14"/>
              </w:rPr>
              <w:t>R1+R2</w:t>
            </w:r>
          </w:p>
        </w:tc>
        <w:tc>
          <w:tcPr>
            <w:tcW w:type="dxa" w:w="1020"/>
            <w:shd w:fill="D9EAF7"/>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color w:val="17365D"/>
                <w:sz w:val="14"/>
              </w:rPr>
              <w:t>accuracy</w:t>
            </w:r>
          </w:p>
        </w:tc>
        <w:tc>
          <w:tcPr>
            <w:tcW w:type="dxa" w:w="964"/>
            <w:shd w:fill="D9EAF7"/>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color w:val="17365D"/>
                <w:sz w:val="14"/>
              </w:rPr>
              <w:t>drop</w:t>
            </w:r>
          </w:p>
        </w:tc>
        <w:tc>
          <w:tcPr>
            <w:tcW w:type="dxa" w:w="1191"/>
            <w:shd w:fill="D9EAF7"/>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color w:val="17365D"/>
                <w:sz w:val="14"/>
              </w:rPr>
              <w:t>train_time</w:t>
            </w:r>
          </w:p>
        </w:tc>
        <w:tc>
          <w:tcPr>
            <w:tcW w:type="dxa" w:w="1191"/>
            <w:shd w:fill="D9EAF7"/>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color w:val="17365D"/>
                <w:sz w:val="14"/>
              </w:rPr>
              <w:t>attack_time</w:t>
            </w:r>
          </w:p>
        </w:tc>
        <w:tc>
          <w:tcPr>
            <w:tcW w:type="dxa" w:w="2154"/>
            <w:shd w:fill="D9EAF7"/>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color w:val="17365D"/>
                <w:sz w:val="14"/>
              </w:rPr>
              <w:t>机制结论</w:t>
            </w:r>
          </w:p>
        </w:tc>
      </w:tr>
      <w:tr>
        <w:tc>
          <w:tcPr>
            <w:tcW w:type="dxa" w:w="1587"/>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4"/>
              </w:rPr>
              <w:t>none</w:t>
            </w:r>
          </w:p>
        </w:tc>
        <w:tc>
          <w:tcPr>
            <w:tcW w:type="dxa" w:w="1020"/>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4"/>
              </w:rPr>
              <w:t>0.855333</w:t>
            </w:r>
          </w:p>
        </w:tc>
        <w:tc>
          <w:tcPr>
            <w:tcW w:type="dxa" w:w="1020"/>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4"/>
              </w:rPr>
              <w:t>148.260</w:t>
            </w:r>
          </w:p>
        </w:tc>
        <w:tc>
          <w:tcPr>
            <w:tcW w:type="dxa" w:w="1020"/>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4"/>
              </w:rPr>
              <w:t>0.913226</w:t>
            </w:r>
          </w:p>
        </w:tc>
        <w:tc>
          <w:tcPr>
            <w:tcW w:type="dxa" w:w="964"/>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4"/>
              </w:rPr>
              <w:t>0.000000</w:t>
            </w:r>
          </w:p>
        </w:tc>
        <w:tc>
          <w:tcPr>
            <w:tcW w:type="dxa" w:w="1191"/>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4"/>
              </w:rPr>
              <w:t>00:20:02</w:t>
            </w:r>
          </w:p>
        </w:tc>
        <w:tc>
          <w:tcPr>
            <w:tcW w:type="dxa" w:w="1191"/>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4"/>
              </w:rPr>
              <w:t>00:05:19</w:t>
            </w:r>
          </w:p>
        </w:tc>
        <w:tc>
          <w:tcPr>
            <w:tcW w:type="dxa" w:w="2154"/>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4"/>
              </w:rPr>
              <w:t>clean 锚点，泄露严重</w:t>
            </w:r>
          </w:p>
        </w:tc>
      </w:tr>
      <w:tr>
        <w:tc>
          <w:tcPr>
            <w:tcW w:type="dxa" w:w="1587"/>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4"/>
              </w:rPr>
              <w:t>identity_lrb</w:t>
            </w:r>
          </w:p>
        </w:tc>
        <w:tc>
          <w:tcPr>
            <w:tcW w:type="dxa" w:w="1020"/>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4"/>
              </w:rPr>
              <w:t>0.855333</w:t>
            </w:r>
          </w:p>
        </w:tc>
        <w:tc>
          <w:tcPr>
            <w:tcW w:type="dxa" w:w="1020"/>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4"/>
              </w:rPr>
              <w:t>148.260</w:t>
            </w:r>
          </w:p>
        </w:tc>
        <w:tc>
          <w:tcPr>
            <w:tcW w:type="dxa" w:w="1020"/>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4"/>
              </w:rPr>
              <w:t>0.913226</w:t>
            </w:r>
          </w:p>
        </w:tc>
        <w:tc>
          <w:tcPr>
            <w:tcW w:type="dxa" w:w="964"/>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4"/>
              </w:rPr>
              <w:t>0.000000</w:t>
            </w:r>
          </w:p>
        </w:tc>
        <w:tc>
          <w:tcPr>
            <w:tcW w:type="dxa" w:w="1191"/>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4"/>
              </w:rPr>
              <w:t>00:53:14</w:t>
            </w:r>
          </w:p>
        </w:tc>
        <w:tc>
          <w:tcPr>
            <w:tcW w:type="dxa" w:w="1191"/>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4"/>
              </w:rPr>
              <w:t>00:07:18</w:t>
            </w:r>
          </w:p>
        </w:tc>
        <w:tc>
          <w:tcPr>
            <w:tcW w:type="dxa" w:w="2154"/>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4"/>
              </w:rPr>
              <w:t>证明 LRB 管线本身不改变结果</w:t>
            </w:r>
          </w:p>
        </w:tc>
      </w:tr>
      <w:tr>
        <w:tc>
          <w:tcPr>
            <w:tcW w:type="dxa" w:w="1587"/>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4"/>
              </w:rPr>
              <w:t>clip_only</w:t>
            </w:r>
          </w:p>
        </w:tc>
        <w:tc>
          <w:tcPr>
            <w:tcW w:type="dxa" w:w="1020"/>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4"/>
              </w:rPr>
              <w:t>0.854076</w:t>
            </w:r>
          </w:p>
        </w:tc>
        <w:tc>
          <w:tcPr>
            <w:tcW w:type="dxa" w:w="1020"/>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4"/>
              </w:rPr>
              <w:t>147.956</w:t>
            </w:r>
          </w:p>
        </w:tc>
        <w:tc>
          <w:tcPr>
            <w:tcW w:type="dxa" w:w="1020"/>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4"/>
              </w:rPr>
              <w:t>0.918196</w:t>
            </w:r>
          </w:p>
        </w:tc>
        <w:tc>
          <w:tcPr>
            <w:tcW w:type="dxa" w:w="964"/>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4"/>
              </w:rPr>
              <w:t>-0.004970</w:t>
            </w:r>
          </w:p>
        </w:tc>
        <w:tc>
          <w:tcPr>
            <w:tcW w:type="dxa" w:w="1191"/>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4"/>
              </w:rPr>
              <w:t>00:54:11</w:t>
            </w:r>
          </w:p>
        </w:tc>
        <w:tc>
          <w:tcPr>
            <w:tcW w:type="dxa" w:w="1191"/>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4"/>
              </w:rPr>
              <w:t>00:07:21</w:t>
            </w:r>
          </w:p>
        </w:tc>
        <w:tc>
          <w:tcPr>
            <w:tcW w:type="dxa" w:w="2154"/>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4"/>
              </w:rPr>
              <w:t>clipping 几乎不能阻断恢复</w:t>
            </w:r>
          </w:p>
        </w:tc>
      </w:tr>
      <w:tr>
        <w:tc>
          <w:tcPr>
            <w:tcW w:type="dxa" w:w="1587"/>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4"/>
              </w:rPr>
              <w:t>proj_only</w:t>
            </w:r>
          </w:p>
        </w:tc>
        <w:tc>
          <w:tcPr>
            <w:tcW w:type="dxa" w:w="1020"/>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4"/>
              </w:rPr>
              <w:t>0.000000</w:t>
            </w:r>
          </w:p>
        </w:tc>
        <w:tc>
          <w:tcPr>
            <w:tcW w:type="dxa" w:w="1020"/>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4"/>
              </w:rPr>
              <w:t>0.000</w:t>
            </w:r>
          </w:p>
        </w:tc>
        <w:tc>
          <w:tcPr>
            <w:tcW w:type="dxa" w:w="1020"/>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4"/>
              </w:rPr>
              <w:t>0.915520</w:t>
            </w:r>
          </w:p>
        </w:tc>
        <w:tc>
          <w:tcPr>
            <w:tcW w:type="dxa" w:w="964"/>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4"/>
              </w:rPr>
              <w:t>-0.002294</w:t>
            </w:r>
          </w:p>
        </w:tc>
        <w:tc>
          <w:tcPr>
            <w:tcW w:type="dxa" w:w="1191"/>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4"/>
              </w:rPr>
              <w:t>01:25:34</w:t>
            </w:r>
          </w:p>
        </w:tc>
        <w:tc>
          <w:tcPr>
            <w:tcW w:type="dxa" w:w="1191"/>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4"/>
              </w:rPr>
              <w:t>00:08:50</w:t>
            </w:r>
          </w:p>
        </w:tc>
        <w:tc>
          <w:tcPr>
            <w:tcW w:type="dxa" w:w="2154"/>
            <w:shd w:fill="F7FAFC"/>
            <w:tcMar>
              <w:top w:w="80" w:type="dxa"/>
              <w:start w:w="90" w:type="dxa"/>
              <w:bottom w:w="80" w:type="dxa"/>
              <w:end w:w="90" w:type="dxa"/>
            </w:tcMar>
            <w:vAlign w:val="center"/>
          </w:tcPr>
          <w:p>
            <w:pPr>
              <w:spacing w:after="0" w:line="259" w:lineRule="auto"/>
              <w:jc w:val="left"/>
            </w:pPr>
            <w:r/>
            <w:r>
              <w:rPr>
                <w:rFonts w:ascii="Microsoft YaHei" w:hAnsi="Microsoft YaHei" w:eastAsia="Microsoft YaHei"/>
                <w:b w:val="0"/>
                <w:color w:val="1F2933"/>
                <w:sz w:val="14"/>
              </w:rPr>
              <w:t>主效应线索：DAGER=0 且 clean-level utility</w:t>
            </w:r>
          </w:p>
        </w:tc>
      </w:tr>
      <w:tr>
        <w:tc>
          <w:tcPr>
            <w:tcW w:type="dxa" w:w="1587"/>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4"/>
              </w:rPr>
              <w:t>proj_clip</w:t>
            </w:r>
          </w:p>
        </w:tc>
        <w:tc>
          <w:tcPr>
            <w:tcW w:type="dxa" w:w="1020"/>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4"/>
              </w:rPr>
              <w:t>0.000000</w:t>
            </w:r>
          </w:p>
        </w:tc>
        <w:tc>
          <w:tcPr>
            <w:tcW w:type="dxa" w:w="1020"/>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4"/>
              </w:rPr>
              <w:t>0.000</w:t>
            </w:r>
          </w:p>
        </w:tc>
        <w:tc>
          <w:tcPr>
            <w:tcW w:type="dxa" w:w="1020"/>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4"/>
              </w:rPr>
              <w:t>0.913226</w:t>
            </w:r>
          </w:p>
        </w:tc>
        <w:tc>
          <w:tcPr>
            <w:tcW w:type="dxa" w:w="964"/>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4"/>
              </w:rPr>
              <w:t>0.000000</w:t>
            </w:r>
          </w:p>
        </w:tc>
        <w:tc>
          <w:tcPr>
            <w:tcW w:type="dxa" w:w="1191"/>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4"/>
              </w:rPr>
              <w:t>01:25:53</w:t>
            </w:r>
          </w:p>
        </w:tc>
        <w:tc>
          <w:tcPr>
            <w:tcW w:type="dxa" w:w="1191"/>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4"/>
              </w:rPr>
              <w:t>00:08:12</w:t>
            </w:r>
          </w:p>
        </w:tc>
        <w:tc>
          <w:tcPr>
            <w:tcW w:type="dxa" w:w="2154"/>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4"/>
              </w:rPr>
              <w:t>DAGER=0, utility 接近 clean</w:t>
            </w:r>
          </w:p>
        </w:tc>
      </w:tr>
      <w:tr>
        <w:tc>
          <w:tcPr>
            <w:tcW w:type="dxa" w:w="1587"/>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4"/>
              </w:rPr>
              <w:t>full_lrb</w:t>
            </w:r>
          </w:p>
        </w:tc>
        <w:tc>
          <w:tcPr>
            <w:tcW w:type="dxa" w:w="1020"/>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4"/>
              </w:rPr>
              <w:t>0.000000</w:t>
            </w:r>
          </w:p>
        </w:tc>
        <w:tc>
          <w:tcPr>
            <w:tcW w:type="dxa" w:w="1020"/>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4"/>
              </w:rPr>
              <w:t>0.000</w:t>
            </w:r>
          </w:p>
        </w:tc>
        <w:tc>
          <w:tcPr>
            <w:tcW w:type="dxa" w:w="1020"/>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4"/>
              </w:rPr>
              <w:t>0.892584</w:t>
            </w:r>
          </w:p>
        </w:tc>
        <w:tc>
          <w:tcPr>
            <w:tcW w:type="dxa" w:w="964"/>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4"/>
              </w:rPr>
              <w:t>0.020642</w:t>
            </w:r>
          </w:p>
        </w:tc>
        <w:tc>
          <w:tcPr>
            <w:tcW w:type="dxa" w:w="1191"/>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4"/>
              </w:rPr>
              <w:t>01:57:04</w:t>
            </w:r>
          </w:p>
        </w:tc>
        <w:tc>
          <w:tcPr>
            <w:tcW w:type="dxa" w:w="1191"/>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4"/>
              </w:rPr>
              <w:t>00:14:11</w:t>
            </w:r>
          </w:p>
        </w:tc>
        <w:tc>
          <w:tcPr>
            <w:tcW w:type="dxa" w:w="2154"/>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4"/>
              </w:rPr>
              <w:t>DAGER=0, 但完整配置过重</w:t>
            </w:r>
          </w:p>
        </w:tc>
      </w:tr>
      <w:tr>
        <w:tc>
          <w:tcPr>
            <w:tcW w:type="dxa" w:w="1587"/>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4"/>
              </w:rPr>
              <w:t>pool_full</w:t>
            </w:r>
          </w:p>
        </w:tc>
        <w:tc>
          <w:tcPr>
            <w:tcW w:type="dxa" w:w="1020"/>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4"/>
              </w:rPr>
              <w:t>0.000000</w:t>
            </w:r>
          </w:p>
        </w:tc>
        <w:tc>
          <w:tcPr>
            <w:tcW w:type="dxa" w:w="1020"/>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4"/>
              </w:rPr>
              <w:t>0.000</w:t>
            </w:r>
          </w:p>
        </w:tc>
        <w:tc>
          <w:tcPr>
            <w:tcW w:type="dxa" w:w="1020"/>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4"/>
              </w:rPr>
              <w:t>0.870031</w:t>
            </w:r>
          </w:p>
        </w:tc>
        <w:tc>
          <w:tcPr>
            <w:tcW w:type="dxa" w:w="964"/>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4"/>
              </w:rPr>
              <w:t>0.043195</w:t>
            </w:r>
          </w:p>
        </w:tc>
        <w:tc>
          <w:tcPr>
            <w:tcW w:type="dxa" w:w="1191"/>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4"/>
              </w:rPr>
              <w:t>01:41:12</w:t>
            </w:r>
          </w:p>
        </w:tc>
        <w:tc>
          <w:tcPr>
            <w:tcW w:type="dxa" w:w="1191"/>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4"/>
              </w:rPr>
              <w:t>00:17:52</w:t>
            </w:r>
          </w:p>
        </w:tc>
        <w:tc>
          <w:tcPr>
            <w:tcW w:type="dxa" w:w="2154"/>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4"/>
              </w:rPr>
              <w:t>普通 pool 弱于 signed_pool</w:t>
            </w:r>
          </w:p>
        </w:tc>
      </w:tr>
      <w:tr>
        <w:tc>
          <w:tcPr>
            <w:tcW w:type="dxa" w:w="1587"/>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4"/>
              </w:rPr>
              <w:t>rule_only</w:t>
            </w:r>
          </w:p>
        </w:tc>
        <w:tc>
          <w:tcPr>
            <w:tcW w:type="dxa" w:w="1020"/>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4"/>
              </w:rPr>
              <w:t>0.000000</w:t>
            </w:r>
          </w:p>
        </w:tc>
        <w:tc>
          <w:tcPr>
            <w:tcW w:type="dxa" w:w="1020"/>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4"/>
              </w:rPr>
              <w:t>0.000</w:t>
            </w:r>
          </w:p>
        </w:tc>
        <w:tc>
          <w:tcPr>
            <w:tcW w:type="dxa" w:w="1020"/>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4"/>
              </w:rPr>
              <w:t>0.868884</w:t>
            </w:r>
          </w:p>
        </w:tc>
        <w:tc>
          <w:tcPr>
            <w:tcW w:type="dxa" w:w="964"/>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4"/>
              </w:rPr>
              <w:t>0.044342</w:t>
            </w:r>
          </w:p>
        </w:tc>
        <w:tc>
          <w:tcPr>
            <w:tcW w:type="dxa" w:w="1191"/>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4"/>
              </w:rPr>
              <w:t>01:54:33</w:t>
            </w:r>
          </w:p>
        </w:tc>
        <w:tc>
          <w:tcPr>
            <w:tcW w:type="dxa" w:w="1191"/>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4"/>
              </w:rPr>
              <w:t>00:12:01</w:t>
            </w:r>
          </w:p>
        </w:tc>
        <w:tc>
          <w:tcPr>
            <w:tcW w:type="dxa" w:w="2154"/>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4"/>
              </w:rPr>
              <w:t>只用规则/完整强防御 utility 代价大</w:t>
            </w:r>
          </w:p>
        </w:tc>
      </w:tr>
      <w:tr>
        <w:tc>
          <w:tcPr>
            <w:tcW w:type="dxa" w:w="1587"/>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4"/>
              </w:rPr>
              <w:t>empirical_only</w:t>
            </w:r>
          </w:p>
        </w:tc>
        <w:tc>
          <w:tcPr>
            <w:tcW w:type="dxa" w:w="1020"/>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4"/>
              </w:rPr>
              <w:t>0.000000</w:t>
            </w:r>
          </w:p>
        </w:tc>
        <w:tc>
          <w:tcPr>
            <w:tcW w:type="dxa" w:w="1020"/>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4"/>
              </w:rPr>
              <w:t>0.000</w:t>
            </w:r>
          </w:p>
        </w:tc>
        <w:tc>
          <w:tcPr>
            <w:tcW w:type="dxa" w:w="1020"/>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4"/>
              </w:rPr>
              <w:t>0.902523</w:t>
            </w:r>
          </w:p>
        </w:tc>
        <w:tc>
          <w:tcPr>
            <w:tcW w:type="dxa" w:w="964"/>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4"/>
              </w:rPr>
              <w:t>0.010703</w:t>
            </w:r>
          </w:p>
        </w:tc>
        <w:tc>
          <w:tcPr>
            <w:tcW w:type="dxa" w:w="1191"/>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4"/>
              </w:rPr>
              <w:t>04:01:50</w:t>
            </w:r>
          </w:p>
        </w:tc>
        <w:tc>
          <w:tcPr>
            <w:tcW w:type="dxa" w:w="1191"/>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4"/>
              </w:rPr>
              <w:t>00:12:15</w:t>
            </w:r>
          </w:p>
        </w:tc>
        <w:tc>
          <w:tcPr>
            <w:tcW w:type="dxa" w:w="2154"/>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4"/>
              </w:rPr>
              <w:t>能防住但有 utility 和开销代价</w:t>
            </w:r>
          </w:p>
        </w:tc>
      </w:tr>
      <w:tr>
        <w:tc>
          <w:tcPr>
            <w:tcW w:type="dxa" w:w="1587"/>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4"/>
              </w:rPr>
              <w:t>uniform_all_sensitive</w:t>
            </w:r>
          </w:p>
        </w:tc>
        <w:tc>
          <w:tcPr>
            <w:tcW w:type="dxa" w:w="1020"/>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4"/>
              </w:rPr>
              <w:t>0.000000</w:t>
            </w:r>
          </w:p>
        </w:tc>
        <w:tc>
          <w:tcPr>
            <w:tcW w:type="dxa" w:w="1020"/>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4"/>
              </w:rPr>
              <w:t>0.000</w:t>
            </w:r>
          </w:p>
        </w:tc>
        <w:tc>
          <w:tcPr>
            <w:tcW w:type="dxa" w:w="1020"/>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4"/>
              </w:rPr>
              <w:t>0.842890</w:t>
            </w:r>
          </w:p>
        </w:tc>
        <w:tc>
          <w:tcPr>
            <w:tcW w:type="dxa" w:w="964"/>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4"/>
              </w:rPr>
              <w:t>0.070336</w:t>
            </w:r>
          </w:p>
        </w:tc>
        <w:tc>
          <w:tcPr>
            <w:tcW w:type="dxa" w:w="1191"/>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4"/>
              </w:rPr>
              <w:t>01:55:45</w:t>
            </w:r>
          </w:p>
        </w:tc>
        <w:tc>
          <w:tcPr>
            <w:tcW w:type="dxa" w:w="1191"/>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4"/>
              </w:rPr>
              <w:t>00:10:22</w:t>
            </w:r>
          </w:p>
        </w:tc>
        <w:tc>
          <w:tcPr>
            <w:tcW w:type="dxa" w:w="2154"/>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4"/>
              </w:rPr>
              <w:t>一刀切 layer-wise 设计不佳</w:t>
            </w:r>
          </w:p>
        </w:tc>
      </w:tr>
    </w:tbl>
    <w:p/>
    <w:tbl>
      <w:tblPr>
        <w:tblW w:type="auto" w:w="0"/>
        <w:jc w:val="center"/>
        <w:tblLook w:firstColumn="1" w:firstRow="1" w:lastColumn="0" w:lastRow="0" w:noHBand="0" w:noVBand="1" w:val="04A0"/>
        <w:tblBorders>
          <w:top w:val="single" w:sz="6" w:space="0" w:color="B7C6D8"/>
          <w:left w:val="single" w:sz="6" w:space="0" w:color="B7C6D8"/>
          <w:bottom w:val="single" w:sz="6" w:space="0" w:color="B7C6D8"/>
          <w:right w:val="single" w:sz="6" w:space="0" w:color="B7C6D8"/>
          <w:insideH w:val="single" w:sz="6" w:space="0" w:color="B7C6D8"/>
          <w:insideV w:val="single" w:sz="6" w:space="0" w:color="B7C6D8"/>
        </w:tblBorders>
      </w:tblPr>
      <w:tblGrid>
        <w:gridCol w:w="10036"/>
      </w:tblGrid>
      <w:tr>
        <w:tc>
          <w:tcPr>
            <w:tcW w:type="dxa" w:w="10036"/>
            <w:shd w:fill="FFF4E6"/>
            <w:tcMar>
              <w:top w:w="120" w:type="dxa"/>
              <w:start w:w="160" w:type="dxa"/>
              <w:bottom w:w="120" w:type="dxa"/>
              <w:end w:w="160" w:type="dxa"/>
            </w:tcMar>
          </w:tcPr>
          <w:p>
            <w:pPr>
              <w:spacing w:after="60"/>
            </w:pPr>
            <w:r>
              <w:rPr>
                <w:rFonts w:ascii="Microsoft YaHei" w:hAnsi="Microsoft YaHei" w:eastAsia="Microsoft YaHei"/>
                <w:b/>
                <w:color w:val="1F4E79"/>
                <w:sz w:val="20"/>
              </w:rPr>
              <w:t>消融给出的关键改口</w:t>
            </w:r>
          </w:p>
          <w:p>
            <w:pPr>
              <w:spacing w:after="40"/>
            </w:pPr>
            <w:r>
              <w:rPr>
                <w:rFonts w:ascii="Microsoft YaHei" w:hAnsi="Microsoft YaHei" w:eastAsia="Microsoft YaHei"/>
                <w:sz w:val="18"/>
              </w:rPr>
              <w:t>主方法身份建议明确为 Projection-LRB / LRB-lite：layer-wise low-resolution signed_pool projection；full_lrb@0.5 不再写成最终主方法。</w:t>
            </w:r>
          </w:p>
          <w:p>
            <w:pPr>
              <w:spacing w:after="40"/>
            </w:pPr>
            <w:r>
              <w:rPr>
                <w:rFonts w:ascii="Microsoft YaHei" w:hAnsi="Microsoft YaHei" w:eastAsia="Microsoft YaHei"/>
                <w:sz w:val="18"/>
              </w:rPr>
              <w:t>full_lrb 可保留为强防御 / 过防御对照，用来说明 residual noise 和完整配置并非当前 full-gradient DAGER 的必要主效应。</w:t>
            </w:r>
          </w:p>
          <w:p>
            <w:pPr>
              <w:spacing w:after="40"/>
            </w:pPr>
            <w:r>
              <w:rPr>
                <w:rFonts w:ascii="Microsoft YaHei" w:hAnsi="Microsoft YaHei" w:eastAsia="Microsoft YaHei"/>
                <w:sz w:val="18"/>
              </w:rPr>
              <w:t>proj_only@0.5 的负 utility_drop 不应写成显著提升，只能写成该次运行达到 clean-level utility；正式论文主表需要多 seed 均值与标准差。</w:t>
            </w:r>
          </w:p>
        </w:tc>
      </w:tr>
    </w:tbl>
    <w:p/>
    <w:p>
      <w:pPr>
        <w:pStyle w:val="Heading1"/>
      </w:pPr>
      <w:r>
        <w:t>十二、AAAI / 审稿口径下的 Claims 与 Non-Claims</w:t>
      </w:r>
    </w:p>
    <w:p>
      <w:pPr>
        <w:spacing w:after="100" w:line="278" w:lineRule="auto"/>
        <w:ind w:firstLine="420"/>
      </w:pPr>
      <w:r>
        <w:rPr>
          <w:rFonts w:ascii="Microsoft YaHei" w:hAnsi="Microsoft YaHei" w:eastAsia="Microsoft YaHei"/>
          <w:sz w:val="21"/>
        </w:rPr>
        <w:t>这部分用于控制论文叙事边界。审稿人最敏感的是 claims 与 evidence 是否匹配，因此要正面承认当前证据边界，而不是把 DAGER=0 或单次消融结果写成通用安全结论。</w:t>
      </w:r>
    </w:p>
    <w:tbl>
      <w:tblPr>
        <w:tblStyle w:val="TableGrid"/>
        <w:tblW w:type="auto" w:w="0"/>
        <w:jc w:val="center"/>
        <w:tblLook w:firstColumn="1" w:firstRow="1" w:lastColumn="0" w:lastRow="0" w:noHBand="0" w:noVBand="1" w:val="04A0"/>
        <w:tblBorders>
          <w:top w:val="single" w:sz="6" w:space="0" w:color="D4DBE3"/>
          <w:left w:val="single" w:sz="6" w:space="0" w:color="D4DBE3"/>
          <w:bottom w:val="single" w:sz="6" w:space="0" w:color="D4DBE3"/>
          <w:right w:val="single" w:sz="6" w:space="0" w:color="D4DBE3"/>
          <w:insideH w:val="single" w:sz="6" w:space="0" w:color="D4DBE3"/>
          <w:insideV w:val="single" w:sz="6" w:space="0" w:color="D4DBE3"/>
        </w:tblBorders>
      </w:tblPr>
      <w:tblGrid>
        <w:gridCol w:w="5018"/>
        <w:gridCol w:w="5018"/>
      </w:tblGrid>
      <w:tr>
        <w:trPr>
          <w:tblHeader w:val="true"/>
        </w:trPr>
        <w:tc>
          <w:tcPr>
            <w:tcW w:type="dxa" w:w="1701"/>
            <w:shd w:fill="D9EAF7"/>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color w:val="17365D"/>
                <w:sz w:val="16"/>
              </w:rPr>
              <w:t>类型</w:t>
            </w:r>
          </w:p>
        </w:tc>
        <w:tc>
          <w:tcPr>
            <w:tcW w:type="dxa" w:w="7483"/>
            <w:shd w:fill="D9EAF7"/>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color w:val="17365D"/>
                <w:sz w:val="16"/>
              </w:rPr>
              <w:t>建议表述</w:t>
            </w:r>
          </w:p>
        </w:tc>
      </w:tr>
      <w:tr>
        <w:tc>
          <w:tcPr>
            <w:tcW w:type="dxa" w:w="1701"/>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6"/>
              </w:rPr>
              <w:t>可以主张</w:t>
            </w:r>
          </w:p>
        </w:tc>
        <w:tc>
          <w:tcPr>
            <w:tcW w:type="dxa" w:w="7483"/>
            <w:tcMar>
              <w:top w:w="80" w:type="dxa"/>
              <w:start w:w="90" w:type="dxa"/>
              <w:bottom w:w="80" w:type="dxa"/>
              <w:end w:w="90" w:type="dxa"/>
            </w:tcMar>
            <w:vAlign w:val="center"/>
          </w:tcPr>
          <w:p>
            <w:pPr>
              <w:spacing w:after="0" w:line="259" w:lineRule="auto"/>
              <w:jc w:val="left"/>
            </w:pPr>
            <w:r/>
            <w:r>
              <w:rPr>
                <w:rFonts w:ascii="Microsoft YaHei" w:hAnsi="Microsoft YaHei" w:eastAsia="Microsoft YaHei"/>
                <w:b w:val="0"/>
                <w:color w:val="1F2933"/>
                <w:sz w:val="16"/>
              </w:rPr>
              <w:t>clean full-gradient FedSGD 在当前 SST2/GPT2/batch=2 下泄露严重；Projection bottleneck 是当前消融中的 dominant effective component。</w:t>
            </w:r>
          </w:p>
        </w:tc>
      </w:tr>
      <w:tr>
        <w:tc>
          <w:tcPr>
            <w:tcW w:type="dxa" w:w="1701"/>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6"/>
              </w:rPr>
              <w:t>可以主张</w:t>
            </w:r>
          </w:p>
        </w:tc>
        <w:tc>
          <w:tcPr>
            <w:tcW w:type="dxa" w:w="7483"/>
            <w:shd w:fill="F7FAFC"/>
            <w:tcMar>
              <w:top w:w="80" w:type="dxa"/>
              <w:start w:w="90" w:type="dxa"/>
              <w:bottom w:w="80" w:type="dxa"/>
              <w:end w:w="90" w:type="dxa"/>
            </w:tcMar>
            <w:vAlign w:val="center"/>
          </w:tcPr>
          <w:p>
            <w:pPr>
              <w:spacing w:after="0" w:line="259" w:lineRule="auto"/>
              <w:jc w:val="left"/>
            </w:pPr>
            <w:r/>
            <w:r>
              <w:rPr>
                <w:rFonts w:ascii="Microsoft YaHei" w:hAnsi="Microsoft YaHei" w:eastAsia="Microsoft YaHei"/>
                <w:b w:val="0"/>
                <w:color w:val="1F2933"/>
                <w:sz w:val="16"/>
              </w:rPr>
              <w:t>Projection-LRB 是比 full_lrb 更适合继续收束的主方法候选；full_lrb 更适合做 strong-defense / over-defense reference。</w:t>
            </w:r>
          </w:p>
        </w:tc>
      </w:tr>
      <w:tr>
        <w:tc>
          <w:tcPr>
            <w:tcW w:type="dxa" w:w="1701"/>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6"/>
              </w:rPr>
              <w:t>不能主张</w:t>
            </w:r>
          </w:p>
        </w:tc>
        <w:tc>
          <w:tcPr>
            <w:tcW w:type="dxa" w:w="7483"/>
            <w:tcMar>
              <w:top w:w="80" w:type="dxa"/>
              <w:start w:w="90" w:type="dxa"/>
              <w:bottom w:w="80" w:type="dxa"/>
              <w:end w:w="90" w:type="dxa"/>
            </w:tcMar>
            <w:vAlign w:val="center"/>
          </w:tcPr>
          <w:p>
            <w:pPr>
              <w:spacing w:after="0" w:line="259" w:lineRule="auto"/>
              <w:jc w:val="left"/>
            </w:pPr>
            <w:r/>
            <w:r>
              <w:rPr>
                <w:rFonts w:ascii="Microsoft YaHei" w:hAnsi="Microsoft YaHei" w:eastAsia="Microsoft YaHei"/>
                <w:b w:val="0"/>
                <w:color w:val="1F2933"/>
                <w:sz w:val="16"/>
              </w:rPr>
              <w:t>Projection-LRB 已全面优于 topk/compression。当前 full-gradient DAGER 下 topk@0.1 和 compression@8 仍是强经验 tradeoff。</w:t>
            </w:r>
          </w:p>
        </w:tc>
      </w:tr>
      <w:tr>
        <w:tc>
          <w:tcPr>
            <w:tcW w:type="dxa" w:w="1701"/>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6"/>
              </w:rPr>
              <w:t>不能主张</w:t>
            </w:r>
          </w:p>
        </w:tc>
        <w:tc>
          <w:tcPr>
            <w:tcW w:type="dxa" w:w="7483"/>
            <w:shd w:fill="F7FAFC"/>
            <w:tcMar>
              <w:top w:w="80" w:type="dxa"/>
              <w:start w:w="90" w:type="dxa"/>
              <w:bottom w:w="80" w:type="dxa"/>
              <w:end w:w="90" w:type="dxa"/>
            </w:tcMar>
            <w:vAlign w:val="center"/>
          </w:tcPr>
          <w:p>
            <w:pPr>
              <w:spacing w:after="0" w:line="259" w:lineRule="auto"/>
              <w:jc w:val="left"/>
            </w:pPr>
            <w:r/>
            <w:r>
              <w:rPr>
                <w:rFonts w:ascii="Microsoft YaHei" w:hAnsi="Microsoft YaHei" w:eastAsia="Microsoft YaHei"/>
                <w:b w:val="0"/>
                <w:color w:val="1F2933"/>
                <w:sz w:val="16"/>
              </w:rPr>
              <w:t>DAGER=0 等价于形式化隐私安全，或 Projection-LRB 提供 epsilon/delta DP 保证。当前没有 DP accountant 和 adaptive attack 证明。</w:t>
            </w:r>
          </w:p>
        </w:tc>
      </w:tr>
      <w:tr>
        <w:tc>
          <w:tcPr>
            <w:tcW w:type="dxa" w:w="1701"/>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6"/>
              </w:rPr>
              <w:t>不能主张</w:t>
            </w:r>
          </w:p>
        </w:tc>
        <w:tc>
          <w:tcPr>
            <w:tcW w:type="dxa" w:w="7483"/>
            <w:tcMar>
              <w:top w:w="80" w:type="dxa"/>
              <w:start w:w="90" w:type="dxa"/>
              <w:bottom w:w="80" w:type="dxa"/>
              <w:end w:w="90" w:type="dxa"/>
            </w:tcMar>
            <w:vAlign w:val="center"/>
          </w:tcPr>
          <w:p>
            <w:pPr>
              <w:spacing w:after="0" w:line="259" w:lineRule="auto"/>
              <w:jc w:val="left"/>
            </w:pPr>
            <w:r/>
            <w:r>
              <w:rPr>
                <w:rFonts w:ascii="Microsoft YaHei" w:hAnsi="Microsoft YaHei" w:eastAsia="Microsoft YaHei"/>
                <w:b w:val="0"/>
                <w:color w:val="1F2933"/>
                <w:sz w:val="16"/>
              </w:rPr>
              <w:t>PEFT/LoRA 或 partial-gradient 攻击面已经被完整验证。当前只能写作下一阶段扩展和待补强证据。</w:t>
            </w:r>
          </w:p>
        </w:tc>
      </w:tr>
    </w:tbl>
    <w:p/>
    <w:p>
      <w:pPr>
        <w:pStyle w:val="Heading1"/>
      </w:pPr>
      <w:r>
        <w:t>十三、主文图表最小集合</w:t>
      </w:r>
    </w:p>
    <w:p>
      <w:pPr>
        <w:spacing w:after="100" w:line="278" w:lineRule="auto"/>
        <w:ind w:firstLine="420"/>
      </w:pPr>
      <w:r>
        <w:rPr>
          <w:rFonts w:ascii="Microsoft YaHei" w:hAnsi="Microsoft YaHei" w:eastAsia="Microsoft YaHei"/>
          <w:sz w:val="21"/>
        </w:rPr>
        <w:t>根据 agent 建议，后续论文主文不应堆满所有 baseline sweep，而应保留能闭环主论点的最小图表集合：风险锚点、威胁模型、方法框架、主结果、消融，以及一个 transfer/runtime 预留位。</w:t>
      </w:r>
    </w:p>
    <w:tbl>
      <w:tblPr>
        <w:tblStyle w:val="TableGrid"/>
        <w:tblW w:type="auto" w:w="0"/>
        <w:jc w:val="center"/>
        <w:tblLook w:firstColumn="1" w:firstRow="1" w:lastColumn="0" w:lastRow="0" w:noHBand="0" w:noVBand="1" w:val="04A0"/>
        <w:tblBorders>
          <w:top w:val="single" w:sz="6" w:space="0" w:color="D4DBE3"/>
          <w:left w:val="single" w:sz="6" w:space="0" w:color="D4DBE3"/>
          <w:bottom w:val="single" w:sz="6" w:space="0" w:color="D4DBE3"/>
          <w:right w:val="single" w:sz="6" w:space="0" w:color="D4DBE3"/>
          <w:insideH w:val="single" w:sz="6" w:space="0" w:color="D4DBE3"/>
          <w:insideV w:val="single" w:sz="6" w:space="0" w:color="D4DBE3"/>
        </w:tblBorders>
      </w:tblPr>
      <w:tblGrid>
        <w:gridCol w:w="2509"/>
        <w:gridCol w:w="2509"/>
        <w:gridCol w:w="2509"/>
        <w:gridCol w:w="2509"/>
      </w:tblGrid>
      <w:tr>
        <w:trPr>
          <w:tblHeader w:val="true"/>
        </w:trPr>
        <w:tc>
          <w:tcPr>
            <w:tcW w:type="dxa" w:w="1134"/>
            <w:shd w:fill="D9EAF7"/>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color w:val="17365D"/>
                <w:sz w:val="15"/>
              </w:rPr>
              <w:t>编号</w:t>
            </w:r>
          </w:p>
        </w:tc>
        <w:tc>
          <w:tcPr>
            <w:tcW w:type="dxa" w:w="2721"/>
            <w:shd w:fill="D9EAF7"/>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color w:val="17365D"/>
                <w:sz w:val="15"/>
              </w:rPr>
              <w:t>图表名称</w:t>
            </w:r>
          </w:p>
        </w:tc>
        <w:tc>
          <w:tcPr>
            <w:tcW w:type="dxa" w:w="1871"/>
            <w:shd w:fill="D9EAF7"/>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color w:val="17365D"/>
                <w:sz w:val="15"/>
              </w:rPr>
              <w:t>论文位置</w:t>
            </w:r>
          </w:p>
        </w:tc>
        <w:tc>
          <w:tcPr>
            <w:tcW w:type="dxa" w:w="3628"/>
            <w:shd w:fill="D9EAF7"/>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color w:val="17365D"/>
                <w:sz w:val="15"/>
              </w:rPr>
              <w:t>当前状态 / 用途</w:t>
            </w:r>
          </w:p>
        </w:tc>
      </w:tr>
      <w:tr>
        <w:tc>
          <w:tcPr>
            <w:tcW w:type="dxa" w:w="1134"/>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表 1</w:t>
            </w:r>
          </w:p>
        </w:tc>
        <w:tc>
          <w:tcPr>
            <w:tcW w:type="dxa" w:w="2721"/>
            <w:tcMar>
              <w:top w:w="80" w:type="dxa"/>
              <w:start w:w="90" w:type="dxa"/>
              <w:bottom w:w="80" w:type="dxa"/>
              <w:end w:w="90" w:type="dxa"/>
            </w:tcMar>
            <w:vAlign w:val="center"/>
          </w:tcPr>
          <w:p>
            <w:pPr>
              <w:spacing w:after="0" w:line="259" w:lineRule="auto"/>
              <w:jc w:val="left"/>
            </w:pPr>
            <w:r/>
            <w:r>
              <w:rPr>
                <w:rFonts w:ascii="Microsoft YaHei" w:hAnsi="Microsoft YaHei" w:eastAsia="Microsoft YaHei"/>
                <w:b w:val="0"/>
                <w:color w:val="1F2933"/>
                <w:sz w:val="15"/>
              </w:rPr>
              <w:t>Threat Model / Setup Summary</w:t>
            </w:r>
          </w:p>
        </w:tc>
        <w:tc>
          <w:tcPr>
            <w:tcW w:type="dxa" w:w="1871"/>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Problem Setting</w:t>
            </w:r>
          </w:p>
        </w:tc>
        <w:tc>
          <w:tcPr>
            <w:tcW w:type="dxa" w:w="3628"/>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已具备；用于一眼说明证据边界和攻击假设</w:t>
            </w:r>
          </w:p>
        </w:tc>
      </w:tr>
      <w:tr>
        <w:tc>
          <w:tcPr>
            <w:tcW w:type="dxa" w:w="1134"/>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表 2</w:t>
            </w:r>
          </w:p>
        </w:tc>
        <w:tc>
          <w:tcPr>
            <w:tcW w:type="dxa" w:w="2721"/>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Experimental Setup Summary</w:t>
            </w:r>
          </w:p>
        </w:tc>
        <w:tc>
          <w:tcPr>
            <w:tcW w:type="dxa" w:w="1871"/>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Experimental Setup</w:t>
            </w:r>
          </w:p>
        </w:tc>
        <w:tc>
          <w:tcPr>
            <w:tcW w:type="dxa" w:w="3628"/>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已具备；整理 runs、模型、数据集、metric</w:t>
            </w:r>
          </w:p>
        </w:tc>
      </w:tr>
      <w:tr>
        <w:tc>
          <w:tcPr>
            <w:tcW w:type="dxa" w:w="1134"/>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表 3</w:t>
            </w:r>
          </w:p>
        </w:tc>
        <w:tc>
          <w:tcPr>
            <w:tcW w:type="dxa" w:w="2721"/>
            <w:tcMar>
              <w:top w:w="80" w:type="dxa"/>
              <w:start w:w="90" w:type="dxa"/>
              <w:bottom w:w="80" w:type="dxa"/>
              <w:end w:w="90" w:type="dxa"/>
            </w:tcMar>
            <w:vAlign w:val="center"/>
          </w:tcPr>
          <w:p>
            <w:pPr>
              <w:spacing w:after="0" w:line="259" w:lineRule="auto"/>
              <w:jc w:val="left"/>
            </w:pPr>
            <w:r/>
            <w:r>
              <w:rPr>
                <w:rFonts w:ascii="Microsoft YaHei" w:hAnsi="Microsoft YaHei" w:eastAsia="Microsoft YaHei"/>
                <w:b w:val="0"/>
                <w:color w:val="1F2933"/>
                <w:sz w:val="15"/>
              </w:rPr>
              <w:t>Main Results under Full-Gradient DAGER</w:t>
            </w:r>
          </w:p>
        </w:tc>
        <w:tc>
          <w:tcPr>
            <w:tcW w:type="dxa" w:w="1871"/>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Main Results</w:t>
            </w:r>
          </w:p>
        </w:tc>
        <w:tc>
          <w:tcPr>
            <w:tcW w:type="dxa" w:w="3628"/>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已有 none/topk/compression/full_lrb 等；需把 Projection-LRB 正式纳入同台多 seed</w:t>
            </w:r>
          </w:p>
        </w:tc>
      </w:tr>
      <w:tr>
        <w:tc>
          <w:tcPr>
            <w:tcW w:type="dxa" w:w="1134"/>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表 4</w:t>
            </w:r>
          </w:p>
        </w:tc>
        <w:tc>
          <w:tcPr>
            <w:tcW w:type="dxa" w:w="2721"/>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Ablation Results</w:t>
            </w:r>
          </w:p>
        </w:tc>
        <w:tc>
          <w:tcPr>
            <w:tcW w:type="dxa" w:w="1871"/>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Ablation</w:t>
            </w:r>
          </w:p>
        </w:tc>
        <w:tc>
          <w:tcPr>
            <w:tcW w:type="dxa" w:w="3628"/>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已具备；证明 projection 是 dominant effective component</w:t>
            </w:r>
          </w:p>
        </w:tc>
      </w:tr>
      <w:tr>
        <w:tc>
          <w:tcPr>
            <w:tcW w:type="dxa" w:w="1134"/>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表 5</w:t>
            </w:r>
          </w:p>
        </w:tc>
        <w:tc>
          <w:tcPr>
            <w:tcW w:type="dxa" w:w="2721"/>
            <w:tcMar>
              <w:top w:w="80" w:type="dxa"/>
              <w:start w:w="90" w:type="dxa"/>
              <w:bottom w:w="80" w:type="dxa"/>
              <w:end w:w="90" w:type="dxa"/>
            </w:tcMar>
            <w:vAlign w:val="center"/>
          </w:tcPr>
          <w:p>
            <w:pPr>
              <w:spacing w:after="0" w:line="259" w:lineRule="auto"/>
              <w:jc w:val="left"/>
            </w:pPr>
            <w:r/>
            <w:r>
              <w:rPr>
                <w:rFonts w:ascii="Microsoft YaHei" w:hAnsi="Microsoft YaHei" w:eastAsia="Microsoft YaHei"/>
                <w:b w:val="0"/>
                <w:color w:val="1F2933"/>
                <w:sz w:val="15"/>
              </w:rPr>
              <w:t>Transfer Results / Runtime Cost</w:t>
            </w:r>
          </w:p>
        </w:tc>
        <w:tc>
          <w:tcPr>
            <w:tcW w:type="dxa" w:w="1871"/>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Transfer / Analysis</w:t>
            </w:r>
          </w:p>
        </w:tc>
        <w:tc>
          <w:tcPr>
            <w:tcW w:type="dxa" w:w="3628"/>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当前缺口；PEFT/partial-gradient 与 runtime 需要补实验或补图</w:t>
            </w:r>
          </w:p>
        </w:tc>
      </w:tr>
      <w:tr>
        <w:tc>
          <w:tcPr>
            <w:tcW w:type="dxa" w:w="1134"/>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图 1</w:t>
            </w:r>
          </w:p>
        </w:tc>
        <w:tc>
          <w:tcPr>
            <w:tcW w:type="dxa" w:w="2721"/>
            <w:shd w:fill="F7FAFC"/>
            <w:tcMar>
              <w:top w:w="80" w:type="dxa"/>
              <w:start w:w="90" w:type="dxa"/>
              <w:bottom w:w="80" w:type="dxa"/>
              <w:end w:w="90" w:type="dxa"/>
            </w:tcMar>
            <w:vAlign w:val="center"/>
          </w:tcPr>
          <w:p>
            <w:pPr>
              <w:spacing w:after="0" w:line="259" w:lineRule="auto"/>
              <w:jc w:val="left"/>
            </w:pPr>
            <w:r/>
            <w:r>
              <w:rPr>
                <w:rFonts w:ascii="Microsoft YaHei" w:hAnsi="Microsoft YaHei" w:eastAsia="Microsoft YaHei"/>
                <w:b w:val="0"/>
                <w:color w:val="1F2933"/>
                <w:sz w:val="15"/>
              </w:rPr>
              <w:t>Motivation / Problem Overview</w:t>
            </w:r>
          </w:p>
        </w:tc>
        <w:tc>
          <w:tcPr>
            <w:tcW w:type="dxa" w:w="1871"/>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Introduction</w:t>
            </w:r>
          </w:p>
        </w:tc>
        <w:tc>
          <w:tcPr>
            <w:tcW w:type="dxa" w:w="3628"/>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待绘制；展示 clean updates -&gt; text recovery -&gt; recoverability bottleneck</w:t>
            </w:r>
          </w:p>
        </w:tc>
      </w:tr>
      <w:tr>
        <w:tc>
          <w:tcPr>
            <w:tcW w:type="dxa" w:w="1134"/>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图 2</w:t>
            </w:r>
          </w:p>
        </w:tc>
        <w:tc>
          <w:tcPr>
            <w:tcW w:type="dxa" w:w="2721"/>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Threat Model</w:t>
            </w:r>
          </w:p>
        </w:tc>
        <w:tc>
          <w:tcPr>
            <w:tcW w:type="dxa" w:w="1871"/>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Problem Setting</w:t>
            </w:r>
          </w:p>
        </w:tc>
        <w:tc>
          <w:tcPr>
            <w:tcW w:type="dxa" w:w="3628"/>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待绘制；client -&gt; defended update -&gt; attacker reconstruction</w:t>
            </w:r>
          </w:p>
        </w:tc>
      </w:tr>
      <w:tr>
        <w:tc>
          <w:tcPr>
            <w:tcW w:type="dxa" w:w="1134"/>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图 3</w:t>
            </w:r>
          </w:p>
        </w:tc>
        <w:tc>
          <w:tcPr>
            <w:tcW w:type="dxa" w:w="2721"/>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Projection-LRB Framework</w:t>
            </w:r>
          </w:p>
        </w:tc>
        <w:tc>
          <w:tcPr>
            <w:tcW w:type="dxa" w:w="1871"/>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Method</w:t>
            </w:r>
          </w:p>
        </w:tc>
        <w:tc>
          <w:tcPr>
            <w:tcW w:type="dxa" w:w="3628"/>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待绘制；layer gradients -&gt; sensitivity -&gt; signed projection -&gt; defended update</w:t>
            </w:r>
          </w:p>
        </w:tc>
      </w:tr>
      <w:tr>
        <w:tc>
          <w:tcPr>
            <w:tcW w:type="dxa" w:w="1134"/>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图 4</w:t>
            </w:r>
          </w:p>
        </w:tc>
        <w:tc>
          <w:tcPr>
            <w:tcW w:type="dxa" w:w="2721"/>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Privacy-Utility Pareto</w:t>
            </w:r>
          </w:p>
        </w:tc>
        <w:tc>
          <w:tcPr>
            <w:tcW w:type="dxa" w:w="1871"/>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Main Results</w:t>
            </w:r>
          </w:p>
        </w:tc>
        <w:tc>
          <w:tcPr>
            <w:tcW w:type="dxa" w:w="3628"/>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已有初版思路；需正式化并补 Projection-LRB sweep</w:t>
            </w:r>
          </w:p>
        </w:tc>
      </w:tr>
      <w:tr>
        <w:tc>
          <w:tcPr>
            <w:tcW w:type="dxa" w:w="1134"/>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图 5</w:t>
            </w:r>
          </w:p>
        </w:tc>
        <w:tc>
          <w:tcPr>
            <w:tcW w:type="dxa" w:w="2721"/>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Ablation / Keep-Ratio Sweep</w:t>
            </w:r>
          </w:p>
        </w:tc>
        <w:tc>
          <w:tcPr>
            <w:tcW w:type="dxa" w:w="1871"/>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Ablation</w:t>
            </w:r>
          </w:p>
        </w:tc>
        <w:tc>
          <w:tcPr>
            <w:tcW w:type="dxa" w:w="3628"/>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当前可先放 ablation bar；补完 calibration 后换 keep-ratio sweep</w:t>
            </w:r>
          </w:p>
        </w:tc>
      </w:tr>
    </w:tbl>
    <w:p/>
    <w:p>
      <w:pPr>
        <w:pStyle w:val="Heading1"/>
      </w:pPr>
      <w:r>
        <w:t>十四、下一步优先级</w:t>
      </w:r>
    </w:p>
    <w:tbl>
      <w:tblPr>
        <w:tblStyle w:val="TableGrid"/>
        <w:tblW w:type="auto" w:w="0"/>
        <w:jc w:val="center"/>
        <w:tblLook w:firstColumn="1" w:firstRow="1" w:lastColumn="0" w:lastRow="0" w:noHBand="0" w:noVBand="1" w:val="04A0"/>
        <w:tblBorders>
          <w:top w:val="single" w:sz="6" w:space="0" w:color="D4DBE3"/>
          <w:left w:val="single" w:sz="6" w:space="0" w:color="D4DBE3"/>
          <w:bottom w:val="single" w:sz="6" w:space="0" w:color="D4DBE3"/>
          <w:right w:val="single" w:sz="6" w:space="0" w:color="D4DBE3"/>
          <w:insideH w:val="single" w:sz="6" w:space="0" w:color="D4DBE3"/>
          <w:insideV w:val="single" w:sz="6" w:space="0" w:color="D4DBE3"/>
        </w:tblBorders>
      </w:tblPr>
      <w:tblGrid>
        <w:gridCol w:w="2509"/>
        <w:gridCol w:w="2509"/>
        <w:gridCol w:w="2509"/>
        <w:gridCol w:w="2509"/>
      </w:tblGrid>
      <w:tr>
        <w:trPr>
          <w:tblHeader w:val="true"/>
        </w:trPr>
        <w:tc>
          <w:tcPr>
            <w:tcW w:type="dxa" w:w="964"/>
            <w:shd w:fill="D9EAF7"/>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color w:val="17365D"/>
                <w:sz w:val="15"/>
              </w:rPr>
              <w:t>优先级</w:t>
            </w:r>
          </w:p>
        </w:tc>
        <w:tc>
          <w:tcPr>
            <w:tcW w:type="dxa" w:w="2721"/>
            <w:shd w:fill="D9EAF7"/>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color w:val="17365D"/>
                <w:sz w:val="15"/>
              </w:rPr>
              <w:t>任务</w:t>
            </w:r>
          </w:p>
        </w:tc>
        <w:tc>
          <w:tcPr>
            <w:tcW w:type="dxa" w:w="2835"/>
            <w:shd w:fill="D9EAF7"/>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color w:val="17365D"/>
                <w:sz w:val="15"/>
              </w:rPr>
              <w:t>目标</w:t>
            </w:r>
          </w:p>
        </w:tc>
        <w:tc>
          <w:tcPr>
            <w:tcW w:type="dxa" w:w="2835"/>
            <w:shd w:fill="D9EAF7"/>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color w:val="17365D"/>
                <w:sz w:val="15"/>
              </w:rPr>
              <w:t>建议输出</w:t>
            </w:r>
          </w:p>
        </w:tc>
      </w:tr>
      <w:tr>
        <w:tc>
          <w:tcPr>
            <w:tcW w:type="dxa" w:w="964"/>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P0</w:t>
            </w:r>
          </w:p>
        </w:tc>
        <w:tc>
          <w:tcPr>
            <w:tcW w:type="dxa" w:w="2721"/>
            <w:tcMar>
              <w:top w:w="80" w:type="dxa"/>
              <w:start w:w="90" w:type="dxa"/>
              <w:bottom w:w="80" w:type="dxa"/>
              <w:end w:w="90" w:type="dxa"/>
            </w:tcMar>
            <w:vAlign w:val="center"/>
          </w:tcPr>
          <w:p>
            <w:pPr>
              <w:spacing w:after="0" w:line="259" w:lineRule="auto"/>
              <w:jc w:val="left"/>
            </w:pPr>
            <w:r/>
            <w:r>
              <w:rPr>
                <w:rFonts w:ascii="Microsoft YaHei" w:hAnsi="Microsoft YaHei" w:eastAsia="Microsoft YaHei"/>
                <w:b w:val="0"/>
                <w:color w:val="1F2933"/>
                <w:sz w:val="15"/>
              </w:rPr>
              <w:t>统一主方法身份为 Projection-LRB / proj_only@0.5</w:t>
            </w:r>
          </w:p>
        </w:tc>
        <w:tc>
          <w:tcPr>
            <w:tcW w:type="dxa" w:w="2835"/>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让方法叙事与消融证据一致</w:t>
            </w:r>
          </w:p>
        </w:tc>
        <w:tc>
          <w:tcPr>
            <w:tcW w:type="dxa" w:w="2835"/>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主方法描述、算法伪代码、main table 新行</w:t>
            </w:r>
          </w:p>
        </w:tc>
      </w:tr>
      <w:tr>
        <w:tc>
          <w:tcPr>
            <w:tcW w:type="dxa" w:w="964"/>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P0</w:t>
            </w:r>
          </w:p>
        </w:tc>
        <w:tc>
          <w:tcPr>
            <w:tcW w:type="dxa" w:w="2721"/>
            <w:shd w:fill="F7FAFC"/>
            <w:tcMar>
              <w:top w:w="80" w:type="dxa"/>
              <w:start w:w="90" w:type="dxa"/>
              <w:bottom w:w="80" w:type="dxa"/>
              <w:end w:w="90" w:type="dxa"/>
            </w:tcMar>
            <w:vAlign w:val="center"/>
          </w:tcPr>
          <w:p>
            <w:pPr>
              <w:spacing w:after="0" w:line="259" w:lineRule="auto"/>
              <w:jc w:val="left"/>
            </w:pPr>
            <w:r/>
            <w:r>
              <w:rPr>
                <w:rFonts w:ascii="Microsoft YaHei" w:hAnsi="Microsoft YaHei" w:eastAsia="Microsoft YaHei"/>
                <w:b w:val="0"/>
                <w:color w:val="1F2933"/>
                <w:sz w:val="15"/>
              </w:rPr>
              <w:t>proj_only keep-ratio sweep + 多 seed</w:t>
            </w:r>
          </w:p>
        </w:tc>
        <w:tc>
          <w:tcPr>
            <w:tcW w:type="dxa" w:w="2835"/>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找 DAGER=0 时 utility 最高的最宽松 bottleneck，并估计方差</w:t>
            </w:r>
          </w:p>
        </w:tc>
        <w:tc>
          <w:tcPr>
            <w:tcW w:type="dxa" w:w="2835"/>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k=0.5/0.65/0.75/0.9 曲线；mean±std 表</w:t>
            </w:r>
          </w:p>
        </w:tc>
      </w:tr>
      <w:tr>
        <w:tc>
          <w:tcPr>
            <w:tcW w:type="dxa" w:w="964"/>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P0</w:t>
            </w:r>
          </w:p>
        </w:tc>
        <w:tc>
          <w:tcPr>
            <w:tcW w:type="dxa" w:w="2721"/>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projection-only 细消融</w:t>
            </w:r>
          </w:p>
        </w:tc>
        <w:tc>
          <w:tcPr>
            <w:tcW w:type="dxa" w:w="2835"/>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拆开 rule / empirical / uniform / no_empirical 作用</w:t>
            </w:r>
          </w:p>
        </w:tc>
        <w:tc>
          <w:tcPr>
            <w:tcW w:type="dxa" w:w="2835"/>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proj_rule_only、proj_empirical_only、proj_uniform、proj_no_empirical 表</w:t>
            </w:r>
          </w:p>
        </w:tc>
      </w:tr>
      <w:tr>
        <w:tc>
          <w:tcPr>
            <w:tcW w:type="dxa" w:w="964"/>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P1</w:t>
            </w:r>
          </w:p>
        </w:tc>
        <w:tc>
          <w:tcPr>
            <w:tcW w:type="dxa" w:w="2721"/>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重做主结果和 Pareto 表</w:t>
            </w:r>
          </w:p>
        </w:tc>
        <w:tc>
          <w:tcPr>
            <w:tcW w:type="dxa" w:w="2835"/>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topk/compression/Projection-LRB/full_lrb 同台比较</w:t>
            </w:r>
          </w:p>
        </w:tc>
        <w:tc>
          <w:tcPr>
            <w:tcW w:type="dxa" w:w="2835"/>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main results + Pareto 图</w:t>
            </w:r>
          </w:p>
        </w:tc>
      </w:tr>
      <w:tr>
        <w:tc>
          <w:tcPr>
            <w:tcW w:type="dxa" w:w="964"/>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P1</w:t>
            </w:r>
          </w:p>
        </w:tc>
        <w:tc>
          <w:tcPr>
            <w:tcW w:type="dxa" w:w="2721"/>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LoRA/PEFT 对照</w:t>
            </w:r>
          </w:p>
        </w:tc>
        <w:tc>
          <w:tcPr>
            <w:tcW w:type="dxa" w:w="2835"/>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验证跨实际轻量更新攻击面</w:t>
            </w:r>
          </w:p>
        </w:tc>
        <w:tc>
          <w:tcPr>
            <w:tcW w:type="dxa" w:w="2835"/>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none/proj_only/proj_clip/full_lrb/topk/compression 的 PEFT 表</w:t>
            </w:r>
          </w:p>
        </w:tc>
      </w:tr>
      <w:tr>
        <w:tc>
          <w:tcPr>
            <w:tcW w:type="dxa" w:w="964"/>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P2</w:t>
            </w:r>
          </w:p>
        </w:tc>
        <w:tc>
          <w:tcPr>
            <w:tcW w:type="dxa" w:w="2721"/>
            <w:shd w:fill="F7FAFC"/>
            <w:tcMar>
              <w:top w:w="80" w:type="dxa"/>
              <w:start w:w="90" w:type="dxa"/>
              <w:bottom w:w="80" w:type="dxa"/>
              <w:end w:w="90" w:type="dxa"/>
            </w:tcMar>
            <w:vAlign w:val="center"/>
          </w:tcPr>
          <w:p>
            <w:pPr>
              <w:spacing w:after="0" w:line="259" w:lineRule="auto"/>
              <w:jc w:val="left"/>
            </w:pPr>
            <w:r/>
            <w:r>
              <w:rPr>
                <w:rFonts w:ascii="Microsoft YaHei" w:hAnsi="Microsoft YaHei" w:eastAsia="Microsoft YaHei"/>
                <w:b w:val="0"/>
                <w:color w:val="1F2933"/>
                <w:sz w:val="15"/>
              </w:rPr>
              <w:t>partial-gradient / layer-level leakage</w:t>
            </w:r>
          </w:p>
        </w:tc>
        <w:tc>
          <w:tcPr>
            <w:tcW w:type="dxa" w:w="2835"/>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验证局部更新泄露下的结构性防御价值</w:t>
            </w:r>
          </w:p>
        </w:tc>
        <w:tc>
          <w:tcPr>
            <w:tcW w:type="dxa" w:w="2835"/>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first block / qkv / last layers 等攻击面表</w:t>
            </w:r>
          </w:p>
        </w:tc>
      </w:tr>
      <w:tr>
        <w:tc>
          <w:tcPr>
            <w:tcW w:type="dxa" w:w="964"/>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P2</w:t>
            </w:r>
          </w:p>
        </w:tc>
        <w:tc>
          <w:tcPr>
            <w:tcW w:type="dxa" w:w="2721"/>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跨数据集/backbone</w:t>
            </w:r>
          </w:p>
        </w:tc>
        <w:tc>
          <w:tcPr>
            <w:tcW w:type="dxa" w:w="2835"/>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避免单一 SST2/GPT2 偶然性</w:t>
            </w:r>
          </w:p>
        </w:tc>
        <w:tc>
          <w:tcPr>
            <w:tcW w:type="dxa" w:w="2835"/>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5"/>
              </w:rPr>
              <w:t>cola/rte/gpt2; sst2/bert 等结果</w:t>
            </w:r>
          </w:p>
        </w:tc>
      </w:tr>
    </w:tbl>
    <w:p/>
    <w:p>
      <w:pPr>
        <w:pStyle w:val="Heading1"/>
      </w:pPr>
      <w:r>
        <w:t>十五、可以直接用于汇报的阶段性结论</w:t>
      </w:r>
    </w:p>
    <w:p>
      <w:pPr>
        <w:spacing w:after="100" w:line="278" w:lineRule="auto"/>
        <w:ind w:firstLine="420"/>
      </w:pPr>
      <w:r>
        <w:rPr>
          <w:rFonts w:ascii="Microsoft YaHei" w:hAnsi="Microsoft YaHei" w:eastAsia="Microsoft YaHei"/>
          <w:sz w:val="21"/>
        </w:rPr>
        <w:t>当前 SST2+GPT2+batch=2 的 full-gradient DAGER 实验表明，clean FedSGD 梯度存在严重文本恢复风险。full_lrb 完整配置能稳定把 DAGER 恢复压到 0，但其 clipping 和 residual noise 带来了明显 utility 代价。消融进一步显示，低分辨率 signed_pool projection 是当前 LRB 有效性的主因：proj_only@0.5 在不加噪、不做完整裁剪的情况下即可实现 DAGER=0，并在单次运行中保持 clean-level accuracy。因此，下一阶段应把主方法身份统一为 Projection-LRB / LRB-lite，并通过 keep-ratio sweep、多 seed、LoRA/PEFT、partial-gradient 和跨数据集实验验证其泛化价值。</w:t>
      </w:r>
    </w:p>
    <w:p>
      <w:pPr>
        <w:spacing w:after="100" w:line="278" w:lineRule="auto"/>
        <w:ind w:firstLine="420"/>
      </w:pPr>
      <w:r>
        <w:rPr>
          <w:rFonts w:ascii="Microsoft YaHei" w:hAnsi="Microsoft YaHei" w:eastAsia="Microsoft YaHei"/>
          <w:sz w:val="21"/>
        </w:rPr>
        <w:t>In the current SST2/GPT2 full-gradient DAGER setting, the dominant effective component is the low-resolution signed projection bottleneck. While the full LRB configuration suppresses token recovery to zero, its clipping and residual-space noise introduce unnecessary utility loss. The projection-only variant achieves zero token and ROUGE recovery with clean-level utility in the current ablation run, making Projection-LRB the most promising method candidate pending multi-seed and cross-attack validation.</w:t>
      </w:r>
    </w:p>
    <w:p>
      <w:pPr>
        <w:pStyle w:val="Heading1"/>
      </w:pPr>
      <w:r>
        <w:t>十六、材料来源清单</w:t>
      </w:r>
    </w:p>
    <w:tbl>
      <w:tblPr>
        <w:tblStyle w:val="TableGrid"/>
        <w:tblW w:type="auto" w:w="0"/>
        <w:jc w:val="center"/>
        <w:tblLook w:firstColumn="1" w:firstRow="1" w:lastColumn="0" w:lastRow="0" w:noHBand="0" w:noVBand="1" w:val="04A0"/>
        <w:tblBorders>
          <w:top w:val="single" w:sz="6" w:space="0" w:color="D4DBE3"/>
          <w:left w:val="single" w:sz="6" w:space="0" w:color="D4DBE3"/>
          <w:bottom w:val="single" w:sz="6" w:space="0" w:color="D4DBE3"/>
          <w:right w:val="single" w:sz="6" w:space="0" w:color="D4DBE3"/>
          <w:insideH w:val="single" w:sz="6" w:space="0" w:color="D4DBE3"/>
          <w:insideV w:val="single" w:sz="6" w:space="0" w:color="D4DBE3"/>
        </w:tblBorders>
      </w:tblPr>
      <w:tblGrid>
        <w:gridCol w:w="5018"/>
        <w:gridCol w:w="5018"/>
      </w:tblGrid>
      <w:tr>
        <w:trPr>
          <w:tblHeader w:val="true"/>
        </w:trPr>
        <w:tc>
          <w:tcPr>
            <w:tcW w:type="dxa" w:w="2268"/>
            <w:shd w:fill="D9EAF7"/>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color w:val="17365D"/>
                <w:sz w:val="16"/>
              </w:rPr>
              <w:t>类别</w:t>
            </w:r>
          </w:p>
        </w:tc>
        <w:tc>
          <w:tcPr>
            <w:tcW w:type="dxa" w:w="7030"/>
            <w:shd w:fill="D9EAF7"/>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color w:val="17365D"/>
                <w:sz w:val="16"/>
              </w:rPr>
              <w:t>路径</w:t>
            </w:r>
          </w:p>
        </w:tc>
      </w:tr>
      <w:tr>
        <w:tc>
          <w:tcPr>
            <w:tcW w:type="dxa" w:w="2268"/>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6"/>
              </w:rPr>
              <w:t>模板</w:t>
            </w:r>
          </w:p>
        </w:tc>
        <w:tc>
          <w:tcPr>
            <w:tcW w:type="dxa" w:w="7030"/>
            <w:tcMar>
              <w:top w:w="80" w:type="dxa"/>
              <w:start w:w="90" w:type="dxa"/>
              <w:bottom w:w="80" w:type="dxa"/>
              <w:end w:w="90" w:type="dxa"/>
            </w:tcMar>
            <w:vAlign w:val="center"/>
          </w:tcPr>
          <w:p>
            <w:pPr>
              <w:spacing w:after="0" w:line="259" w:lineRule="auto"/>
              <w:jc w:val="left"/>
            </w:pPr>
            <w:r/>
            <w:r>
              <w:rPr>
                <w:rFonts w:ascii="Microsoft YaHei" w:hAnsi="Microsoft YaHei" w:eastAsia="Microsoft YaHei"/>
                <w:b w:val="0"/>
                <w:color w:val="1F2933"/>
                <w:sz w:val="16"/>
              </w:rPr>
              <w:t>D:\code\Projects\FedLLM\docs\初步思路模版.docx</w:t>
            </w:r>
          </w:p>
        </w:tc>
      </w:tr>
      <w:tr>
        <w:tc>
          <w:tcPr>
            <w:tcW w:type="dxa" w:w="2268"/>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6"/>
              </w:rPr>
              <w:t>Agent 聊天记录</w:t>
            </w:r>
          </w:p>
        </w:tc>
        <w:tc>
          <w:tcPr>
            <w:tcW w:type="dxa" w:w="7030"/>
            <w:shd w:fill="F7FAFC"/>
            <w:tcMar>
              <w:top w:w="80" w:type="dxa"/>
              <w:start w:w="90" w:type="dxa"/>
              <w:bottom w:w="80" w:type="dxa"/>
              <w:end w:w="90" w:type="dxa"/>
            </w:tcMar>
            <w:vAlign w:val="center"/>
          </w:tcPr>
          <w:p>
            <w:pPr>
              <w:spacing w:after="0" w:line="259" w:lineRule="auto"/>
              <w:jc w:val="left"/>
            </w:pPr>
            <w:r/>
            <w:r>
              <w:rPr>
                <w:rFonts w:ascii="Microsoft YaHei" w:hAnsi="Microsoft YaHei" w:eastAsia="Microsoft YaHei"/>
                <w:b w:val="0"/>
                <w:color w:val="1F2933"/>
                <w:sz w:val="16"/>
              </w:rPr>
              <w:t>D:\code\Projects\FedLLM\docs\聊天记录20260505.md</w:t>
            </w:r>
          </w:p>
        </w:tc>
      </w:tr>
      <w:tr>
        <w:tc>
          <w:tcPr>
            <w:tcW w:type="dxa" w:w="2268"/>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6"/>
              </w:rPr>
              <w:t>现有成稿</w:t>
            </w:r>
          </w:p>
        </w:tc>
        <w:tc>
          <w:tcPr>
            <w:tcW w:type="dxa" w:w="7030"/>
            <w:tcMar>
              <w:top w:w="80" w:type="dxa"/>
              <w:start w:w="90" w:type="dxa"/>
              <w:bottom w:w="80" w:type="dxa"/>
              <w:end w:w="90" w:type="dxa"/>
            </w:tcMar>
            <w:vAlign w:val="center"/>
          </w:tcPr>
          <w:p>
            <w:pPr>
              <w:spacing w:after="0" w:line="259" w:lineRule="auto"/>
              <w:jc w:val="left"/>
            </w:pPr>
            <w:r/>
            <w:r>
              <w:rPr>
                <w:rFonts w:ascii="Microsoft YaHei" w:hAnsi="Microsoft YaHei" w:eastAsia="Microsoft YaHei"/>
                <w:b w:val="0"/>
                <w:color w:val="1F2933"/>
                <w:sz w:val="16"/>
              </w:rPr>
              <w:t>D:\code\Projects\FedLLM\output\doc\FedLLM_LRB_阶段性工作进展与实验结果汇总1.docx</w:t>
            </w:r>
          </w:p>
        </w:tc>
      </w:tr>
      <w:tr>
        <w:tc>
          <w:tcPr>
            <w:tcW w:type="dxa" w:w="2268"/>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6"/>
              </w:rPr>
              <w:t>DAGER baseline 分析</w:t>
            </w:r>
          </w:p>
        </w:tc>
        <w:tc>
          <w:tcPr>
            <w:tcW w:type="dxa" w:w="7030"/>
            <w:shd w:fill="F7FAFC"/>
            <w:tcMar>
              <w:top w:w="80" w:type="dxa"/>
              <w:start w:w="90" w:type="dxa"/>
              <w:bottom w:w="80" w:type="dxa"/>
              <w:end w:w="90" w:type="dxa"/>
            </w:tcMar>
            <w:vAlign w:val="center"/>
          </w:tcPr>
          <w:p>
            <w:pPr>
              <w:spacing w:after="0" w:line="259" w:lineRule="auto"/>
              <w:jc w:val="left"/>
            </w:pPr>
            <w:r/>
            <w:r>
              <w:rPr>
                <w:rFonts w:ascii="Microsoft YaHei" w:hAnsi="Microsoft YaHei" w:eastAsia="Microsoft YaHei"/>
                <w:b w:val="0"/>
                <w:color w:val="1F2933"/>
                <w:sz w:val="16"/>
              </w:rPr>
              <w:t>D:\code\Projects\FedLLM\docs\DEFENSE_BASELINES_N100_ANALYSIS_20260502.md</w:t>
            </w:r>
          </w:p>
        </w:tc>
      </w:tr>
      <w:tr>
        <w:tc>
          <w:tcPr>
            <w:tcW w:type="dxa" w:w="2268"/>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6"/>
              </w:rPr>
              <w:t>Utility 分析</w:t>
            </w:r>
          </w:p>
        </w:tc>
        <w:tc>
          <w:tcPr>
            <w:tcW w:type="dxa" w:w="7030"/>
            <w:tcMar>
              <w:top w:w="80" w:type="dxa"/>
              <w:start w:w="90" w:type="dxa"/>
              <w:bottom w:w="80" w:type="dxa"/>
              <w:end w:w="90" w:type="dxa"/>
            </w:tcMar>
            <w:vAlign w:val="center"/>
          </w:tcPr>
          <w:p>
            <w:pPr>
              <w:spacing w:after="0" w:line="259" w:lineRule="auto"/>
              <w:jc w:val="left"/>
            </w:pPr>
            <w:r/>
            <w:r>
              <w:rPr>
                <w:rFonts w:ascii="Microsoft YaHei" w:hAnsi="Microsoft YaHei" w:eastAsia="Microsoft YaHei"/>
                <w:b w:val="0"/>
                <w:color w:val="1F2933"/>
                <w:sz w:val="16"/>
              </w:rPr>
              <w:t>D:\code\Projects\FedLLM\docs\UTILITY_RESULTS_ANALYSIS_20260426.md</w:t>
            </w:r>
          </w:p>
        </w:tc>
      </w:tr>
      <w:tr>
        <w:tc>
          <w:tcPr>
            <w:tcW w:type="dxa" w:w="2268"/>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6"/>
              </w:rPr>
              <w:t>LRB 消融分析</w:t>
            </w:r>
          </w:p>
        </w:tc>
        <w:tc>
          <w:tcPr>
            <w:tcW w:type="dxa" w:w="7030"/>
            <w:shd w:fill="F7FAFC"/>
            <w:tcMar>
              <w:top w:w="80" w:type="dxa"/>
              <w:start w:w="90" w:type="dxa"/>
              <w:bottom w:w="80" w:type="dxa"/>
              <w:end w:w="90" w:type="dxa"/>
            </w:tcMar>
            <w:vAlign w:val="center"/>
          </w:tcPr>
          <w:p>
            <w:pPr>
              <w:spacing w:after="0" w:line="259" w:lineRule="auto"/>
              <w:jc w:val="left"/>
            </w:pPr>
            <w:r/>
            <w:r>
              <w:rPr>
                <w:rFonts w:ascii="Microsoft YaHei" w:hAnsi="Microsoft YaHei" w:eastAsia="Microsoft YaHei"/>
                <w:b w:val="0"/>
                <w:color w:val="1F2933"/>
                <w:sz w:val="16"/>
              </w:rPr>
              <w:t>D:\code\Projects\FedLLM\docs\LRB_ABLATION_ANALYSIS_20260503.md</w:t>
            </w:r>
          </w:p>
        </w:tc>
      </w:tr>
      <w:tr>
        <w:tc>
          <w:tcPr>
            <w:tcW w:type="dxa" w:w="2268"/>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6"/>
              </w:rPr>
              <w:t>LRB 方法详解</w:t>
            </w:r>
          </w:p>
        </w:tc>
        <w:tc>
          <w:tcPr>
            <w:tcW w:type="dxa" w:w="7030"/>
            <w:tcMar>
              <w:top w:w="80" w:type="dxa"/>
              <w:start w:w="90" w:type="dxa"/>
              <w:bottom w:w="80" w:type="dxa"/>
              <w:end w:w="90" w:type="dxa"/>
            </w:tcMar>
            <w:vAlign w:val="center"/>
          </w:tcPr>
          <w:p>
            <w:pPr>
              <w:spacing w:after="0" w:line="259" w:lineRule="auto"/>
              <w:jc w:val="left"/>
            </w:pPr>
            <w:r/>
            <w:r>
              <w:rPr>
                <w:rFonts w:ascii="Microsoft YaHei" w:hAnsi="Microsoft YaHei" w:eastAsia="Microsoft YaHei"/>
                <w:b w:val="0"/>
                <w:color w:val="1F2933"/>
                <w:sz w:val="16"/>
              </w:rPr>
              <w:t>D:\code\Projects\FedLLM\docs\LRB_方法详解.md</w:t>
            </w:r>
          </w:p>
        </w:tc>
      </w:tr>
      <w:tr>
        <w:tc>
          <w:tcPr>
            <w:tcW w:type="dxa" w:w="2268"/>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6"/>
              </w:rPr>
              <w:t>DAGER runs</w:t>
            </w:r>
          </w:p>
        </w:tc>
        <w:tc>
          <w:tcPr>
            <w:tcW w:type="dxa" w:w="7030"/>
            <w:shd w:fill="F7FAFC"/>
            <w:tcMar>
              <w:top w:w="80" w:type="dxa"/>
              <w:start w:w="90" w:type="dxa"/>
              <w:bottom w:w="80" w:type="dxa"/>
              <w:end w:w="90" w:type="dxa"/>
            </w:tcMar>
            <w:vAlign w:val="center"/>
          </w:tcPr>
          <w:p>
            <w:pPr>
              <w:spacing w:after="0" w:line="259" w:lineRule="auto"/>
              <w:jc w:val="left"/>
            </w:pPr>
            <w:r/>
            <w:r>
              <w:rPr>
                <w:rFonts w:ascii="Microsoft YaHei" w:hAnsi="Microsoft YaHei" w:eastAsia="Microsoft YaHei"/>
                <w:b w:val="0"/>
                <w:color w:val="1F2933"/>
                <w:sz w:val="16"/>
              </w:rPr>
              <w:t>D:\code\Projects\FedLLM\log\runs\defense_baselines_sst2_b2_gpt2_20260501_010024</w:t>
            </w:r>
          </w:p>
        </w:tc>
      </w:tr>
      <w:tr>
        <w:tc>
          <w:tcPr>
            <w:tcW w:type="dxa" w:w="2268"/>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6"/>
              </w:rPr>
              <w:t>Utility runs</w:t>
            </w:r>
          </w:p>
        </w:tc>
        <w:tc>
          <w:tcPr>
            <w:tcW w:type="dxa" w:w="7030"/>
            <w:tcMar>
              <w:top w:w="80" w:type="dxa"/>
              <w:start w:w="90" w:type="dxa"/>
              <w:bottom w:w="80" w:type="dxa"/>
              <w:end w:w="90" w:type="dxa"/>
            </w:tcMar>
            <w:vAlign w:val="center"/>
          </w:tcPr>
          <w:p>
            <w:pPr>
              <w:spacing w:after="0" w:line="259" w:lineRule="auto"/>
              <w:jc w:val="left"/>
            </w:pPr>
            <w:r/>
            <w:r>
              <w:rPr>
                <w:rFonts w:ascii="Microsoft YaHei" w:hAnsi="Microsoft YaHei" w:eastAsia="Microsoft YaHei"/>
                <w:b w:val="0"/>
                <w:color w:val="1F2933"/>
                <w:sz w:val="16"/>
              </w:rPr>
              <w:t>D:\code\Projects\FedLLM\log\runs\utility260426</w:t>
            </w:r>
          </w:p>
        </w:tc>
      </w:tr>
      <w:tr>
        <w:tc>
          <w:tcPr>
            <w:tcW w:type="dxa" w:w="2268"/>
            <w:shd w:fill="F7FAFC"/>
            <w:tcMar>
              <w:top w:w="80" w:type="dxa"/>
              <w:start w:w="90" w:type="dxa"/>
              <w:bottom w:w="80" w:type="dxa"/>
              <w:end w:w="90" w:type="dxa"/>
            </w:tcMar>
            <w:vAlign w:val="center"/>
          </w:tcPr>
          <w:p>
            <w:pPr>
              <w:spacing w:after="0" w:line="259" w:lineRule="auto"/>
              <w:jc w:val="center"/>
            </w:pPr>
            <w:r/>
            <w:r>
              <w:rPr>
                <w:rFonts w:ascii="Microsoft YaHei" w:hAnsi="Microsoft YaHei" w:eastAsia="Microsoft YaHei"/>
                <w:b w:val="0"/>
                <w:color w:val="1F2933"/>
                <w:sz w:val="16"/>
              </w:rPr>
              <w:t>Ablation runs</w:t>
            </w:r>
          </w:p>
        </w:tc>
        <w:tc>
          <w:tcPr>
            <w:tcW w:type="dxa" w:w="7030"/>
            <w:shd w:fill="F7FAFC"/>
            <w:tcMar>
              <w:top w:w="80" w:type="dxa"/>
              <w:start w:w="90" w:type="dxa"/>
              <w:bottom w:w="80" w:type="dxa"/>
              <w:end w:w="90" w:type="dxa"/>
            </w:tcMar>
            <w:vAlign w:val="center"/>
          </w:tcPr>
          <w:p>
            <w:pPr>
              <w:spacing w:after="0" w:line="259" w:lineRule="auto"/>
              <w:jc w:val="left"/>
            </w:pPr>
            <w:r/>
            <w:r>
              <w:rPr>
                <w:rFonts w:ascii="Microsoft YaHei" w:hAnsi="Microsoft YaHei" w:eastAsia="Microsoft YaHei"/>
                <w:b w:val="0"/>
                <w:color w:val="1F2933"/>
                <w:sz w:val="16"/>
              </w:rPr>
              <w:t>D:\code\Projects\FedLLM\log\runs\lrb_ablation_sst2_b2_gpt2_k0.5_20260501_004737</w:t>
            </w:r>
          </w:p>
        </w:tc>
      </w:tr>
    </w:tbl>
    <w:p/>
    <w:sectPr w:rsidR="00FC693F" w:rsidRPr="0006063C" w:rsidSect="00034616">
      <w:pgSz w:w="11906" w:h="16838"/>
      <w:pgMar w:top="1020" w:right="935" w:bottom="1020"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49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b/>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