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5071"/>
        <w:gridCol w:w="50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W w:type="auto" w:w="0"/>
        <w:jc w:val="center"/>
        <w:tblLook w:firstColumn="1" w:firstRow="1" w:lastColumn="0" w:lastRow="0" w:noHBand="0" w:noVBand="1" w:val="04A0"/>
      </w:tblPr>
      <w:tblGrid>
        <w:gridCol w:w="10142"/>
      </w:tblGrid>
      <w:tr>
        <w:tc>
          <w:tcPr>
            <w:tcW w:type="dxa" w:w="101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w:t>
            </w:r>
          </w:p>
          <w:p>
            <w:pPr>
              <w:spacing w:after="40" w:line="259" w:lineRule="auto"/>
            </w:pPr>
            <w:r>
              <w:rPr>
                <w:rFonts w:ascii="微软雅黑" w:hAnsi="微软雅黑" w:eastAsia="微软雅黑"/>
                <w:color w:val="1F2933"/>
                <w:sz w:val="19"/>
              </w:rPr>
              <w:t>Clean FedSGD 在 SST2+GPT2+batch=2 下泄露严重；LRB、topk、compression 均可在若干点上把 DAGER 恢复打到 0。</w:t>
            </w:r>
          </w:p>
          <w:p>
            <w:pPr>
              <w:spacing w:after="40" w:line="259" w:lineRule="auto"/>
            </w:pPr>
            <w:r>
              <w:rPr>
                <w:rFonts w:ascii="微软雅黑" w:hAnsi="微软雅黑" w:eastAsia="微软雅黑"/>
                <w:color w:val="1F2933"/>
                <w:sz w:val="19"/>
              </w:rPr>
              <w:t>仅看 full-gradient DAGER，topk@0.1 与 compression@8 仍是更强经验 tradeoff；完整 LRB@0.5 已改善 utility，但仍偏重。</w:t>
            </w:r>
          </w:p>
          <w:p>
            <w:pPr>
              <w:spacing w:after="40" w:line="259" w:lineRule="auto"/>
            </w:pPr>
            <w:r>
              <w:rPr>
                <w:rFonts w:ascii="微软雅黑" w:hAnsi="微软雅黑" w:eastAsia="微软雅黑"/>
                <w:color w:val="1F2933"/>
                <w:sz w:val="19"/>
              </w:rPr>
              <w:t>最新消融显示 projection bottleneck 是主效应：proj_only@0.5 在 DAGER=0 的同时保持 clean-level accuracy，因此更适合作为下一阶段主方法候选。</w:t>
            </w:r>
          </w:p>
        </w:tc>
      </w:tr>
    </w:tbl>
    <w:p/>
    <w:p>
      <w:r>
        <w:br w:type="page"/>
      </w:r>
    </w:p>
    <w:p>
      <w:pPr>
        <w:pStyle w:val="Heading1"/>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0142"/>
      </w:tblGrid>
      <w:tr>
        <w:tc>
          <w:tcPr>
            <w:tcW w:type="dxa" w:w="101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baseline；LRB 的完整版本能强力抑制恢复但过防御；消融显示低分辨率 projection bottleneck 才是当前最值得推进的主效应。</w:t>
            </w:r>
          </w:p>
        </w:tc>
      </w:tr>
    </w:tbl>
    <w:p/>
    <w:p>
      <w:pPr>
        <w:pStyle w:val="Heading1"/>
        <w:spacing w:before="200" w:after="120"/>
      </w:pPr>
      <w:r>
        <w:t>二、研究问题、场景与威胁模型</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p>
      <w:pPr>
        <w:pStyle w:val="Heading1"/>
        <w:spacing w:before="200" w:after="120"/>
      </w:pPr>
      <w:r>
        <w:t>三、已有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baseline</w:t>
            </w:r>
          </w:p>
        </w:tc>
        <w:tc>
          <w:tcPr>
            <w:tcW w:type="dxa" w:w="249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主要优势</w:t>
            </w:r>
          </w:p>
        </w:tc>
        <w:tc>
          <w:tcPr>
            <w:tcW w:type="dxa" w:w="311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主要不足</w:t>
            </w:r>
          </w:p>
        </w:tc>
        <w:tc>
          <w:tcPr>
            <w:tcW w:type="dxa" w:w="238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更适合扮演的角色</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实现简单，最小干预</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需要较大噪声才明显有效，utility 快速下降</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sanity-check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有明确 DP 语义</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当前大模型/FedSGD 设置下 utility 代价很大</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理论标准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计算/通信成本低，当前 DAGER 下很强</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不是隐私中心设计，泛化到其他攻击面仍需验证</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强通信压缩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兼顾通信效率和信息损失，工程接入容易</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更多回答少传多少，不直接建模少泄露多少</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强量化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直接触及表示泄露</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 GPT2/LLM 当前设置后稳定性差，privacy 反而恶化</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表示层 baseline / 附录对照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utility 友好</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 DAGER 下 privacy 明显失败</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训练侧弱防御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显式针对 layer-wise recoverability bottleneck</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完整配置当前过防御，runtime 偏高，泛化证据未补齐</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主方法原型</w:t>
            </w:r>
          </w:p>
        </w:tc>
      </w:tr>
    </w:tbl>
    <w:p/>
    <w:p>
      <w:pPr>
        <w:pStyle w:val="Heading1"/>
        <w:spacing w:before="200" w:after="120"/>
      </w:pPr>
      <w:r>
        <w:t>四、LRB 方法机制</w:t>
      </w:r>
    </w:p>
    <w:p>
      <w:pPr>
        <w:spacing w:after="100" w:line="276" w:lineRule="auto"/>
        <w:ind w:firstLine="420"/>
      </w:pPr>
      <w:r>
        <w:rPr>
          <w:rFonts w:ascii="微软雅黑" w:hAnsi="微软雅黑" w:eastAsia="微软雅黑"/>
          <w:sz w:val="21"/>
        </w:rPr>
        <w:t>当前仓库中的 LRB 是一个面向 recoverability 的梯度后处理 / full-training defense 机制。它已经在 train_method=full 的训练 utility 路径中接通，但还不是完整 HLRB：LoRA 训练期 defense、forward-side representation bottleneck 和完整 calibration pipeline 仍未落地。</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tbl>
      <w:tblPr>
        <w:tblW w:type="auto" w:w="0"/>
        <w:jc w:val="center"/>
        <w:tblLook w:firstColumn="1" w:firstRow="1" w:lastColumn="0" w:lastRow="0" w:noHBand="0" w:noVBand="1" w:val="04A0"/>
      </w:tblPr>
      <w:tblGrid>
        <w:gridCol w:w="10142"/>
      </w:tblGrid>
      <w:tr>
        <w:tc>
          <w:tcPr>
            <w:tcW w:type="dxa" w:w="101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LRB is a layer-wise adaptive gradient defense that suppresses recoverability by combining sensitivity-aware clipping, low-resolution signed projection, and residual-space noise.</w:t>
            </w:r>
          </w:p>
          <w:p>
            <w:pPr>
              <w:spacing w:after="40" w:line="259" w:lineRule="auto"/>
            </w:pPr>
            <w:r>
              <w:rPr>
                <w:rFonts w:ascii="微软雅黑" w:hAnsi="微软雅黑" w:eastAsia="微软雅黑"/>
                <w:color w:val="1F2933"/>
                <w:sz w:val="19"/>
              </w:rPr>
              <w:t>但根据最新消融，下一阶段应把 Projection-LRB / LRB-lite 作为主方法候选，把 full_lrb 作为强防御或过防御对照。</w:t>
            </w:r>
          </w:p>
        </w:tc>
      </w:tr>
    </w:tbl>
    <w:p/>
    <w:p>
      <w:pPr>
        <w:pStyle w:val="Heading1"/>
        <w:spacing w:before="200" w:after="120"/>
      </w:pPr>
      <w:r>
        <w:t>五、实验设置与数据来源</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p>
      <w:pPr>
        <w:pStyle w:val="Heading1"/>
        <w:spacing w:before="200" w:after="120"/>
      </w:pPr>
      <w:r>
        <w:t>六、DAGER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0142"/>
      </w:tblGrid>
      <w:tr>
        <w:tc>
          <w:tcPr>
            <w:tcW w:type="dxa" w:w="101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spacing w:before="200" w:after="120"/>
      </w:pPr>
      <w:r>
        <w:t>七、End-to-End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LRB@0.5 明显改善了 utility，却仍弱于 topk/compression 的强经验点。</w:t>
      </w:r>
    </w:p>
    <w:tbl>
      <w:tblPr>
        <w:tblStyle w:val="TableGrid"/>
        <w:tblW w:type="auto" w:w="0"/>
        <w:jc w:val="center"/>
        <w:tblLook w:firstColumn="1" w:firstRow="1" w:lastColumn="0" w:lastRow="0" w:noHBand="0" w:noVBand="1" w:val="04A0"/>
      </w:tblPr>
      <w:tblGrid>
        <w:gridCol w:w="1449"/>
        <w:gridCol w:w="1449"/>
        <w:gridCol w:w="1449"/>
        <w:gridCol w:w="1449"/>
        <w:gridCol w:w="1449"/>
        <w:gridCol w:w="1449"/>
        <w:gridCol w:w="1449"/>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spacing w:before="200" w:after="120"/>
      </w:pPr>
      <w:r>
        <w:t>八、Privacy-Utility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utility，但没有超过它们；LRB@0.5 是当前完整 LRB 中最好的 utility 点，但仍有约 2.1 个 accuracy 点的下降。</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
      <w:pPr>
        <w:pStyle w:val="Heading1"/>
        <w:spacing w:before="200" w:after="120"/>
      </w:pPr>
      <w:r>
        <w:t>九、LRB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0，并保持 clean-level accuracy。</w:t>
      </w:r>
    </w:p>
    <w:tbl>
      <w:tblPr>
        <w:tblStyle w:val="TableGrid"/>
        <w:tblW w:type="auto" w:w="0"/>
        <w:jc w:val="center"/>
        <w:tblLook w:firstColumn="1" w:firstRow="1" w:lastColumn="0" w:lastRow="0" w:noHBand="0" w:noVBand="1" w:val="04A0"/>
      </w:tblPr>
      <w:tblGrid>
        <w:gridCol w:w="1268"/>
        <w:gridCol w:w="1268"/>
        <w:gridCol w:w="1268"/>
        <w:gridCol w:w="1268"/>
        <w:gridCol w:w="1268"/>
        <w:gridCol w:w="1268"/>
        <w:gridCol w:w="1268"/>
        <w:gridCol w:w="126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主效应：DAGER=0 且 utility 最好</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0142"/>
      </w:tblGrid>
      <w:tr>
        <w:tc>
          <w:tcPr>
            <w:tcW w:type="dxa" w:w="101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不建议再把 full_lrb@0.5 直接写成唯一主方法。更稳的主候选是 Projection-LRB / LRB-lite：layer-wise low-resolution signed_pool projection。</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tc>
      </w:tr>
    </w:tbl>
    <w:p/>
    <w:p>
      <w:pPr>
        <w:pStyle w:val="Heading1"/>
        <w:spacing w:before="200" w:after="120"/>
      </w:pPr>
      <w:r>
        <w:t>十、工程进度与已接通能力</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spacing w:before="200" w:after="120"/>
      </w:pPr>
      <w:r>
        <w:t>十一、论文逻辑与图表规划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none/topk/compression/full_lrb/proj_only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
      <w:pPr>
        <w:pStyle w:val="Heading1"/>
        <w:spacing w:before="200" w:after="120"/>
      </w:pPr>
      <w:r>
        <w:t>十二、当前不应过度声称的内容</w:t>
      </w:r>
    </w:p>
    <w:p>
      <w:pPr>
        <w:pStyle w:val="ListBullet"/>
        <w:spacing w:after="40" w:line="259" w:lineRule="auto"/>
      </w:pPr>
      <w:r>
        <w:rPr>
          <w:rFonts w:ascii="微软雅黑" w:hAnsi="微软雅黑" w:eastAsia="微软雅黑"/>
          <w:sz w:val="20"/>
        </w:rPr>
        <w:t>不能写成 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w:t>
      </w:r>
    </w:p>
    <w:p>
      <w:pPr>
        <w:pStyle w:val="ListBullet"/>
        <w:spacing w:after="40" w:line="259" w:lineRule="auto"/>
      </w:pPr>
      <w:r>
        <w:rPr>
          <w:rFonts w:ascii="微软雅黑" w:hAnsi="微软雅黑" w:eastAsia="微软雅黑"/>
          <w:sz w:val="20"/>
        </w:rPr>
        <w:t>不能说 proj_only 在 LoRA/PEFT 或 partial-gradient 下必然最优。这些攻击面还没有完整结果。</w:t>
      </w:r>
    </w:p>
    <w:p>
      <w:pPr>
        <w:pStyle w:val="ListBullet"/>
        <w:spacing w:after="40" w:line="259" w:lineRule="auto"/>
      </w:pPr>
      <w:r>
        <w:rPr>
          <w:rFonts w:ascii="微软雅黑" w:hAnsi="微软雅黑" w:eastAsia="微软雅黑"/>
          <w:sz w:val="20"/>
        </w:rPr>
        <w:t>不能把 LRB 当成严格 DP 方法。它有裁剪和加噪，但没有完整 epsilon/delta 证明。</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pStyle w:val="Heading1"/>
        <w:spacing w:before="200" w:after="120"/>
      </w:pPr>
      <w:r>
        <w:t>十三、下一步优先级</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把主方法候选切换到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topk/compression/full_lrb/proj_only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spacing w:before="200" w:after="120"/>
      </w:pPr>
      <w:r>
        <w:t>十四、可以直接用于汇报的阶段性结论</w:t>
      </w:r>
    </w:p>
    <w:tbl>
      <w:tblPr>
        <w:tblW w:type="auto" w:w="0"/>
        <w:jc w:val="center"/>
        <w:tblLook w:firstColumn="1" w:firstRow="1" w:lastColumn="0" w:lastRow="0" w:noHBand="0" w:noVBand="1" w:val="04A0"/>
      </w:tblPr>
      <w:tblGrid>
        <w:gridCol w:w="10142"/>
      </w:tblGrid>
      <w:tr>
        <w:tc>
          <w:tcPr>
            <w:tcW w:type="dxa" w:w="101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梯度存在严重文本恢复风险。LRB 完整配置能稳定把 DAGER 恢复压到 0，但其 clipping 和 residual noise 带来了明显 utility 代价。消融进一步显示，低分辨率 signed_pool projection 是当前 LRB 有效性的主因：proj_only@0.5 在不加噪、不做完整裁剪的情况下即可实现 DAGER=0，并保持 clean-level accuracy。因此，下一阶段应把主方法候选从 full_lrb 调整为 Projection-LRB / LRB-lite，并通过 keep-ratio sweep、LoRA/PEFT、partial-gradient 和跨数据集实验验证其泛化价值。</w:t>
            </w:r>
          </w:p>
        </w:tc>
      </w:tr>
    </w:tbl>
    <w:p/>
    <w:tbl>
      <w:tblPr>
        <w:tblW w:type="auto" w:w="0"/>
        <w:jc w:val="center"/>
        <w:tblLook w:firstColumn="1" w:firstRow="1" w:lastColumn="0" w:lastRow="0" w:noHBand="0" w:noVBand="1" w:val="04A0"/>
      </w:tblPr>
      <w:tblGrid>
        <w:gridCol w:w="10142"/>
      </w:tblGrid>
      <w:tr>
        <w:tc>
          <w:tcPr>
            <w:tcW w:type="dxa" w:w="101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of LRB is the low-resolution signed projection bottleneck. While the full LRB configuration suppresses token recovery to zero, its clipping and residual-space noise introduce unnecessary utility loss. The projection-only variant achieves zero token recovery and zero ROUGE recovery while preserving clean-level accuracy, making Projection-LRB the most promising next method candidate.</w:t>
            </w:r>
          </w:p>
        </w:tc>
      </w:tr>
    </w:tbl>
    <w:p/>
    <w:p>
      <w:pPr>
        <w:pStyle w:val="Heading1"/>
        <w:spacing w:before="200" w:after="120"/>
      </w:pPr>
      <w:r>
        <w:t>十五、材料来源清单</w:t>
      </w:r>
    </w:p>
    <w:tbl>
      <w:tblPr>
        <w:tblStyle w:val="TableGrid"/>
        <w:tblW w:type="auto" w:w="0"/>
        <w:jc w:val="center"/>
        <w:tblLook w:firstColumn="1" w:firstRow="1" w:lastColumn="0" w:lastRow="0" w:noHBand="0" w:noVBand="1" w:val="04A0"/>
      </w:tblPr>
      <w:tblGrid>
        <w:gridCol w:w="5071"/>
        <w:gridCol w:w="50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2240" w:h="15840"/>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