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87BF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6"/>
          <w:szCs w:val="32"/>
          <w:shd w:val="clear" w:fill="FFFFFF"/>
          <w:lang w:eastAsia="zh"/>
          <w:woUserID w:val="1"/>
        </w:rPr>
        <w:t>团队介绍</w:t>
      </w:r>
    </w:p>
    <w:p w14:paraId="530F78A7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①团队定位：</w:t>
      </w:r>
    </w:p>
    <w:p w14:paraId="30A980BF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ascii="Microsoft YaHei" w:hAnsi="Microsoft YaHei" w:eastAsia="Microsoft YaHei" w:cs="Microsoft YaHei"/>
          <w:color w:val="000000"/>
        </w:rPr>
        <w:t>本团队以端侧AI能力与移动交互体验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 w14:paraId="3325DC5D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②成员分工：</w:t>
      </w:r>
    </w:p>
    <w:p w14:paraId="1770A8B3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 w14:paraId="39AD46F6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③协作方式：</w:t>
      </w:r>
    </w:p>
    <w:p w14:paraId="4E5AFC14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 w14:paraId="704EFFCA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④团队优势：</w:t>
      </w:r>
    </w:p>
    <w:p w14:paraId="3C8C3AE7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 w14:paraId="52F0B6A7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AB66079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6"/>
          <w:szCs w:val="32"/>
          <w:shd w:val="clear" w:fill="FFFFFF"/>
          <w:lang w:eastAsia="zh"/>
          <w:woUserID w:val="1"/>
        </w:rPr>
        <w:t>作品设计理念</w:t>
      </w:r>
    </w:p>
    <w:p w14:paraId="37EF59E3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75159334">
      <w:pPr>
        <w:keepNext w:val="0"/>
        <w:keepLines w:val="0"/>
        <w:widowControl/>
        <w:spacing w:before="0" w:after="120" w:line="317" w:lineRule="auto"/>
        <w:ind w:leftChars="0" w:firstLineChars="200" w:left="0" w:firstLine="420"/>
        <w:jc w:val="both"/>
        <w:rPr>
          <w:rFonts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keepNext w:val="0"/>
        <w:keepLines w:val="0"/>
        <w:widowControl/>
        <w:spacing w:before="0" w:after="0" w:line="240" w:lineRule="auto"/>
        <w:ind w:leftChars="0" w:firstLine="480" w:firstLineChars="200"/>
        <w:rPr>
          <w:rFonts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5AAD3345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keepNext w:val="0"/>
        <w:keepLines w:val="0"/>
        <w:widowControl/>
        <w:spacing w:before="0" w:after="0" w:line="240" w:lineRule="auto"/>
        <w:ind w:left="0" w:leftChars="0" w:firstLine="420" w:firstLine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16C0E8DC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rFonts w:hint="default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0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6"/>
          <w:szCs w:val="32"/>
          <w:shd w:val="clear" w:fill="FFFFFF"/>
          <w:lang w:eastAsia="zh"/>
          <w:woUserID w:val="1"/>
        </w:rPr>
        <w:t>作品原型设计</w:t>
      </w:r>
    </w:p>
    <w:p w14:paraId="2D894309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8"/>
          <w:szCs w:val="28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/>
          <w:bCs w:val="0"/>
          <w:color w:val="000000"/>
          <w:kern w:val="2"/>
          <w:sz w:val="26"/>
          <w:szCs w:val="28"/>
          <w:lang w:val="en-US" w:eastAsia="zh-CN" w:bidi="ar"/>
          <w:woUserID w:val="4"/>
        </w:rPr>
        <w:t>原型总体说明</w:t>
      </w:r>
    </w:p>
    <w:p w14:paraId="64C67BCC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ascii="Microsoft YaHei" w:hAnsi="Microsoft YaHei" w:eastAsia="Microsoft YaHei" w:cs="Microsoft YaHei"/>
          <w:color w:val="000000"/>
        </w:rPr>
        <w:t>智存当前原型采用双线设计：一方面提供可直接演示的静态H5页面，另一方面保留可迁移为APK的uni-app工程骨架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Style w:val="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7"/>
        <w:gridCol w:w="2848"/>
        <w:gridCol w:w="2848"/>
      </w:tblGrid>
      <w:tr w14:paraId="4EDB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  <w:tblHeader w:val="true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F55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000000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原型模块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BCB1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000000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交互与页面设计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5EEC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000000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验证重点</w:t>
            </w:r>
          </w:p>
        </w:tc>
      </w:tr>
      <w:tr w14:paraId="2E0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DDFD2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首页 Dashboard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3C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0C34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验证“重入口、轻层级”的信息架构，让用户一步触达核心能力。</w:t>
            </w:r>
          </w:p>
        </w:tc>
      </w:tr>
      <w:tr w14:paraId="2CF9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1A391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捕获端与悬浮球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A2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E0A2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验证无感捕获与心流不中断，体现系统级伴随式入口。</w:t>
            </w:r>
          </w:p>
        </w:tc>
      </w:tr>
      <w:tr w14:paraId="797E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2575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AI知识金库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621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626C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验证异构知识卡片的沉淀方式，减少用户手工整理成本。</w:t>
            </w:r>
          </w:p>
        </w:tc>
      </w:tr>
      <w:tr w14:paraId="0840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9EC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全局语义搜索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BA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000000"/>
              </w:rPr>
              <w:t>验证关键词匹配与语义召回，以及详情页返回后的状态保活体验。</w:t>
            </w:r>
          </w:p>
        </w:tc>
      </w:tr>
      <w:tr w14:paraId="5108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4F28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资产详情页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7A3B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57E26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验证从“保存截图”到“复用知识”的转化链路。</w:t>
            </w:r>
          </w:p>
        </w:tc>
      </w:tr>
      <w:tr w14:paraId="10D5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E5CB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技术路线页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5C31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说明应用私有目录、SQLite/KV、MediaProjection、Overlay Service、AIAdapter和蓝心端侧接入方案。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9FE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验证静态原型向vivo Android真机和端侧AI方案迁移的可行性。</w:t>
            </w:r>
          </w:p>
        </w:tc>
      </w:tr>
    </w:tbl>
    <w:p w14:paraId="7206228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10"/>
          <w:szCs w:val="21"/>
          <w:lang w:val="en-US" w:eastAsia="zh-CN" w:bidi="ar"/>
          <w:woUserID w:val="4"/>
        </w:rPr>
        <w:t xml:space="preserve"> </w:t>
      </w:r>
    </w:p>
    <w:p w14:paraId="3DD610D0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8"/>
          <w:szCs w:val="28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/>
          <w:bCs w:val="0"/>
          <w:color w:val="000000"/>
          <w:kern w:val="2"/>
          <w:sz w:val="26"/>
          <w:szCs w:val="28"/>
          <w:lang w:val="en-US" w:eastAsia="zh-CN" w:bidi="ar"/>
          <w:woUserID w:val="4"/>
        </w:rPr>
        <w:t>核心流程设计</w:t>
      </w:r>
    </w:p>
    <w:p w14:paraId="5393995A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 w14:paraId="5DFA496B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 w14:paraId="79FA3C95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 w14:paraId="15BC63ED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 w14:paraId="15CDE61C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8"/>
          <w:szCs w:val="28"/>
          <w:woUserID w:val="4"/>
          <w:color w:val="000000"/>
        </w:rPr>
      </w:pPr>
      <w:bookmarkStart w:id="0" w:name="_GoBack"/>
      <w:r>
        <w:rPr>
          <w:rFonts w:hint="default" w:ascii="Microsoft YaHei" w:hAnsi="Microsoft YaHei" w:eastAsia="Microsoft YaHei" w:cs="Microsoft YaHei"/>
          <w:b/>
          <w:bCs w:val="0"/>
          <w:color w:val="000000"/>
          <w:kern w:val="2"/>
          <w:sz w:val="26"/>
          <w:szCs w:val="28"/>
          <w:lang w:val="en-US" w:eastAsia="zh-CN" w:bidi="ar"/>
          <w:woUserID w:val="4"/>
        </w:rPr>
        <w:t>演示路径</w:t>
      </w:r>
    </w:p>
    <w:bookmarkEnd w:id="0"/>
    <w:p w14:paraId="1A4919F8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 w14:paraId="5FF807DB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</w:p>
    <w:p>
      <w:pPr>
        <w:pStyle w:val="Heading2"/>
        <w:keepNext/>
        <w:keepLines/>
        <w:spacing w:before="220" w:after="100" w:line="276" w:lineRule="auto"/>
        <w:ind w:left="0" w:firstLine="0"/>
        <w:jc w:val="left"/>
      </w:pPr>
      <w:r>
        <w:rPr>
          <w:rFonts w:ascii="Microsoft YaHei" w:hAnsi="Microsoft YaHei" w:eastAsia="Microsoft YaHei" w:cs="Microsoft YaHei"/>
          <w:b/>
          <w:color w:val="000000"/>
          <w:sz w:val="26"/>
        </w:rPr>
        <w:t>初步功能演示：聊天记录生成行动卡片</w:t>
      </w:r>
    </w:p>
    <w:p>
      <w:pPr>
        <w:spacing w:before="0" w:after="120" w:line="317" w:lineRule="auto"/>
        <w:ind w:firstLine="420" w:left="0"/>
        <w:jc w:val="both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为验证“截图私有沙盒 → AI抽取 → 人工确认 → 本地沉淀”的闭环，原型新增了一个通知类场景演示：用户将已经做过隐私处理的课程群聊天记录作为输入，系统识别其中的退选、补选、课程调整等关键信息，并生成一张可确认、可保存、可检索的行动卡片。</w:t>
      </w:r>
    </w:p>
    <w:p>
      <w:pPr>
        <w:pStyle w:val="Heading3"/>
        <w:keepNext/>
        <w:keepLines/>
        <w:spacing w:before="140" w:after="60" w:line="276" w:lineRule="auto"/>
        <w:ind w:left="198" w:firstLine="0"/>
        <w:jc w:val="left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演示流程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用户动作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原型反馈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验证重点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1. 导入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将已做隐私处理的聊天记录截图上传，或在捕获页点击“演示报名通知”。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截图进入“私有截图沙盒”，不写入系统相册。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验证信息捕获与去相册污染。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2. 抽取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触发前端演示中的OCR与大模型结构化抽取。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生成“确认专选课退选或补选安排”行动卡，并给出摘要、标签和建议。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验证通知类截图可转为可行动信息。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 确认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进入行动卡页面，检查标题、摘要、待办、材料清单、知识标签等字段。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对不确定的时间、地点保留“待确认”，由用户再核对。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验证人机协同，避免误识别直接落库。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4. 保存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点击“确认保存”。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卡片进入私有知识库，形成可检索的截图卡片。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验证本地沉淀与标签检索闭环。</w:t>
            </w:r>
          </w:p>
        </w:tc>
      </w:tr>
    </w:tbl>
    <w:p>
      <w:pPr>
        <w:pStyle w:val="Heading3"/>
        <w:keepNext/>
        <w:keepLines/>
        <w:spacing w:before="140" w:after="60" w:line="276" w:lineRule="auto"/>
        <w:ind w:left="198" w:firstLine="0"/>
        <w:jc w:val="left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演示材料与界面状态</w:t>
      </w:r>
    </w:p>
    <w:p>
      <w:pPr>
        <w:spacing w:before="0" w:after="120" w:line="317" w:lineRule="auto"/>
        <w:ind w:firstLine="420" w:left="0"/>
        <w:jc w:val="both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下列截图展示了从聊天记录输入到知识库卡片沉淀的完整链路：先导入已脱敏的聊天记录，再在捕获页触发演示，随后进入行动卡确认界面，最后保存为私有知识库中的一张截图卡片。</w:t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>图：已做隐私处理的聊天记录输入样例</w:t>
      </w:r>
    </w:p>
    <w:p>
      <w:pPr>
        <w:spacing w:before="40" w:after="160"/>
        <w:ind w:firstLine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3384000" cy="4570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054b80fe2ea78c23bc5f71169817f_7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457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>图：捕获页提供上传截图与演示入口</w:t>
      </w:r>
    </w:p>
    <w:p>
      <w:pPr>
        <w:spacing w:before="40" w:after="160"/>
        <w:ind w:firstLine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5256000" cy="463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e95bb3d3c3586507eb10822488d13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6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>图：行动卡上半部分展示标题、摘要与基础字段</w:t>
      </w:r>
    </w:p>
    <w:p>
      <w:pPr>
        <w:spacing w:before="40" w:after="160"/>
        <w:ind w:firstLine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5256000" cy="3926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42c9db66f92e8548317c48c8a2c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2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>图：行动卡下半部分支持标签、建议与确认保存</w:t>
      </w:r>
    </w:p>
    <w:p>
      <w:pPr>
        <w:spacing w:before="40" w:after="160"/>
        <w:ind w:firstLine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5256000" cy="4032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c9e55856142515adfe4cda540138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3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</w:rPr>
        <w:t>图：保存后在私有知识库中生成可检索卡片</w:t>
      </w:r>
    </w:p>
    <w:p>
      <w:pPr>
        <w:spacing w:before="40" w:after="160"/>
        <w:ind w:firstLine="0"/>
        <w:jc w:val="center"/>
      </w:pPr>
      <w:r>
        <w:rPr>
          <w:rFonts w:ascii="Microsoft YaHei" w:hAnsi="Microsoft YaHei" w:eastAsia="Microsoft YaHei" w:cs="Microsoft YaHei"/>
          <w:color w:val="000000"/>
        </w:rPr>
        <w:drawing>
          <wp:inline xmlns:a="http://schemas.openxmlformats.org/drawingml/2006/main" xmlns:pic="http://schemas.openxmlformats.org/drawingml/2006/picture">
            <wp:extent cx="5256000" cy="414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7057eb6f5de39d91af378114a233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42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space="0" w:color="BBD7BD"/>
              <w:left w:val="single" w:sz="6" w:space="0" w:color="BBD7BD"/>
              <w:bottom w:val="single" w:sz="6" w:space="0" w:color="BBD7BD"/>
              <w:right w:val="single" w:sz="6" w:space="0" w:color="BBD7BD"/>
            </w:tcBorders>
            <w:shd w:fill="EDF7ED"/>
          </w:tcPr>
          <w:p>
            <w:pPr>
              <w:spacing w:after="0" w:line="29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说明：当前前端仅用于展示核心交互与数据流，是初步功能演示，不代表最终产品的视觉品质、动效完整度、模型能力和工程完成度。正式版本仍需继续完善UI精度、权限边界、端侧模型接入、异常提示、隐私合规与真实设备适配。</w:t>
            </w:r>
          </w:p>
        </w:tc>
      </w:tr>
    </w:tbl>
    <w:p w14:paraId="768065F3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6"/>
          <w:szCs w:val="32"/>
          <w:shd w:val="clear" w:fill="FFFFFF"/>
          <w:lang w:eastAsia="zh"/>
          <w:woUserID w:val="1"/>
        </w:rPr>
        <w:t>创新点</w:t>
      </w:r>
    </w:p>
    <w:p w14:paraId="085786E6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ascii="Microsoft YaHei" w:hAnsi="Microsoft YaHei" w:eastAsia="Microsoft YaHei" w:cs="Microsoft YaHei"/>
          <w:color w:val="000000"/>
        </w:rPr>
        <w:t>当用户在 B 站观看长达两小时的考研辅导视频，或者在小红书高速滑动浏览旅游攻略时，遇到高价值的信息帧，无需暂停视频或跳出当前 APP。用户只需拇指长按边缘的悬浮球，就能截取当前画面，并在后台完成 AI 打标与归类，尽量减少对当前浏览或学习状态的打断。</w:t>
      </w:r>
    </w:p>
    <w:p w14:paraId="2CC6562F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ascii="Microsoft YaHei" w:hAnsi="Microsoft YaHei" w:eastAsia="Microsoft YaHei" w:cs="Microsoft YaHei"/>
          <w:color w:val="000000"/>
        </w:rPr>
        <w:t>用户截取了一张包含自己真实姓名、身份证号和银行卡号的考试报名缴费流程图。如果是依赖云端 API 的传统应用，上传这张图片会带来明显的数据泄露顾虑。而本应用依托端侧大模型，即使在“断网、无信号”的地铁里，也能识别其重要资料属性并完成本地归档，尽可能把敏感信息留在用户设备内，给用户更明确的安全感。</w:t>
      </w:r>
    </w:p>
    <w:p w14:paraId="78B309D8">
      <w:pPr>
        <w:keepNext w:val="0"/>
        <w:keepLines w:val="0"/>
        <w:widowControl/>
        <w:spacing w:before="0" w:after="0" w:line="240" w:lineRule="auto"/>
        <w:ind w:firstLine="420" w:firstLineChars="0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6"/>
          <w:szCs w:val="32"/>
          <w:shd w:val="clear" w:fill="FFFFFF"/>
          <w:lang w:eastAsia="zh"/>
          <w:woUserID w:val="1"/>
        </w:rPr>
        <w:t>前景评估</w:t>
      </w:r>
    </w:p>
    <w:p w14:paraId="10E5DB02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color w:val="000000"/>
        </w:rPr>
        <w:t>本产品面向所有依赖碎片化信息进行学习、工作、娱乐的智能手机用户。</w:t>
      </w:r>
    </w:p>
    <w:p w14:paraId="7293AE8A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从目标用户看，智存面向的是一类非常普遍的碎片化信息使用者。大学生和考研、考证人群会频繁保存政治提纲、代码片段、复习笔记等学习资料，却常常因为缺少整理入口而在真正需要时找不到；游戏玩家会积累攻略、地图和角色配装截图，但传统相册很难理解这些内容的语义；生活记录者会收藏旅游攻略、菜谱、购物清单和灵感速记，职场人士也会随手记录会议要点或项目想法。这些信息原本都有复用价值，却容易散落在相册、备忘录和聊天记录之间，逐渐变成难以回收的碎片。</w:t>
      </w:r>
    </w:p>
    <w:p w14:paraId="151D25D6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痛点的高频性也较为明确。用户每天都会产生截图、速记和临时收藏，但整理成本高、检索效率低，很多内容最终被无差别地淹没在相册或杂乱文件夹里。传统相册通常只能按时间、文件名或简单标签查找，笔记类应用又往往要求用户主动分类、主动编辑，这与碎片信息“看到就想保存、用完就想离开”的使用习惯并不匹配。更现实的问题是，学习和工作资料混入生活相册后，在展示私人照片时容易造成尴尬；如果依赖云端模型处理截图，聊天记录、证件信息和财务内容又会带来额外的隐私顾虑。</w:t>
      </w:r>
    </w:p>
    <w:p w14:paraId="11B00DB6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从使用频率看，普通用户每天可能产生数次截图，重度用户的截图数量还会更高；而搜索和回顾这些内容的需求，也会在每周复习、查攻略、找菜谱、整理灵感时反复出现。这说明智存面对的不是低频尝鲜场景，而是日常数字生活中持续发生的轻量刚需。</w:t>
      </w:r>
    </w:p>
    <w:p w14:paraId="0C5440F7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6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keepNext w:val="0"/>
        <w:keepLines w:val="0"/>
        <w:widowControl/>
        <w:spacing w:before="0" w:after="0" w:line="240" w:lineRule="auto"/>
        <w:ind w:left="0" w:leftChars="0" w:firstLine="480" w:firstLineChars="200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Style w:val="5"/>
        <w:tblW w:w="5813" w:type="pct"/>
        <w:jc w:val="center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 w:val="true"/>
        </w:trPr>
        <w:tc>
          <w:tcPr>
            <w:tcW w:w="1701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2324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5103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6AF708A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48CD6B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6B71141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239C555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F0D61AB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2BFD00D2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需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CDC598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50F0B7C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AD9CC0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035260BA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E0A49AD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46BE75C9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color w:val="000000"/>
        </w:rPr>
        <w:t>对比之下，可以更清楚地看到本产品的独有优势。</w:t>
      </w:r>
    </w:p>
    <w:p w14:paraId="4B21D778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比现有方案，智存的优势并不只是多做了一个截图入口，而是把捕获、理解、沉淀和寻回放在同一条使用链路里。全局悬浮球与屏幕捕获能力让用户不必在多个应用之间来回切换，遇到高价值信息时可以直接保存，尽量减少对当前任务的打断。进入应用后，长截图、横屏图片和纯文本笔记会被统一整理成知识卡片，并通过智能文件夹和瀑布流进行呈现，使不同形态的内容能够放在同一个知识空间里被比较、浏览和再次使用。</w:t>
      </w:r>
    </w:p>
    <w:p w14:paraId="3A062E54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检索层面，智存同时保留关键词匹配和语义理解能力，既能处理明确的标签搜索，也能响应“怎么去风龙废墟”这类更接近日常表达的模糊意图。结果列表与详情页之间保留搜索状态和浏览位置，也让用户在反复筛选时不必重新开始。隐私方面，方案优先采用端侧数据沙盒和本地处理流程，把OCR、标签提取、向量索引等能力尽量放在设备内完成，截图不进入公共相册，也不默认上传云端，从而降低敏感信息外泄的风险，并让工作学习资产与生活影像保持清晰边界。</w:t>
      </w:r>
    </w:p>
    <w:p w14:paraId="5C135926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轻量化、隐私化、离线化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无感沉淀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搜索即服务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重入口、轻层级、用完即走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隐私优先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已成为核心竞争力。</w:t>
      </w:r>
    </w:p>
    <w:p w14:paraId="002B188C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rFonts w:ascii="Microsoft YaHei" w:hAnsi="Microsoft YaHei" w:eastAsia="Microsoft YaHei" w:cs="Microsoft YaHe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未来还可将核心能力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封装为插件或组件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，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woUserID w:val="3"/>
          <w:rFonts w:ascii="Microsoft YaHei" w:hAnsi="Microsoft YaHei" w:eastAsia="Microsoft YaHei" w:cs="Microsoft YaHei"/>
          <w:color w:val="000000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的闭环体验，在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真实高频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pgSz w:w="11906" w:h="16838"/>
      <w:pgMar w:top="1191" w:right="1276" w:bottom="1134" w:left="127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Microsoft YaHei" w:hAnsi="Microsoft YaHei" w:eastAsia="Microsoft YaHei" w:cs="Microsoft YaHei"/>
        <w:color w:val="000000"/>
        <w:sz w:val="24"/>
        <w:szCs w:val="24"/>
        <w:woUserID w:val="1"/>
      </w:rPr>
    </w:pPr>
    <w:r>
      <w:rPr>
        <w:sz w:val="24"/>
        <w:rFonts w:ascii="Microsoft YaHei" w:hAnsi="Microsoft YaHei" w:eastAsia="Microsoft YaHei" w:cs="Microsoft YaHei"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B6CD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B6CD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Microsoft YaHei" w:hAnsi="Microsoft YaHei" w:eastAsia="Microsoft YaHei" w:cs="Microsoft YaHei"/>
        <w:b w:val="0"/>
        <w:bCs w:val="0"/>
        <w:color w:val="000000"/>
        <w:sz w:val="36"/>
        <w:szCs w:val="36"/>
        <w:woUserID w:val="1"/>
      </w:rPr>
      <w:t>智存</w:t>
    </w:r>
    <w:r>
      <w:rPr>
        <w:rFonts w:ascii="Microsoft YaHei" w:hAnsi="Microsoft YaHei" w:eastAsia="Microsoft YaHei" w:cs="Microsoft YaHei"/>
        <w:b w:val="0"/>
        <w:bCs w:val="0"/>
        <w:color w:val="000000"/>
        <w:sz w:val="36"/>
        <w:szCs w:val="36"/>
        <w:woUserID w:val="1"/>
      </w:rPr>
      <w:t>·</w:t>
    </w:r>
    <w:r>
      <w:rPr>
        <w:rFonts w:hint="eastAsia" w:ascii="Microsoft YaHei" w:hAnsi="Microsoft YaHei" w:eastAsia="Microsoft YaHei" w:cs="Microsoft YaHei"/>
        <w:b w:val="0"/>
        <w:bCs w:val="0"/>
        <w:color w:val="000000"/>
        <w:sz w:val="36"/>
        <w:szCs w:val="36"/>
        <w:lang w:eastAsia="zh"/>
        <w:woUserID w:val="1"/>
      </w:rPr>
      <w:t>碎片信息</w:t>
    </w:r>
    <w:r>
      <w:rPr>
        <w:rFonts w:hint="default" w:ascii="Microsoft YaHei" w:hAnsi="Microsoft YaHei" w:eastAsia="Microsoft YaHei" w:cs="Microsoft YaHei"/>
        <w:b w:val="0"/>
        <w:bCs w:val="0"/>
        <w:color w:val="000000"/>
        <w:sz w:val="36"/>
        <w:szCs w:val="36"/>
        <w:woUserID w:val="1"/>
      </w:rPr>
      <w:t>AI</w:t>
    </w:r>
    <w:r>
      <w:rPr>
        <w:rFonts w:ascii="Microsoft YaHei" w:hAnsi="Microsoft YaHei" w:eastAsia="Microsoft YaHei" w:cs="Microsoft YaHei"/>
        <w:b w:val="0"/>
        <w:bCs w:val="0"/>
        <w:color w:val="000000"/>
        <w:sz w:val="36"/>
        <w:szCs w:val="36"/>
        <w:woUserID w:val="1"/>
      </w:rPr>
      <w:t>全能管家</w:t>
    </w:r>
  </w:p>
  <w:p w14:paraId="4053D4B0">
    <w:pPr>
      <w:pStyle w:val="3"/>
      <w:rPr>
        <w:rFonts w:ascii="Microsoft YaHei" w:hAnsi="Microsoft YaHei" w:eastAsia="Microsoft YaHei" w:cs="Microsoft YaHei"/>
        <w:color w:val="000000"/>
        <w:sz w:val="44"/>
        <w:szCs w:val="44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EF7B584E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  <w:color w:val="000000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7" w:lineRule="auto" w:after="120"/>
      <w:ind w:firstLine="420"/>
      <w:jc w:val="both"/>
    </w:pPr>
    <w:rPr>
      <w:rFonts w:ascii="Microsoft YaHei" w:hAnsi="Microsoft YaHei" w:eastAsia="Microsoft YaHei" w:cs="Microsoft YaHei"/>
      <w:b w:val="0"/>
      <w:color w:val="000000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  <w:rPr>
      <w:rFonts w:ascii="Microsoft YaHei" w:hAnsi="Microsoft YaHei" w:eastAsia="Microsoft YaHei" w:cs="Microsoft YaHei"/>
      <w:color w:val="000000"/>
    </w:rPr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Microsoft YaHei" w:hAnsi="Microsoft YaHei" w:cs="Microsoft YaHei" w:eastAsia="Microsoft YaHei"/>
      <w:color w:val="00000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Microsoft YaHei" w:hAnsi="Microsoft YaHei" w:eastAsia="Microsoft YaHei" w:cs="Microsoft YaHei"/>
      <w:color w:val="000000"/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Microsoft YaHei" w:hAnsi="Microsoft YaHei" w:eastAsia="Microsoft YaHei" w:cs="Microsoft YaHei"/>
      <w:color w:val="000000"/>
      <w:sz w:val="18"/>
    </w:rPr>
  </w:style>
  <w:style w:type="paragraph" w:styleId="4">
    <w:name w:val="Normal (Web)"/>
    <w:basedOn w:val="1"/>
    <w:uiPriority w:val="0"/>
    <w:rPr>
      <w:rFonts w:ascii="Microsoft YaHei" w:hAnsi="Microsoft YaHei" w:eastAsia="Microsoft YaHei" w:cs="Microsoft YaHei"/>
      <w:color w:val="000000"/>
      <w:sz w:val="24"/>
    </w:rPr>
  </w:style>
  <w:style w:type="character" w:styleId="7">
    <w:name w:val="Strong"/>
    <w:basedOn w:val="6"/>
    <w:qFormat/>
    <w:uiPriority w:val="0"/>
    <w:rPr>
      <w:rFonts w:ascii="Microsoft YaHei" w:hAnsi="Microsoft YaHei" w:eastAsia="Microsoft YaHei" w:cs="Microsoft YaHei"/>
      <w:b/>
      <w:color w:val="000000"/>
    </w:rPr>
  </w:style>
  <w:style w:type="paragraph" w:customStyle="1" w:styleId="Heading1">
    <w:name w:val="heading 1"/>
    <w:basedOn w:val="1"/>
    <w:pPr>
      <w:outlineLvl w:val="0"/>
    </w:pPr>
    <w:rPr>
      <w:rFonts w:ascii="Microsoft YaHei" w:hAnsi="Microsoft YaHei" w:eastAsia="Microsoft YaHei" w:cs="Microsoft YaHei"/>
      <w:b/>
      <w:color w:val="000000"/>
      <w:sz w:val="36"/>
    </w:rPr>
  </w:style>
  <w:style w:type="paragraph" w:customStyle="1" w:styleId="Heading2">
    <w:name w:val="heading 2"/>
    <w:basedOn w:val="1"/>
    <w:pPr>
      <w:outlineLvl w:val="1"/>
    </w:pPr>
    <w:rPr>
      <w:rFonts w:ascii="Microsoft YaHei" w:hAnsi="Microsoft YaHei" w:eastAsia="Microsoft YaHei" w:cs="Microsoft YaHei"/>
      <w:b/>
      <w:color w:val="000000"/>
      <w:sz w:val="26"/>
    </w:rPr>
  </w:style>
  <w:style w:type="paragraph" w:customStyle="1" w:styleId="Heading3">
    <w:name w:val="heading 3"/>
    <w:basedOn w:val="1"/>
    <w:pPr>
      <w:outlineLvl w:val="2"/>
    </w:pPr>
    <w:rPr>
      <w:rFonts w:ascii="Microsoft YaHei" w:hAnsi="Microsoft YaHei" w:eastAsia="Microsoft YaHei" w:cs="Microsoft YaHei"/>
      <w:b/>
      <w:color w:val="000000"/>
      <w:sz w:val="23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2026-05-08T16:46:00Z</dcterms:created>
  <dc:creator>WPS_1723513809</dc:creator>
  <cp:lastModifiedBy>WPS_1723513809</cp:lastModifiedBy>
  <dcterms:modified xsi:type="dcterms:W3CDTF">2026-05-10T01:24:59Z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CFC376DF368A63B0EB6DFF69BFEB3811_43</vt:lpwstr>
  </property>
</Properties>
</file>